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65BA" w:rsidRPr="005D6D70" w:rsidRDefault="00D065BA" w:rsidP="00D065BA">
      <w:pPr>
        <w:pStyle w:val="BBTitle"/>
        <w:rPr>
          <w:i/>
        </w:rPr>
      </w:pPr>
      <w:r w:rsidRPr="006F0C39">
        <w:t>BC-13/1: Strategic Framework for the implementation of the Basel Convention for 2012–2021</w:t>
      </w:r>
    </w:p>
    <w:p w:rsidR="00D065BA" w:rsidRPr="005D6D70" w:rsidRDefault="00D065BA" w:rsidP="00D065BA">
      <w:pPr>
        <w:pStyle w:val="NormalNonumber"/>
        <w:tabs>
          <w:tab w:val="clear" w:pos="1247"/>
          <w:tab w:val="clear" w:pos="1814"/>
          <w:tab w:val="clear" w:pos="2381"/>
          <w:tab w:val="clear" w:pos="2948"/>
          <w:tab w:val="clear" w:pos="3515"/>
          <w:tab w:val="left" w:pos="624"/>
        </w:tabs>
        <w:spacing w:before="240"/>
        <w:ind w:firstLine="624"/>
        <w:rPr>
          <w:i/>
        </w:rPr>
      </w:pPr>
      <w:r w:rsidRPr="005D6D70">
        <w:rPr>
          <w:i/>
        </w:rPr>
        <w:t>The Conference of the Parties</w:t>
      </w:r>
    </w:p>
    <w:p w:rsidR="00D065BA" w:rsidRPr="005D6D70" w:rsidRDefault="00D065BA" w:rsidP="00D065BA">
      <w:pPr>
        <w:pStyle w:val="Normalnumber"/>
        <w:tabs>
          <w:tab w:val="clear" w:pos="1247"/>
          <w:tab w:val="clear" w:pos="1814"/>
          <w:tab w:val="clear" w:pos="2381"/>
          <w:tab w:val="clear" w:pos="2948"/>
          <w:tab w:val="clear" w:pos="3515"/>
        </w:tabs>
        <w:ind w:left="1247" w:firstLine="624"/>
      </w:pPr>
      <w:r w:rsidRPr="005D6D70">
        <w:rPr>
          <w:lang w:eastAsia="nl-NL"/>
        </w:rPr>
        <w:t>1.</w:t>
      </w:r>
      <w:r w:rsidRPr="005D6D70">
        <w:rPr>
          <w:i/>
          <w:lang w:eastAsia="nl-NL"/>
        </w:rPr>
        <w:tab/>
        <w:t xml:space="preserve">Expresses </w:t>
      </w:r>
      <w:r w:rsidRPr="005D6D70">
        <w:rPr>
          <w:lang w:eastAsia="nl-NL"/>
        </w:rPr>
        <w:t>its appreciation to those Parties to the Basel Convention that</w:t>
      </w:r>
      <w:r w:rsidRPr="005D6D70">
        <w:t xml:space="preserve"> have provided information for the year 2015 relevant to the indicators listed in section V of the strategic framework for the implementation of the Basel Convention for 2012–2021</w:t>
      </w:r>
      <w:r w:rsidRPr="006F0C39">
        <w:rPr>
          <w:rStyle w:val="FootnoteReference"/>
        </w:rPr>
        <w:footnoteReference w:id="1"/>
      </w:r>
      <w:r w:rsidRPr="005D6D70">
        <w:t xml:space="preserve"> </w:t>
      </w:r>
      <w:r w:rsidRPr="005D6D70">
        <w:rPr>
          <w:lang w:eastAsia="nl-NL"/>
        </w:rPr>
        <w:t xml:space="preserve">as requested in paragraph 17 of the strategic framework and using the format for reporting developed by the Secretariat; </w:t>
      </w:r>
    </w:p>
    <w:p w:rsidR="00D065BA" w:rsidRPr="005D6D70" w:rsidRDefault="00D065BA" w:rsidP="00D065BA">
      <w:pPr>
        <w:pStyle w:val="Normalnumber"/>
        <w:tabs>
          <w:tab w:val="clear" w:pos="1247"/>
          <w:tab w:val="clear" w:pos="1814"/>
          <w:tab w:val="clear" w:pos="2381"/>
          <w:tab w:val="clear" w:pos="2948"/>
          <w:tab w:val="clear" w:pos="3515"/>
        </w:tabs>
        <w:ind w:left="1247" w:firstLine="624"/>
      </w:pPr>
      <w:r w:rsidRPr="005D6D70">
        <w:rPr>
          <w:lang w:eastAsia="nl-NL"/>
        </w:rPr>
        <w:t>2.</w:t>
      </w:r>
      <w:r w:rsidRPr="005D6D70">
        <w:rPr>
          <w:i/>
          <w:lang w:eastAsia="nl-NL"/>
        </w:rPr>
        <w:tab/>
        <w:t>Notes,</w:t>
      </w:r>
      <w:r w:rsidRPr="005D6D70">
        <w:rPr>
          <w:i/>
        </w:rPr>
        <w:t xml:space="preserve"> </w:t>
      </w:r>
      <w:r w:rsidRPr="005D6D70">
        <w:rPr>
          <w:rFonts w:eastAsia="SimSun"/>
        </w:rPr>
        <w:t xml:space="preserve">however, that only 11 per cent of the Parties have submitted information for the year 2015 to the Secretariat and that only 4 per cent of the Parties have submitted information for both the years 2011 and 2015, thereby hindering the midterm evaluation of the strategic framework as well as the final evaluation to take place in 2021; </w:t>
      </w:r>
    </w:p>
    <w:p w:rsidR="00D065BA" w:rsidRPr="005D6D70" w:rsidRDefault="00D065BA" w:rsidP="00D065BA">
      <w:pPr>
        <w:pStyle w:val="Normalnumber"/>
        <w:tabs>
          <w:tab w:val="clear" w:pos="1247"/>
          <w:tab w:val="clear" w:pos="1814"/>
          <w:tab w:val="clear" w:pos="2381"/>
          <w:tab w:val="clear" w:pos="2948"/>
          <w:tab w:val="clear" w:pos="3515"/>
        </w:tabs>
        <w:ind w:left="1247" w:firstLine="624"/>
      </w:pPr>
      <w:r w:rsidRPr="005D6D70">
        <w:t>3.</w:t>
      </w:r>
      <w:r w:rsidRPr="005D6D70">
        <w:rPr>
          <w:i/>
        </w:rPr>
        <w:tab/>
        <w:t>Acknowledges</w:t>
      </w:r>
      <w:r w:rsidRPr="005D6D70">
        <w:t xml:space="preserve"> that the midterm evaluation report could not be prepared owing in part to the reasons described in the note by the Secretariat,</w:t>
      </w:r>
      <w:r w:rsidRPr="00B34477">
        <w:rPr>
          <w:vertAlign w:val="superscript"/>
        </w:rPr>
        <w:footnoteReference w:id="2"/>
      </w:r>
      <w:r w:rsidRPr="00B34477">
        <w:rPr>
          <w:vertAlign w:val="superscript"/>
        </w:rPr>
        <w:t xml:space="preserve"> </w:t>
      </w:r>
      <w:r w:rsidRPr="005D6D70">
        <w:t xml:space="preserve">in particular the low level of responses to the request for information in support of the indicators and a lack of financial contributions for the purpose of retaining a consultant to collect data and prepare the report; </w:t>
      </w:r>
    </w:p>
    <w:p w:rsidR="00D065BA" w:rsidRPr="005D6D70" w:rsidRDefault="00D065BA" w:rsidP="00D065BA">
      <w:pPr>
        <w:pStyle w:val="Normalnumber"/>
        <w:tabs>
          <w:tab w:val="clear" w:pos="1247"/>
          <w:tab w:val="clear" w:pos="1814"/>
          <w:tab w:val="clear" w:pos="2381"/>
          <w:tab w:val="clear" w:pos="2948"/>
          <w:tab w:val="clear" w:pos="3515"/>
        </w:tabs>
        <w:ind w:left="1247" w:firstLine="624"/>
      </w:pPr>
      <w:r w:rsidRPr="005D6D70">
        <w:t>4.</w:t>
      </w:r>
      <w:r w:rsidRPr="005D6D70">
        <w:tab/>
      </w:r>
      <w:r w:rsidRPr="005D6D70">
        <w:rPr>
          <w:i/>
        </w:rPr>
        <w:t xml:space="preserve">Notes </w:t>
      </w:r>
      <w:r w:rsidRPr="005D6D70">
        <w:t xml:space="preserve">that the approach used for gathering the information to assess the implementation of the strategic framework needs to be improved; </w:t>
      </w:r>
    </w:p>
    <w:p w:rsidR="00D065BA" w:rsidRPr="005D6D70" w:rsidRDefault="00D065BA" w:rsidP="00D065BA">
      <w:pPr>
        <w:pStyle w:val="Normalnumber"/>
        <w:tabs>
          <w:tab w:val="clear" w:pos="1247"/>
          <w:tab w:val="clear" w:pos="1814"/>
          <w:tab w:val="clear" w:pos="2381"/>
          <w:tab w:val="clear" w:pos="2948"/>
          <w:tab w:val="clear" w:pos="3515"/>
        </w:tabs>
        <w:ind w:left="1247" w:firstLine="624"/>
      </w:pPr>
      <w:r w:rsidRPr="005D6D70">
        <w:t>5.</w:t>
      </w:r>
      <w:r w:rsidRPr="005D6D70">
        <w:rPr>
          <w:i/>
        </w:rPr>
        <w:tab/>
        <w:t xml:space="preserve">Decides </w:t>
      </w:r>
      <w:r w:rsidRPr="005D6D70">
        <w:t xml:space="preserve">to forgo the midterm evaluation and adopt a new approach for the preparation of the final evaluation of the strategic framework in time for the </w:t>
      </w:r>
      <w:r w:rsidRPr="005D6D70">
        <w:rPr>
          <w:lang w:eastAsia="nl-NL"/>
        </w:rPr>
        <w:t>fifteenth meeting of the Conference of the Parties</w:t>
      </w:r>
      <w:r w:rsidRPr="005D6D70">
        <w:t>, in 2021;</w:t>
      </w:r>
    </w:p>
    <w:p w:rsidR="00D065BA" w:rsidRPr="005D6D70" w:rsidRDefault="00D065BA" w:rsidP="00D065BA">
      <w:pPr>
        <w:pStyle w:val="Normalnumber"/>
        <w:tabs>
          <w:tab w:val="clear" w:pos="1247"/>
          <w:tab w:val="clear" w:pos="1814"/>
          <w:tab w:val="clear" w:pos="2381"/>
          <w:tab w:val="clear" w:pos="2948"/>
          <w:tab w:val="clear" w:pos="3515"/>
        </w:tabs>
        <w:ind w:left="1247" w:firstLine="624"/>
      </w:pPr>
      <w:r w:rsidRPr="005D6D70">
        <w:rPr>
          <w:lang w:eastAsia="nl-NL"/>
        </w:rPr>
        <w:t>6.</w:t>
      </w:r>
      <w:r w:rsidRPr="005D6D70">
        <w:rPr>
          <w:lang w:eastAsia="nl-NL"/>
        </w:rPr>
        <w:tab/>
      </w:r>
      <w:r w:rsidRPr="005D6D70">
        <w:rPr>
          <w:i/>
          <w:lang w:eastAsia="nl-NL"/>
        </w:rPr>
        <w:t xml:space="preserve">Establishes </w:t>
      </w:r>
      <w:r w:rsidRPr="005D6D70">
        <w:rPr>
          <w:lang w:eastAsia="nl-NL"/>
        </w:rPr>
        <w:t xml:space="preserve">a small </w:t>
      </w:r>
      <w:proofErr w:type="spellStart"/>
      <w:r w:rsidRPr="005D6D70">
        <w:rPr>
          <w:lang w:eastAsia="nl-NL"/>
        </w:rPr>
        <w:t>intersessional</w:t>
      </w:r>
      <w:proofErr w:type="spellEnd"/>
      <w:r w:rsidRPr="005D6D70">
        <w:rPr>
          <w:lang w:eastAsia="nl-NL"/>
        </w:rPr>
        <w:t xml:space="preserve"> working group that is open in nature and decides</w:t>
      </w:r>
      <w:r w:rsidRPr="005D6D70">
        <w:rPr>
          <w:i/>
          <w:lang w:eastAsia="nl-NL"/>
        </w:rPr>
        <w:t xml:space="preserve"> </w:t>
      </w:r>
      <w:r w:rsidRPr="005D6D70">
        <w:rPr>
          <w:lang w:eastAsia="nl-NL"/>
        </w:rPr>
        <w:t>that the group shall consist of ten members nominated by Parties based on equitable geographical representation of the five regional groups of the United Nations and will be open to observers;</w:t>
      </w:r>
    </w:p>
    <w:p w:rsidR="00D065BA" w:rsidRPr="005D6D70" w:rsidRDefault="00D065BA" w:rsidP="00D065BA">
      <w:pPr>
        <w:pStyle w:val="Normalnumber"/>
        <w:tabs>
          <w:tab w:val="clear" w:pos="1247"/>
          <w:tab w:val="clear" w:pos="1814"/>
          <w:tab w:val="clear" w:pos="2381"/>
          <w:tab w:val="clear" w:pos="2948"/>
          <w:tab w:val="clear" w:pos="3515"/>
        </w:tabs>
        <w:ind w:left="1247" w:firstLine="624"/>
      </w:pPr>
      <w:r w:rsidRPr="005D6D70">
        <w:rPr>
          <w:lang w:eastAsia="nl-NL"/>
        </w:rPr>
        <w:t>7.</w:t>
      </w:r>
      <w:r w:rsidRPr="005D6D70">
        <w:rPr>
          <w:i/>
          <w:lang w:eastAsia="nl-NL"/>
        </w:rPr>
        <w:tab/>
        <w:t xml:space="preserve">Requests </w:t>
      </w:r>
      <w:r w:rsidRPr="005D6D70">
        <w:rPr>
          <w:lang w:eastAsia="nl-NL"/>
        </w:rPr>
        <w:t xml:space="preserve">each regional group to nominate from Parties, through its Bureau representative and by 31 July 2017, two members of the small </w:t>
      </w:r>
      <w:proofErr w:type="spellStart"/>
      <w:r w:rsidRPr="005D6D70">
        <w:rPr>
          <w:lang w:eastAsia="nl-NL"/>
        </w:rPr>
        <w:t>intersessional</w:t>
      </w:r>
      <w:proofErr w:type="spellEnd"/>
      <w:r w:rsidRPr="005D6D70">
        <w:rPr>
          <w:lang w:eastAsia="nl-NL"/>
        </w:rPr>
        <w:t xml:space="preserve"> working group with specific knowledge and expertise in the evaluation of strategic plans, programmes,</w:t>
      </w:r>
      <w:r w:rsidRPr="00236CF3">
        <w:rPr>
          <w:lang w:eastAsia="nl-NL"/>
        </w:rPr>
        <w:t xml:space="preserve"> </w:t>
      </w:r>
      <w:r w:rsidRPr="005D6D70">
        <w:rPr>
          <w:lang w:eastAsia="nl-NL"/>
        </w:rPr>
        <w:t xml:space="preserve">treaties or the national implementation of the Basel Convention. The small </w:t>
      </w:r>
      <w:proofErr w:type="spellStart"/>
      <w:r w:rsidRPr="005D6D70">
        <w:rPr>
          <w:lang w:eastAsia="nl-NL"/>
        </w:rPr>
        <w:t>intersessional</w:t>
      </w:r>
      <w:proofErr w:type="spellEnd"/>
      <w:r w:rsidRPr="005D6D70">
        <w:rPr>
          <w:lang w:eastAsia="nl-NL"/>
        </w:rPr>
        <w:t xml:space="preserve"> working group shall call upon additional experts as needed, subject to the availability of resources;</w:t>
      </w:r>
    </w:p>
    <w:p w:rsidR="00D065BA" w:rsidRPr="005D6D70" w:rsidRDefault="00D065BA" w:rsidP="00D065BA">
      <w:pPr>
        <w:pStyle w:val="Normalnumber"/>
        <w:tabs>
          <w:tab w:val="clear" w:pos="1247"/>
          <w:tab w:val="clear" w:pos="1814"/>
          <w:tab w:val="clear" w:pos="2381"/>
          <w:tab w:val="clear" w:pos="2948"/>
          <w:tab w:val="clear" w:pos="3515"/>
        </w:tabs>
        <w:ind w:left="1247" w:firstLine="624"/>
      </w:pPr>
      <w:r w:rsidRPr="005D6D70">
        <w:rPr>
          <w:lang w:eastAsia="nl-NL"/>
        </w:rPr>
        <w:t>8.</w:t>
      </w:r>
      <w:r w:rsidRPr="005D6D70">
        <w:rPr>
          <w:i/>
          <w:lang w:eastAsia="nl-NL"/>
        </w:rPr>
        <w:tab/>
        <w:t xml:space="preserve">Requests </w:t>
      </w:r>
      <w:r w:rsidRPr="005D6D70">
        <w:rPr>
          <w:lang w:eastAsia="nl-NL"/>
        </w:rPr>
        <w:t xml:space="preserve">the small </w:t>
      </w:r>
      <w:proofErr w:type="spellStart"/>
      <w:r w:rsidRPr="005D6D70">
        <w:rPr>
          <w:lang w:eastAsia="nl-NL"/>
        </w:rPr>
        <w:t>intersessional</w:t>
      </w:r>
      <w:proofErr w:type="spellEnd"/>
      <w:r w:rsidRPr="005D6D70">
        <w:rPr>
          <w:lang w:eastAsia="nl-NL"/>
        </w:rPr>
        <w:t xml:space="preserve"> working group to elect its own co-chairs. The working language of the group shall be English and the group shall otherwise organize its working modalities according to the rules of procedure of the Basel Convention;</w:t>
      </w:r>
    </w:p>
    <w:p w:rsidR="00D065BA" w:rsidRPr="005D6D70" w:rsidRDefault="00D065BA" w:rsidP="00D065BA">
      <w:pPr>
        <w:pStyle w:val="Normalnumber"/>
        <w:tabs>
          <w:tab w:val="clear" w:pos="1247"/>
          <w:tab w:val="clear" w:pos="1814"/>
          <w:tab w:val="clear" w:pos="2381"/>
          <w:tab w:val="clear" w:pos="2948"/>
          <w:tab w:val="clear" w:pos="3515"/>
        </w:tabs>
        <w:ind w:left="1247" w:firstLine="624"/>
      </w:pPr>
      <w:r w:rsidRPr="005D6D70">
        <w:t>9.</w:t>
      </w:r>
      <w:r w:rsidRPr="005D6D70">
        <w:rPr>
          <w:i/>
        </w:rPr>
        <w:tab/>
        <w:t xml:space="preserve">Requests </w:t>
      </w:r>
      <w:r w:rsidRPr="005D6D70">
        <w:t xml:space="preserve">the Secretariat, in consultation with the small </w:t>
      </w:r>
      <w:proofErr w:type="spellStart"/>
      <w:r w:rsidRPr="005D6D70">
        <w:t>intersessional</w:t>
      </w:r>
      <w:proofErr w:type="spellEnd"/>
      <w:r w:rsidRPr="005D6D70">
        <w:t xml:space="preserve"> working group: </w:t>
      </w:r>
    </w:p>
    <w:p w:rsidR="00D065BA" w:rsidRPr="005D6D70" w:rsidRDefault="00D065BA" w:rsidP="00D065BA">
      <w:pPr>
        <w:pStyle w:val="Normalnumber"/>
        <w:numPr>
          <w:ilvl w:val="1"/>
          <w:numId w:val="1"/>
        </w:numPr>
        <w:tabs>
          <w:tab w:val="clear" w:pos="1247"/>
          <w:tab w:val="clear" w:pos="1814"/>
          <w:tab w:val="clear" w:pos="2381"/>
          <w:tab w:val="clear" w:pos="2948"/>
          <w:tab w:val="clear" w:pos="3515"/>
          <w:tab w:val="num" w:pos="624"/>
        </w:tabs>
        <w:ind w:firstLine="624"/>
        <w:rPr>
          <w:lang w:eastAsia="nl-NL"/>
        </w:rPr>
      </w:pPr>
      <w:r w:rsidRPr="005D6D70">
        <w:t>To identify all relevant sources of information related to the indicators to be used for the preparation of the final evaluation of the strategic framework, such as Parties’ annual national reports, documents and reports from the Committee Administering the Mechanism for Promoting Implementation and Compliance of the Basel Convention, publications of the Basel Convention, work of the Basel Convention partnerships and regional and coordinating centres and the decisions adopted by the Conference of the Parties;</w:t>
      </w:r>
    </w:p>
    <w:p w:rsidR="00D065BA" w:rsidRPr="005D6D70" w:rsidRDefault="00D065BA" w:rsidP="00D065BA">
      <w:pPr>
        <w:pStyle w:val="Normalnumber"/>
        <w:numPr>
          <w:ilvl w:val="1"/>
          <w:numId w:val="1"/>
        </w:numPr>
        <w:tabs>
          <w:tab w:val="clear" w:pos="1247"/>
          <w:tab w:val="clear" w:pos="1814"/>
          <w:tab w:val="clear" w:pos="2381"/>
          <w:tab w:val="clear" w:pos="2948"/>
          <w:tab w:val="clear" w:pos="3515"/>
          <w:tab w:val="num" w:pos="624"/>
        </w:tabs>
        <w:ind w:firstLine="624"/>
        <w:rPr>
          <w:lang w:eastAsia="nl-NL"/>
        </w:rPr>
      </w:pPr>
      <w:r w:rsidRPr="005D6D70">
        <w:t xml:space="preserve">To gather and compile the necessary additional information from sources identified in subparagraph 9 (a) above relevant to indicators in the strategic framework; </w:t>
      </w:r>
    </w:p>
    <w:p w:rsidR="00D065BA" w:rsidRPr="005D6D70" w:rsidRDefault="00D065BA" w:rsidP="00D065BA">
      <w:pPr>
        <w:pStyle w:val="Normalnumber"/>
        <w:numPr>
          <w:ilvl w:val="1"/>
          <w:numId w:val="1"/>
        </w:numPr>
        <w:tabs>
          <w:tab w:val="clear" w:pos="1247"/>
          <w:tab w:val="clear" w:pos="1814"/>
          <w:tab w:val="clear" w:pos="2381"/>
          <w:tab w:val="clear" w:pos="2948"/>
          <w:tab w:val="clear" w:pos="3515"/>
          <w:tab w:val="num" w:pos="624"/>
        </w:tabs>
        <w:ind w:firstLine="624"/>
        <w:rPr>
          <w:lang w:eastAsia="nl-NL"/>
        </w:rPr>
      </w:pPr>
      <w:r w:rsidRPr="005D6D70">
        <w:t xml:space="preserve">To prepare a draft compilation of the information referred to in subparagraph 9 (b) above for consideration by the </w:t>
      </w:r>
      <w:r w:rsidRPr="005D6D70">
        <w:rPr>
          <w:lang w:eastAsia="nl-NL"/>
        </w:rPr>
        <w:t>Open-ended Working Group at its eleventh meeting and to finalize the compilation for consideration by the Conference of the Parties at its fourteenth meeting;</w:t>
      </w:r>
    </w:p>
    <w:p w:rsidR="00D065BA" w:rsidRPr="005D6D70" w:rsidRDefault="00D065BA" w:rsidP="00D065BA">
      <w:pPr>
        <w:pStyle w:val="Normalnumber"/>
        <w:numPr>
          <w:ilvl w:val="1"/>
          <w:numId w:val="1"/>
        </w:numPr>
        <w:tabs>
          <w:tab w:val="clear" w:pos="1247"/>
          <w:tab w:val="clear" w:pos="1814"/>
          <w:tab w:val="clear" w:pos="2381"/>
          <w:tab w:val="clear" w:pos="2948"/>
          <w:tab w:val="clear" w:pos="3515"/>
          <w:tab w:val="num" w:pos="624"/>
        </w:tabs>
        <w:ind w:firstLine="624"/>
        <w:rPr>
          <w:lang w:eastAsia="nl-NL"/>
        </w:rPr>
      </w:pPr>
      <w:r w:rsidRPr="005D6D70">
        <w:rPr>
          <w:lang w:eastAsia="nl-NL"/>
        </w:rPr>
        <w:lastRenderedPageBreak/>
        <w:t xml:space="preserve">To prepare, using as a basis the compilation of information referred to in subparagraph 9 (c) above, and taking into account any further comments by Parties and others as requested by the Conference of the Parties at its fourteenth meeting and the information provided by Parties relevant to the indicators and Parties’ annual national reports, a draft report on the final evaluation of the strategic framework for </w:t>
      </w:r>
      <w:r w:rsidRPr="005D6D70">
        <w:t xml:space="preserve">consideration by the </w:t>
      </w:r>
      <w:r w:rsidRPr="005D6D70">
        <w:rPr>
          <w:lang w:eastAsia="nl-NL"/>
        </w:rPr>
        <w:t>Open-ended Working Group at its twelfth meeting;</w:t>
      </w:r>
    </w:p>
    <w:p w:rsidR="00D065BA" w:rsidRPr="005D6D70" w:rsidRDefault="00D065BA" w:rsidP="00D065BA">
      <w:pPr>
        <w:pStyle w:val="Normalnumber"/>
        <w:numPr>
          <w:ilvl w:val="1"/>
          <w:numId w:val="1"/>
        </w:numPr>
        <w:tabs>
          <w:tab w:val="clear" w:pos="1247"/>
          <w:tab w:val="clear" w:pos="1814"/>
          <w:tab w:val="clear" w:pos="2381"/>
          <w:tab w:val="clear" w:pos="2948"/>
          <w:tab w:val="clear" w:pos="3515"/>
          <w:tab w:val="num" w:pos="624"/>
        </w:tabs>
        <w:ind w:firstLine="624"/>
        <w:rPr>
          <w:lang w:eastAsia="nl-NL"/>
        </w:rPr>
      </w:pPr>
      <w:r w:rsidRPr="005D6D70">
        <w:t xml:space="preserve">To </w:t>
      </w:r>
      <w:r w:rsidRPr="005D6D70">
        <w:rPr>
          <w:lang w:eastAsia="nl-NL"/>
        </w:rPr>
        <w:t>organize</w:t>
      </w:r>
      <w:r w:rsidRPr="005D6D70">
        <w:t xml:space="preserve"> one face-to-face meeting during the 2020–2021 biennium, unless otherwise decided by the Conference of the Parties at its fourteenth meeting; </w:t>
      </w:r>
    </w:p>
    <w:p w:rsidR="00D065BA" w:rsidRPr="005D6D70" w:rsidRDefault="00D065BA" w:rsidP="00D065BA">
      <w:pPr>
        <w:pStyle w:val="Normalnumber"/>
        <w:numPr>
          <w:ilvl w:val="1"/>
          <w:numId w:val="1"/>
        </w:numPr>
        <w:tabs>
          <w:tab w:val="clear" w:pos="1247"/>
          <w:tab w:val="clear" w:pos="1814"/>
          <w:tab w:val="clear" w:pos="2381"/>
          <w:tab w:val="clear" w:pos="2948"/>
          <w:tab w:val="clear" w:pos="3515"/>
          <w:tab w:val="num" w:pos="624"/>
        </w:tabs>
        <w:ind w:firstLine="624"/>
        <w:rPr>
          <w:lang w:eastAsia="nl-NL"/>
        </w:rPr>
      </w:pPr>
      <w:r w:rsidRPr="005D6D70">
        <w:rPr>
          <w:lang w:eastAsia="nl-NL"/>
        </w:rPr>
        <w:t xml:space="preserve"> To submit a final version of the report referred to in subparagraph 9 (d) above to the Conference of the Parties at its fifteenth meeting</w:t>
      </w:r>
      <w:r w:rsidRPr="005D6D70">
        <w:t>;</w:t>
      </w:r>
    </w:p>
    <w:p w:rsidR="00D065BA" w:rsidRPr="005D6D70" w:rsidRDefault="00D065BA" w:rsidP="00D065BA">
      <w:pPr>
        <w:pStyle w:val="Normalnumber"/>
        <w:tabs>
          <w:tab w:val="clear" w:pos="1247"/>
          <w:tab w:val="clear" w:pos="1814"/>
          <w:tab w:val="clear" w:pos="2381"/>
          <w:tab w:val="clear" w:pos="2948"/>
          <w:tab w:val="clear" w:pos="3515"/>
        </w:tabs>
        <w:ind w:left="1247" w:firstLine="624"/>
        <w:rPr>
          <w:lang w:eastAsia="nl-NL"/>
        </w:rPr>
      </w:pPr>
      <w:r w:rsidRPr="005D6D70">
        <w:t>10.</w:t>
      </w:r>
      <w:r w:rsidRPr="005D6D70">
        <w:rPr>
          <w:i/>
        </w:rPr>
        <w:tab/>
        <w:t xml:space="preserve">Requests </w:t>
      </w:r>
      <w:r w:rsidRPr="005D6D70">
        <w:t xml:space="preserve">the Secretariat to </w:t>
      </w:r>
      <w:r w:rsidRPr="0088208A">
        <w:t xml:space="preserve">support the small </w:t>
      </w:r>
      <w:proofErr w:type="spellStart"/>
      <w:r w:rsidRPr="0088208A">
        <w:t>intersessional</w:t>
      </w:r>
      <w:proofErr w:type="spellEnd"/>
      <w:r w:rsidRPr="005D6D70">
        <w:t xml:space="preserve"> working group in its work and to report on the implementation of the present decision to the </w:t>
      </w:r>
      <w:r w:rsidRPr="005D6D70">
        <w:rPr>
          <w:lang w:eastAsia="nl-NL"/>
        </w:rPr>
        <w:t>Open-ended Working Group at its eleventh meeting</w:t>
      </w:r>
      <w:r w:rsidRPr="005D6D70">
        <w:t xml:space="preserve"> and the </w:t>
      </w:r>
      <w:r w:rsidRPr="005D6D70">
        <w:rPr>
          <w:lang w:eastAsia="nl-NL"/>
        </w:rPr>
        <w:t>Conference of the Parties at its fourteenth meeting;</w:t>
      </w:r>
    </w:p>
    <w:p w:rsidR="00D065BA" w:rsidRPr="006F0C39" w:rsidRDefault="00D065BA" w:rsidP="00D065BA">
      <w:pPr>
        <w:pStyle w:val="Normalnumber"/>
        <w:tabs>
          <w:tab w:val="clear" w:pos="1247"/>
          <w:tab w:val="clear" w:pos="1814"/>
          <w:tab w:val="clear" w:pos="2381"/>
          <w:tab w:val="clear" w:pos="2948"/>
          <w:tab w:val="clear" w:pos="3515"/>
        </w:tabs>
        <w:ind w:left="1247" w:firstLine="624"/>
        <w:rPr>
          <w:b/>
        </w:rPr>
      </w:pPr>
      <w:r w:rsidRPr="005D6D70">
        <w:rPr>
          <w:lang w:eastAsia="nl-NL"/>
        </w:rPr>
        <w:t>11.</w:t>
      </w:r>
      <w:r w:rsidRPr="005D6D70">
        <w:rPr>
          <w:i/>
          <w:lang w:eastAsia="nl-NL"/>
        </w:rPr>
        <w:tab/>
        <w:t>Urges</w:t>
      </w:r>
      <w:r w:rsidRPr="005D6D70">
        <w:rPr>
          <w:lang w:eastAsia="nl-NL"/>
        </w:rPr>
        <w:t xml:space="preserve"> Parties to provide to the Secretariat, no later than 31 January 2020, information for the year 2019 relevant to the indicators listed in section V of the strategic framework, as requested in paragraph 17 of the strategic framework, using the format for reporting developed by the Secretariat. </w:t>
      </w:r>
    </w:p>
    <w:p w:rsidR="00357AEE" w:rsidRPr="00D065BA" w:rsidRDefault="00357AEE" w:rsidP="00D065BA">
      <w:pPr>
        <w:tabs>
          <w:tab w:val="clear" w:pos="1247"/>
          <w:tab w:val="clear" w:pos="1814"/>
          <w:tab w:val="clear" w:pos="2381"/>
          <w:tab w:val="clear" w:pos="2948"/>
          <w:tab w:val="clear" w:pos="3515"/>
        </w:tabs>
        <w:rPr>
          <w:i/>
        </w:rPr>
      </w:pPr>
    </w:p>
    <w:sectPr w:rsidR="00357AEE" w:rsidRPr="00D065BA" w:rsidSect="00357AE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2CAB" w:rsidRDefault="00222CAB" w:rsidP="00D065BA">
      <w:r>
        <w:separator/>
      </w:r>
    </w:p>
  </w:endnote>
  <w:endnote w:type="continuationSeparator" w:id="0">
    <w:p w:rsidR="00222CAB" w:rsidRDefault="00222CAB" w:rsidP="00D065B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2CAB" w:rsidRDefault="00222CAB" w:rsidP="00D065BA">
      <w:r>
        <w:separator/>
      </w:r>
    </w:p>
  </w:footnote>
  <w:footnote w:type="continuationSeparator" w:id="0">
    <w:p w:rsidR="00222CAB" w:rsidRDefault="00222CAB" w:rsidP="00D065BA">
      <w:r>
        <w:continuationSeparator/>
      </w:r>
    </w:p>
  </w:footnote>
  <w:footnote w:id="1">
    <w:p w:rsidR="00D065BA" w:rsidRPr="00B34477" w:rsidRDefault="00D065BA" w:rsidP="00D065BA">
      <w:pPr>
        <w:pStyle w:val="NormalNonumber"/>
        <w:tabs>
          <w:tab w:val="left" w:pos="624"/>
        </w:tabs>
        <w:spacing w:before="20" w:after="40"/>
        <w:ind w:right="57"/>
        <w:rPr>
          <w:sz w:val="18"/>
          <w:szCs w:val="18"/>
          <w:lang w:val="en-US"/>
        </w:rPr>
      </w:pPr>
      <w:r w:rsidRPr="00B34477">
        <w:rPr>
          <w:rStyle w:val="FootnoteReference"/>
          <w:sz w:val="18"/>
        </w:rPr>
        <w:footnoteRef/>
      </w:r>
      <w:r w:rsidRPr="00B34477">
        <w:rPr>
          <w:sz w:val="18"/>
          <w:szCs w:val="18"/>
        </w:rPr>
        <w:t xml:space="preserve"> </w:t>
      </w:r>
      <w:proofErr w:type="gramStart"/>
      <w:r w:rsidRPr="00B34477">
        <w:rPr>
          <w:sz w:val="18"/>
          <w:szCs w:val="18"/>
          <w:lang w:val="en-US"/>
        </w:rPr>
        <w:t>Decision BC-10/2, annex.</w:t>
      </w:r>
      <w:proofErr w:type="gramEnd"/>
    </w:p>
  </w:footnote>
  <w:footnote w:id="2">
    <w:p w:rsidR="00D065BA" w:rsidRPr="00B34477" w:rsidRDefault="00D065BA" w:rsidP="00D065BA">
      <w:pPr>
        <w:pStyle w:val="NormalNonumber"/>
        <w:tabs>
          <w:tab w:val="left" w:pos="624"/>
        </w:tabs>
        <w:spacing w:before="20" w:after="40"/>
        <w:ind w:right="57"/>
        <w:rPr>
          <w:sz w:val="18"/>
          <w:szCs w:val="18"/>
        </w:rPr>
      </w:pPr>
      <w:r w:rsidRPr="00B34477">
        <w:rPr>
          <w:rStyle w:val="FootnoteReference"/>
          <w:sz w:val="18"/>
        </w:rPr>
        <w:footnoteRef/>
      </w:r>
      <w:r w:rsidRPr="00B34477">
        <w:rPr>
          <w:sz w:val="18"/>
          <w:szCs w:val="18"/>
        </w:rPr>
        <w:t xml:space="preserve"> UNEP/CHW.13/3.</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1113A7"/>
    <w:multiLevelType w:val="multilevel"/>
    <w:tmpl w:val="48241D10"/>
    <w:numStyleLink w:val="Normallist"/>
  </w:abstractNum>
  <w:abstractNum w:abstractNumId="1">
    <w:nsid w:val="52A66A9D"/>
    <w:multiLevelType w:val="multilevel"/>
    <w:tmpl w:val="48241D10"/>
    <w:styleLink w:val="Normallist"/>
    <w:lvl w:ilvl="0">
      <w:start w:val="1"/>
      <w:numFmt w:val="decimal"/>
      <w:lvlText w:val="%1."/>
      <w:lvlJc w:val="left"/>
      <w:pPr>
        <w:tabs>
          <w:tab w:val="num" w:pos="567"/>
        </w:tabs>
        <w:ind w:left="1247" w:firstLine="0"/>
      </w:pPr>
      <w:rPr>
        <w:rFonts w:hint="default"/>
      </w:rPr>
    </w:lvl>
    <w:lvl w:ilvl="1">
      <w:start w:val="1"/>
      <w:numFmt w:val="lowerLetter"/>
      <w:lvlText w:val="(%2)"/>
      <w:lvlJc w:val="left"/>
      <w:pPr>
        <w:tabs>
          <w:tab w:val="num" w:pos="567"/>
        </w:tabs>
        <w:ind w:left="1247" w:firstLine="567"/>
      </w:pPr>
      <w:rPr>
        <w:rFonts w:hint="default"/>
      </w:rPr>
    </w:lvl>
    <w:lvl w:ilvl="2">
      <w:start w:val="1"/>
      <w:numFmt w:val="lowerRoman"/>
      <w:lvlText w:val="(%3)"/>
      <w:lvlJc w:val="left"/>
      <w:pPr>
        <w:tabs>
          <w:tab w:val="num" w:pos="567"/>
        </w:tabs>
        <w:ind w:left="2948" w:hanging="567"/>
      </w:pPr>
      <w:rPr>
        <w:rFonts w:hint="default"/>
      </w:rPr>
    </w:lvl>
    <w:lvl w:ilvl="3">
      <w:start w:val="1"/>
      <w:numFmt w:val="lowerLetter"/>
      <w:lvlText w:val="%4."/>
      <w:lvlJc w:val="left"/>
      <w:pPr>
        <w:tabs>
          <w:tab w:val="num" w:pos="567"/>
        </w:tabs>
        <w:ind w:left="3515" w:hanging="567"/>
      </w:pPr>
      <w:rPr>
        <w:rFonts w:hint="default"/>
      </w:rPr>
    </w:lvl>
    <w:lvl w:ilvl="4">
      <w:start w:val="1"/>
      <w:numFmt w:val="lowerLetter"/>
      <w:lvlText w:val="%5."/>
      <w:lvlJc w:val="left"/>
      <w:pPr>
        <w:tabs>
          <w:tab w:val="num" w:pos="6548"/>
        </w:tabs>
        <w:ind w:left="6548" w:hanging="360"/>
      </w:pPr>
      <w:rPr>
        <w:rFonts w:hint="default"/>
      </w:rPr>
    </w:lvl>
    <w:lvl w:ilvl="5">
      <w:start w:val="1"/>
      <w:numFmt w:val="lowerRoman"/>
      <w:lvlText w:val="%6."/>
      <w:lvlJc w:val="right"/>
      <w:pPr>
        <w:tabs>
          <w:tab w:val="num" w:pos="7268"/>
        </w:tabs>
        <w:ind w:left="7268" w:hanging="180"/>
      </w:pPr>
      <w:rPr>
        <w:rFonts w:hint="default"/>
      </w:rPr>
    </w:lvl>
    <w:lvl w:ilvl="6">
      <w:start w:val="1"/>
      <w:numFmt w:val="decimal"/>
      <w:lvlText w:val="%7."/>
      <w:lvlJc w:val="left"/>
      <w:pPr>
        <w:tabs>
          <w:tab w:val="num" w:pos="7988"/>
        </w:tabs>
        <w:ind w:left="7988" w:hanging="360"/>
      </w:pPr>
      <w:rPr>
        <w:rFonts w:hint="default"/>
      </w:rPr>
    </w:lvl>
    <w:lvl w:ilvl="7">
      <w:start w:val="1"/>
      <w:numFmt w:val="lowerLetter"/>
      <w:lvlText w:val="%8."/>
      <w:lvlJc w:val="left"/>
      <w:pPr>
        <w:tabs>
          <w:tab w:val="num" w:pos="8708"/>
        </w:tabs>
        <w:ind w:left="8708" w:hanging="360"/>
      </w:pPr>
      <w:rPr>
        <w:rFonts w:hint="default"/>
      </w:rPr>
    </w:lvl>
    <w:lvl w:ilvl="8">
      <w:start w:val="1"/>
      <w:numFmt w:val="lowerRoman"/>
      <w:lvlText w:val="%9."/>
      <w:lvlJc w:val="right"/>
      <w:pPr>
        <w:tabs>
          <w:tab w:val="num" w:pos="9428"/>
        </w:tabs>
        <w:ind w:left="9428" w:hanging="180"/>
      </w:pPr>
      <w:rPr>
        <w:rFonts w:hint="default"/>
      </w:rPr>
    </w:lvl>
  </w:abstractNum>
  <w:num w:numId="1">
    <w:abstractNumId w:val="0"/>
    <w:lvlOverride w:ilvl="0">
      <w:startOverride w:val="1"/>
      <w:lvl w:ilvl="0">
        <w:start w:val="1"/>
        <w:numFmt w:val="decimal"/>
        <w:lvlText w:val="%1."/>
        <w:lvlJc w:val="left"/>
        <w:pPr>
          <w:tabs>
            <w:tab w:val="num" w:pos="567"/>
          </w:tabs>
          <w:ind w:left="1247" w:firstLine="0"/>
        </w:pPr>
      </w:lvl>
    </w:lvlOverride>
    <w:lvlOverride w:ilvl="1">
      <w:startOverride w:val="1"/>
      <w:lvl w:ilvl="1">
        <w:start w:val="1"/>
        <w:numFmt w:val="lowerLetter"/>
        <w:lvlText w:val="(%2)"/>
        <w:lvlJc w:val="left"/>
        <w:pPr>
          <w:tabs>
            <w:tab w:val="num" w:pos="567"/>
          </w:tabs>
          <w:ind w:left="1247" w:firstLine="567"/>
        </w:pPr>
        <w:rPr>
          <w:rFonts w:hint="default"/>
        </w:rPr>
      </w:lvl>
    </w:lvlOverride>
    <w:lvlOverride w:ilvl="2">
      <w:startOverride w:val="1"/>
      <w:lvl w:ilvl="2">
        <w:start w:val="1"/>
        <w:numFmt w:val="lowerRoman"/>
        <w:lvlText w:val="(%3)"/>
        <w:lvlJc w:val="left"/>
        <w:pPr>
          <w:tabs>
            <w:tab w:val="num" w:pos="567"/>
          </w:tabs>
          <w:ind w:left="2948" w:hanging="567"/>
        </w:pPr>
        <w:rPr>
          <w:rFonts w:hint="default"/>
        </w:rPr>
      </w:lvl>
    </w:lvlOverride>
    <w:lvlOverride w:ilvl="3">
      <w:startOverride w:val="1"/>
      <w:lvl w:ilvl="3">
        <w:start w:val="1"/>
        <w:numFmt w:val="lowerLetter"/>
        <w:lvlText w:val="%4."/>
        <w:lvlJc w:val="left"/>
        <w:pPr>
          <w:tabs>
            <w:tab w:val="num" w:pos="567"/>
          </w:tabs>
          <w:ind w:left="3515" w:hanging="567"/>
        </w:pPr>
        <w:rPr>
          <w:rFonts w:hint="default"/>
        </w:rPr>
      </w:lvl>
    </w:lvlOverride>
    <w:lvlOverride w:ilvl="4">
      <w:startOverride w:val="1"/>
      <w:lvl w:ilvl="4">
        <w:start w:val="1"/>
        <w:numFmt w:val="lowerLetter"/>
        <w:lvlText w:val="%5."/>
        <w:lvlJc w:val="left"/>
        <w:pPr>
          <w:tabs>
            <w:tab w:val="num" w:pos="6548"/>
          </w:tabs>
          <w:ind w:left="6548" w:hanging="360"/>
        </w:pPr>
        <w:rPr>
          <w:rFonts w:hint="default"/>
        </w:rPr>
      </w:lvl>
    </w:lvlOverride>
    <w:lvlOverride w:ilvl="5">
      <w:startOverride w:val="1"/>
      <w:lvl w:ilvl="5">
        <w:start w:val="1"/>
        <w:numFmt w:val="lowerRoman"/>
        <w:lvlText w:val="%6."/>
        <w:lvlJc w:val="right"/>
        <w:pPr>
          <w:tabs>
            <w:tab w:val="num" w:pos="7268"/>
          </w:tabs>
          <w:ind w:left="7268" w:hanging="180"/>
        </w:pPr>
        <w:rPr>
          <w:rFonts w:hint="default"/>
        </w:rPr>
      </w:lvl>
    </w:lvlOverride>
    <w:lvlOverride w:ilvl="6">
      <w:startOverride w:val="1"/>
      <w:lvl w:ilvl="6">
        <w:start w:val="1"/>
        <w:numFmt w:val="decimal"/>
        <w:lvlText w:val="%7."/>
        <w:lvlJc w:val="left"/>
        <w:pPr>
          <w:tabs>
            <w:tab w:val="num" w:pos="7988"/>
          </w:tabs>
          <w:ind w:left="7988" w:hanging="360"/>
        </w:pPr>
        <w:rPr>
          <w:rFonts w:hint="default"/>
        </w:rPr>
      </w:lvl>
    </w:lvlOverride>
    <w:lvlOverride w:ilvl="7">
      <w:startOverride w:val="1"/>
      <w:lvl w:ilvl="7">
        <w:start w:val="1"/>
        <w:numFmt w:val="lowerLetter"/>
        <w:lvlText w:val="%8."/>
        <w:lvlJc w:val="left"/>
        <w:pPr>
          <w:tabs>
            <w:tab w:val="num" w:pos="8708"/>
          </w:tabs>
          <w:ind w:left="8708" w:hanging="360"/>
        </w:pPr>
        <w:rPr>
          <w:rFonts w:hint="default"/>
        </w:rPr>
      </w:lvl>
    </w:lvlOverride>
    <w:lvlOverride w:ilvl="8">
      <w:startOverride w:val="1"/>
      <w:lvl w:ilvl="8">
        <w:start w:val="1"/>
        <w:numFmt w:val="lowerRoman"/>
        <w:lvlText w:val="%9."/>
        <w:lvlJc w:val="right"/>
        <w:pPr>
          <w:tabs>
            <w:tab w:val="num" w:pos="9428"/>
          </w:tabs>
          <w:ind w:left="9428" w:hanging="180"/>
        </w:pPr>
        <w:rPr>
          <w:rFonts w:hint="default"/>
        </w:rPr>
      </w:lvl>
    </w:lvlOverride>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D065BA"/>
    <w:rsid w:val="00222CAB"/>
    <w:rsid w:val="00357AEE"/>
    <w:rsid w:val="00D065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65BA"/>
    <w:pPr>
      <w:tabs>
        <w:tab w:val="left" w:pos="1247"/>
        <w:tab w:val="left" w:pos="1814"/>
        <w:tab w:val="left" w:pos="2381"/>
        <w:tab w:val="left" w:pos="2948"/>
        <w:tab w:val="left" w:pos="3515"/>
      </w:tabs>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aliases w:val="16 Point,Superscript 6 Point,ftref,(Ref. de nota al pie),number,SUPERS,Footnote Reference Superscript,Footnote Reference1,Ref,de nota al pie,註腳內容,de nota al pie + (Asian) MS Mincho,11 pt,Ref. de nota de rodapé1,stylish"/>
    <w:uiPriority w:val="99"/>
    <w:rsid w:val="00D065BA"/>
    <w:rPr>
      <w:rFonts w:ascii="Times New Roman" w:hAnsi="Times New Roman"/>
      <w:color w:val="auto"/>
      <w:sz w:val="20"/>
      <w:szCs w:val="18"/>
      <w:vertAlign w:val="superscript"/>
    </w:rPr>
  </w:style>
  <w:style w:type="paragraph" w:customStyle="1" w:styleId="Normalnumber">
    <w:name w:val="Normal_number"/>
    <w:basedOn w:val="Normal"/>
    <w:link w:val="NormalnumberChar"/>
    <w:rsid w:val="00D065BA"/>
    <w:pPr>
      <w:spacing w:after="120"/>
    </w:pPr>
  </w:style>
  <w:style w:type="paragraph" w:customStyle="1" w:styleId="BBTitle">
    <w:name w:val="BB_Title"/>
    <w:basedOn w:val="Normal"/>
    <w:rsid w:val="00D065BA"/>
    <w:pPr>
      <w:keepNext/>
      <w:keepLines/>
      <w:suppressAutoHyphens/>
      <w:spacing w:before="320" w:after="240"/>
      <w:ind w:left="1247" w:right="567"/>
    </w:pPr>
    <w:rPr>
      <w:b/>
      <w:sz w:val="28"/>
      <w:szCs w:val="28"/>
    </w:rPr>
  </w:style>
  <w:style w:type="numbering" w:customStyle="1" w:styleId="Normallist">
    <w:name w:val="Normal_list"/>
    <w:basedOn w:val="NoList"/>
    <w:rsid w:val="00D065BA"/>
    <w:pPr>
      <w:numPr>
        <w:numId w:val="2"/>
      </w:numPr>
    </w:pPr>
  </w:style>
  <w:style w:type="paragraph" w:customStyle="1" w:styleId="NormalNonumber">
    <w:name w:val="Normal_No_number"/>
    <w:basedOn w:val="Normal"/>
    <w:link w:val="NormalNonumberChar"/>
    <w:rsid w:val="00D065BA"/>
    <w:pPr>
      <w:spacing w:after="120"/>
      <w:ind w:left="1247"/>
    </w:pPr>
  </w:style>
  <w:style w:type="character" w:customStyle="1" w:styleId="NormalnumberChar">
    <w:name w:val="Normal_number Char"/>
    <w:link w:val="Normalnumber"/>
    <w:rsid w:val="00D065BA"/>
    <w:rPr>
      <w:rFonts w:ascii="Times New Roman" w:eastAsia="Times New Roman" w:hAnsi="Times New Roman" w:cs="Times New Roman"/>
      <w:sz w:val="20"/>
      <w:szCs w:val="20"/>
      <w:lang w:val="en-GB"/>
    </w:rPr>
  </w:style>
  <w:style w:type="character" w:customStyle="1" w:styleId="NormalNonumberChar">
    <w:name w:val="Normal_No_number Char"/>
    <w:link w:val="NormalNonumber"/>
    <w:rsid w:val="00D065BA"/>
    <w:rPr>
      <w:rFonts w:ascii="Times New Roman" w:eastAsia="Times New Roman" w:hAnsi="Times New Roman" w:cs="Times New Roman"/>
      <w:sz w:val="20"/>
      <w:szCs w:val="20"/>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737</Words>
  <Characters>4205</Characters>
  <Application>Microsoft Office Word</Application>
  <DocSecurity>0</DocSecurity>
  <Lines>35</Lines>
  <Paragraphs>9</Paragraphs>
  <ScaleCrop>false</ScaleCrop>
  <Company>BRS</Company>
  <LinksUpToDate>false</LinksUpToDate>
  <CharactersWithSpaces>4933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achakwera</dc:creator>
  <cp:lastModifiedBy>achakwera</cp:lastModifiedBy>
  <cp:revision>1</cp:revision>
  <dcterms:created xsi:type="dcterms:W3CDTF">2018-01-05T11:16:00Z</dcterms:created>
  <dcterms:modified xsi:type="dcterms:W3CDTF">2018-01-05T11:16:00Z</dcterms:modified>
</cp:coreProperties>
</file>