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B72" w:rsidRPr="00056B72" w:rsidRDefault="00056B72" w:rsidP="00056B72">
      <w:pPr>
        <w:tabs>
          <w:tab w:val="left" w:pos="1247"/>
          <w:tab w:val="left" w:pos="1814"/>
          <w:tab w:val="left" w:pos="2381"/>
          <w:tab w:val="left" w:pos="2948"/>
          <w:tab w:val="left" w:pos="3515"/>
        </w:tabs>
        <w:suppressAutoHyphens/>
        <w:spacing w:before="320" w:after="240"/>
        <w:ind w:left="1247" w:right="567"/>
        <w:rPr>
          <w:b/>
          <w:sz w:val="28"/>
          <w:szCs w:val="28"/>
        </w:rPr>
      </w:pPr>
      <w:r w:rsidRPr="00CE3900">
        <w:rPr>
          <w:b/>
          <w:sz w:val="28"/>
          <w:szCs w:val="28"/>
        </w:rPr>
        <w:t xml:space="preserve">SC-8/24: Sinergias en la prevención y la lucha contra el tráfico y el comercio ilícitos de productos químicos y desechos </w:t>
      </w:r>
      <w:r w:rsidRPr="00056B72">
        <w:rPr>
          <w:b/>
          <w:sz w:val="28"/>
          <w:szCs w:val="28"/>
        </w:rPr>
        <w:t xml:space="preserve">peligrosos </w:t>
      </w:r>
    </w:p>
    <w:p w:rsidR="00056B72" w:rsidRPr="00056B72" w:rsidRDefault="00056B72" w:rsidP="00056B72">
      <w:pPr>
        <w:pStyle w:val="Normalpool"/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spacing w:after="120"/>
        <w:ind w:left="1247" w:firstLine="624"/>
        <w:rPr>
          <w:i/>
          <w:lang w:val="es-ES_tradnl"/>
        </w:rPr>
      </w:pPr>
      <w:r w:rsidRPr="00056B72">
        <w:rPr>
          <w:i/>
          <w:iCs/>
          <w:lang w:val="es-ES_tradnl"/>
        </w:rPr>
        <w:t>La Conferencia de las Partes,</w:t>
      </w:r>
    </w:p>
    <w:p w:rsidR="00056B72" w:rsidRPr="00056B72" w:rsidRDefault="00056B72" w:rsidP="00056B72">
      <w:pPr>
        <w:pStyle w:val="Normalpool"/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spacing w:after="120"/>
        <w:ind w:left="1247" w:firstLine="624"/>
        <w:rPr>
          <w:i/>
          <w:lang w:val="es-ES_tradnl"/>
        </w:rPr>
      </w:pPr>
      <w:r w:rsidRPr="00056B72">
        <w:rPr>
          <w:i/>
          <w:iCs/>
          <w:lang w:val="es-ES_tradnl"/>
        </w:rPr>
        <w:t>Haciendo notar</w:t>
      </w:r>
      <w:r w:rsidRPr="00056B72">
        <w:rPr>
          <w:lang w:val="es-ES_tradnl"/>
        </w:rPr>
        <w:t xml:space="preserve"> las esferas de acción prioritarias señaladas en la decisión SC-8/18, sobre la evaluación de la eficacia, que guardan relación con el fortalecimiento de las leyes y reglamentos para la aplicación y el cumplimiento del Convenio de Estocolmo sobre Contaminantes Orgánicos Persistentes,</w:t>
      </w:r>
    </w:p>
    <w:p w:rsidR="00056B72" w:rsidRPr="00056B72" w:rsidRDefault="00056B72" w:rsidP="00056B72">
      <w:pPr>
        <w:pStyle w:val="Normalpool"/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spacing w:after="120"/>
        <w:ind w:left="1247" w:firstLine="624"/>
        <w:rPr>
          <w:lang w:val="es-ES_tradnl"/>
        </w:rPr>
      </w:pPr>
      <w:r w:rsidRPr="00056B72">
        <w:rPr>
          <w:i/>
          <w:iCs/>
          <w:lang w:val="es-ES_tradnl"/>
        </w:rPr>
        <w:t>Teniendo presente</w:t>
      </w:r>
      <w:r w:rsidRPr="00056B72">
        <w:rPr>
          <w:lang w:val="es-ES_tradnl"/>
        </w:rPr>
        <w:t xml:space="preserve"> la decisión BC-13/10, sobre la legislación nacional, las notificaciones, el cumplimiento del Convenio de Basilea sobre el Control de los Movimientos Transfronterizos de los Desechos Peligrosos y su Eliminación y las actividades desplegadas contra el tráfico ilícito en el marco del Convenio,</w:t>
      </w:r>
    </w:p>
    <w:p w:rsidR="00056B72" w:rsidRPr="00056B72" w:rsidRDefault="00056B72" w:rsidP="00056B72">
      <w:pPr>
        <w:pStyle w:val="Normalnumber"/>
        <w:numPr>
          <w:ilvl w:val="0"/>
          <w:numId w:val="3"/>
        </w:numPr>
        <w:tabs>
          <w:tab w:val="clear" w:pos="567"/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ind w:firstLine="624"/>
        <w:rPr>
          <w:rFonts w:ascii="Times New Roman" w:hAnsi="Times New Roman" w:cs="Times New Roman"/>
          <w:sz w:val="20"/>
          <w:szCs w:val="20"/>
          <w:lang w:val="es-ES_tradnl"/>
        </w:rPr>
      </w:pPr>
      <w:r w:rsidRPr="00056B72">
        <w:rPr>
          <w:rFonts w:ascii="Times New Roman" w:hAnsi="Times New Roman" w:cs="Times New Roman"/>
          <w:i/>
          <w:iCs/>
          <w:sz w:val="20"/>
          <w:szCs w:val="20"/>
          <w:lang w:val="es-ES_tradnl"/>
        </w:rPr>
        <w:t>Acoge con satisfacción</w:t>
      </w:r>
      <w:r w:rsidRPr="00056B72">
        <w:rPr>
          <w:rFonts w:ascii="Times New Roman" w:hAnsi="Times New Roman" w:cs="Times New Roman"/>
          <w:sz w:val="20"/>
          <w:szCs w:val="20"/>
          <w:lang w:val="es-ES_tradnl"/>
        </w:rPr>
        <w:t xml:space="preserve"> el análisis de las sinergias que pueden establecerse para prevenir y luchar contra el tráfico y el comercio ilícitos de productos químicos y desechos peligrosos a partir de la experiencia adquirida en el marco del Convenio de Basilea sobre el Control de los Movimientos Transfronterizos de Desechos Peligrosos y su Eliminación</w:t>
      </w:r>
      <w:r w:rsidRPr="00056B72">
        <w:rPr>
          <w:rStyle w:val="FootnoteReference"/>
          <w:sz w:val="20"/>
          <w:szCs w:val="20"/>
          <w:lang w:val="es-ES_tradnl"/>
        </w:rPr>
        <w:footnoteReference w:id="1"/>
      </w:r>
      <w:r w:rsidRPr="00056B72">
        <w:rPr>
          <w:rFonts w:ascii="Times New Roman" w:hAnsi="Times New Roman" w:cs="Times New Roman"/>
          <w:sz w:val="20"/>
          <w:szCs w:val="20"/>
          <w:lang w:val="es-ES_tradnl"/>
        </w:rPr>
        <w:t xml:space="preserve">; </w:t>
      </w:r>
    </w:p>
    <w:p w:rsidR="00056B72" w:rsidRPr="00056B72" w:rsidRDefault="00056B72" w:rsidP="00056B72">
      <w:pPr>
        <w:pStyle w:val="Normalnumber"/>
        <w:numPr>
          <w:ilvl w:val="0"/>
          <w:numId w:val="3"/>
        </w:numPr>
        <w:tabs>
          <w:tab w:val="clear" w:pos="567"/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ind w:firstLine="624"/>
        <w:rPr>
          <w:rFonts w:ascii="Times New Roman" w:hAnsi="Times New Roman" w:cs="Times New Roman"/>
          <w:sz w:val="20"/>
          <w:szCs w:val="20"/>
          <w:lang w:val="es-ES_tradnl"/>
        </w:rPr>
      </w:pPr>
      <w:r w:rsidRPr="00056B72">
        <w:rPr>
          <w:rFonts w:ascii="Times New Roman" w:hAnsi="Times New Roman" w:cs="Times New Roman"/>
          <w:i/>
          <w:iCs/>
          <w:sz w:val="20"/>
          <w:szCs w:val="20"/>
          <w:lang w:val="es-ES_tradnl"/>
        </w:rPr>
        <w:t xml:space="preserve">Pone de relieve </w:t>
      </w:r>
      <w:r w:rsidRPr="00056B72">
        <w:rPr>
          <w:rFonts w:ascii="Times New Roman" w:hAnsi="Times New Roman" w:cs="Times New Roman"/>
          <w:sz w:val="20"/>
          <w:szCs w:val="20"/>
          <w:lang w:val="es-ES_tradnl"/>
        </w:rPr>
        <w:t>la importancia de la aplicación eficaz del Convenio de Rotterdam sobre el Procedimiento de Consentimiento Fundamentado Previo Aplicable a Ciertos Plaguicidas y Productos Químicos Peligrosos Objeto de Comercio Internacional, en particular los artículos 11 y 12, para prevenir y luchar contra el tráfico ilícito de productos químicos peligrosos;</w:t>
      </w:r>
    </w:p>
    <w:p w:rsidR="00056B72" w:rsidRPr="00056B72" w:rsidRDefault="00056B72" w:rsidP="00056B72">
      <w:pPr>
        <w:pStyle w:val="Normalnumber"/>
        <w:numPr>
          <w:ilvl w:val="0"/>
          <w:numId w:val="3"/>
        </w:numPr>
        <w:tabs>
          <w:tab w:val="clear" w:pos="567"/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ind w:firstLine="624"/>
        <w:rPr>
          <w:rFonts w:ascii="Times New Roman" w:hAnsi="Times New Roman" w:cs="Times New Roman"/>
          <w:sz w:val="20"/>
          <w:szCs w:val="20"/>
          <w:lang w:val="es-ES_tradnl"/>
        </w:rPr>
      </w:pPr>
      <w:r w:rsidRPr="00056B72">
        <w:rPr>
          <w:rFonts w:ascii="Times New Roman" w:hAnsi="Times New Roman" w:cs="Times New Roman"/>
          <w:i/>
          <w:iCs/>
          <w:sz w:val="20"/>
          <w:szCs w:val="20"/>
          <w:lang w:val="es-ES_tradnl"/>
        </w:rPr>
        <w:t>Subraya</w:t>
      </w:r>
      <w:r w:rsidRPr="00056B72">
        <w:rPr>
          <w:rFonts w:ascii="Times New Roman" w:hAnsi="Times New Roman" w:cs="Times New Roman"/>
          <w:sz w:val="20"/>
          <w:szCs w:val="20"/>
          <w:lang w:val="es-ES_tradnl"/>
        </w:rPr>
        <w:t xml:space="preserve"> la importancia de contar con unos marcos jurídicos e institucionales adecuados a nivel nacional para prevenir y luchar contra el tráfico y el comercio ilícitos de productos químicos y desechos peligrosos en el marco del Convenio de Basilea, el Convenio de Estocolmo y el Convenio de Rotterdam; </w:t>
      </w:r>
    </w:p>
    <w:p w:rsidR="00056B72" w:rsidRPr="00056B72" w:rsidRDefault="00056B72" w:rsidP="00056B72">
      <w:pPr>
        <w:pStyle w:val="Normalnumber"/>
        <w:numPr>
          <w:ilvl w:val="0"/>
          <w:numId w:val="3"/>
        </w:numPr>
        <w:tabs>
          <w:tab w:val="clear" w:pos="567"/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ind w:firstLine="624"/>
        <w:rPr>
          <w:rFonts w:ascii="Times New Roman" w:hAnsi="Times New Roman" w:cs="Times New Roman"/>
          <w:sz w:val="20"/>
          <w:szCs w:val="20"/>
          <w:lang w:val="es-ES_tradnl"/>
        </w:rPr>
      </w:pPr>
      <w:r w:rsidRPr="00056B72">
        <w:rPr>
          <w:rFonts w:ascii="Times New Roman" w:hAnsi="Times New Roman" w:cs="Times New Roman"/>
          <w:i/>
          <w:iCs/>
          <w:sz w:val="20"/>
          <w:szCs w:val="20"/>
          <w:lang w:val="es-ES_tradnl"/>
        </w:rPr>
        <w:t>Pone de relieve</w:t>
      </w:r>
      <w:r w:rsidRPr="00056B72">
        <w:rPr>
          <w:rFonts w:ascii="Times New Roman" w:hAnsi="Times New Roman" w:cs="Times New Roman"/>
          <w:sz w:val="20"/>
          <w:szCs w:val="20"/>
          <w:lang w:val="es-ES_tradnl"/>
        </w:rPr>
        <w:t xml:space="preserve"> la necesidad de garantizar la complementariedad y la coherencia de la labor realizada en materia de tráfico y comercio ilícitos en el marco de los Convenios con la labor similar que llevan a cabo el Programa de las Naciones Unidas para el Medio Ambiente y otras organizaciones pertinentes, y de evitar la duplicación de ambas;</w:t>
      </w:r>
    </w:p>
    <w:p w:rsidR="00056B72" w:rsidRPr="00056B72" w:rsidRDefault="00056B72" w:rsidP="00056B72">
      <w:pPr>
        <w:pStyle w:val="Normalnumber"/>
        <w:numPr>
          <w:ilvl w:val="0"/>
          <w:numId w:val="3"/>
        </w:numPr>
        <w:tabs>
          <w:tab w:val="clear" w:pos="567"/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ind w:firstLine="624"/>
        <w:rPr>
          <w:rFonts w:ascii="Times New Roman" w:hAnsi="Times New Roman" w:cs="Times New Roman"/>
          <w:sz w:val="20"/>
          <w:szCs w:val="20"/>
          <w:lang w:val="es-ES_tradnl"/>
        </w:rPr>
      </w:pPr>
      <w:r w:rsidRPr="00056B72">
        <w:rPr>
          <w:rFonts w:ascii="Times New Roman" w:hAnsi="Times New Roman" w:cs="Times New Roman"/>
          <w:i/>
          <w:iCs/>
          <w:sz w:val="20"/>
          <w:szCs w:val="20"/>
          <w:lang w:val="es-ES_tradnl"/>
        </w:rPr>
        <w:t>Insta</w:t>
      </w:r>
      <w:r w:rsidRPr="00056B72">
        <w:rPr>
          <w:rFonts w:ascii="Times New Roman" w:hAnsi="Times New Roman" w:cs="Times New Roman"/>
          <w:sz w:val="20"/>
          <w:szCs w:val="20"/>
          <w:lang w:val="es-ES_tradnl"/>
        </w:rPr>
        <w:t xml:space="preserve"> a las Partes a fortalecer la adopción de medidas en el marco de los Convenios, entre ellas la cooperación con otras Partes, a fin de luchar contra el tráfico y el comercio ilícitos de productos químicos y desechos peligrosos;</w:t>
      </w:r>
    </w:p>
    <w:p w:rsidR="00056B72" w:rsidRPr="00056B72" w:rsidRDefault="00056B72" w:rsidP="00056B72">
      <w:pPr>
        <w:pStyle w:val="Normalnumber"/>
        <w:numPr>
          <w:ilvl w:val="0"/>
          <w:numId w:val="3"/>
        </w:numPr>
        <w:tabs>
          <w:tab w:val="clear" w:pos="567"/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ind w:firstLine="624"/>
        <w:rPr>
          <w:rFonts w:ascii="Times New Roman" w:hAnsi="Times New Roman" w:cs="Times New Roman"/>
          <w:sz w:val="20"/>
          <w:szCs w:val="20"/>
          <w:lang w:val="es-ES_tradnl"/>
        </w:rPr>
      </w:pPr>
      <w:r w:rsidRPr="00056B72">
        <w:rPr>
          <w:rFonts w:ascii="Times New Roman" w:hAnsi="Times New Roman" w:cs="Times New Roman"/>
          <w:i/>
          <w:iCs/>
          <w:sz w:val="20"/>
          <w:szCs w:val="20"/>
          <w:lang w:val="es-ES_tradnl"/>
        </w:rPr>
        <w:t>Pone de relieve</w:t>
      </w:r>
      <w:r w:rsidRPr="00056B72">
        <w:rPr>
          <w:rFonts w:ascii="Times New Roman" w:hAnsi="Times New Roman" w:cs="Times New Roman"/>
          <w:sz w:val="20"/>
          <w:szCs w:val="20"/>
          <w:lang w:val="es-ES_tradnl"/>
        </w:rPr>
        <w:t xml:space="preserve"> la importancia de la información aportada a la Secretaría por las Partes en cada uno de los Convenios sobre las medidas que han adoptado para aplicarlos, y solicita a la Secretaría que publique en el sitio web del Convenio la información relativa al tráfico y el comercio ilícitos ‒siempre y cuando las Partes en cuestión no la hayan calificado de confidencial‒ sin duplicar las solicitudes similares que se hayan formulado en el marco de los otros Convenios;</w:t>
      </w:r>
    </w:p>
    <w:p w:rsidR="00056B72" w:rsidRPr="00056B72" w:rsidRDefault="00056B72" w:rsidP="00056B72">
      <w:pPr>
        <w:pStyle w:val="Normalnumber"/>
        <w:numPr>
          <w:ilvl w:val="0"/>
          <w:numId w:val="3"/>
        </w:numPr>
        <w:tabs>
          <w:tab w:val="clear" w:pos="567"/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ind w:firstLine="624"/>
        <w:rPr>
          <w:rFonts w:ascii="Times New Roman" w:hAnsi="Times New Roman" w:cs="Times New Roman"/>
          <w:sz w:val="20"/>
          <w:szCs w:val="20"/>
          <w:lang w:val="es-ES_tradnl"/>
        </w:rPr>
      </w:pPr>
      <w:r w:rsidRPr="00056B72">
        <w:rPr>
          <w:rFonts w:ascii="Times New Roman" w:hAnsi="Times New Roman" w:cs="Times New Roman"/>
          <w:i/>
          <w:iCs/>
          <w:sz w:val="20"/>
          <w:szCs w:val="20"/>
          <w:lang w:val="es-ES_tradnl"/>
        </w:rPr>
        <w:t>Alienta</w:t>
      </w:r>
      <w:r w:rsidRPr="00056B72">
        <w:rPr>
          <w:rFonts w:ascii="Times New Roman" w:hAnsi="Times New Roman" w:cs="Times New Roman"/>
          <w:sz w:val="20"/>
          <w:szCs w:val="20"/>
          <w:lang w:val="es-ES_tradnl"/>
        </w:rPr>
        <w:t xml:space="preserve"> a las Partes en dos o más de los Convenios de Basilea, Estocolmo y Rotterdam a lo siguiente:</w:t>
      </w:r>
    </w:p>
    <w:p w:rsidR="00056B72" w:rsidRPr="00056B72" w:rsidRDefault="00056B72" w:rsidP="00056B72">
      <w:pPr>
        <w:pStyle w:val="Normalnumber"/>
        <w:numPr>
          <w:ilvl w:val="1"/>
          <w:numId w:val="1"/>
        </w:numPr>
        <w:tabs>
          <w:tab w:val="clear" w:pos="567"/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ind w:firstLine="624"/>
        <w:rPr>
          <w:rFonts w:ascii="Times New Roman" w:hAnsi="Times New Roman" w:cs="Times New Roman"/>
          <w:sz w:val="20"/>
          <w:szCs w:val="20"/>
          <w:lang w:val="es-ES_tradnl"/>
        </w:rPr>
      </w:pPr>
      <w:r w:rsidRPr="00056B72">
        <w:rPr>
          <w:rFonts w:ascii="Times New Roman" w:hAnsi="Times New Roman" w:cs="Times New Roman"/>
          <w:sz w:val="20"/>
          <w:szCs w:val="20"/>
          <w:lang w:val="es-ES_tradnl"/>
        </w:rPr>
        <w:t>Establecer, cuando aún no existan, mecanismos de coordinación a nivel nacional para facilitar el intercambio de información entre las autoridades competentes encargadas de la aplicación y el cumplimiento de las disposiciones de los Convenios que tengan por objeto controlar la exportación y la importación de los productos químicos y los desechos previstos en los Convenios, otras instituciones competentes y el sector privado;</w:t>
      </w:r>
    </w:p>
    <w:p w:rsidR="00056B72" w:rsidRPr="00056B72" w:rsidRDefault="00056B72" w:rsidP="00056B72">
      <w:pPr>
        <w:pStyle w:val="Normalnumber"/>
        <w:numPr>
          <w:ilvl w:val="1"/>
          <w:numId w:val="1"/>
        </w:numPr>
        <w:tabs>
          <w:tab w:val="clear" w:pos="567"/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ind w:firstLine="624"/>
        <w:rPr>
          <w:rFonts w:ascii="Times New Roman" w:hAnsi="Times New Roman" w:cs="Times New Roman"/>
          <w:sz w:val="20"/>
          <w:szCs w:val="20"/>
          <w:lang w:val="es-ES_tradnl"/>
        </w:rPr>
      </w:pPr>
      <w:r w:rsidRPr="00056B72">
        <w:rPr>
          <w:rFonts w:ascii="Times New Roman" w:hAnsi="Times New Roman" w:cs="Times New Roman"/>
          <w:sz w:val="20"/>
          <w:szCs w:val="20"/>
          <w:lang w:val="es-ES_tradnl"/>
        </w:rPr>
        <w:lastRenderedPageBreak/>
        <w:t>Examinar, mediante esos mecanismos de coordinación, las experiencias adquiridas en el marco de cada uno de los Convenios que podrían ser de ayuda para la aplicación y el cumplimiento de los otros, y ajustar sus marcos jurídicos e institucionales en consecuencia;</w:t>
      </w:r>
    </w:p>
    <w:p w:rsidR="00056B72" w:rsidRPr="00056B72" w:rsidRDefault="00056B72" w:rsidP="00056B72">
      <w:pPr>
        <w:pStyle w:val="Normalnumber"/>
        <w:numPr>
          <w:ilvl w:val="0"/>
          <w:numId w:val="3"/>
        </w:numPr>
        <w:tabs>
          <w:tab w:val="clear" w:pos="567"/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ind w:firstLine="624"/>
        <w:rPr>
          <w:rFonts w:ascii="Times New Roman" w:hAnsi="Times New Roman" w:cs="Times New Roman"/>
          <w:sz w:val="20"/>
          <w:szCs w:val="20"/>
          <w:lang w:val="es-ES_tradnl"/>
        </w:rPr>
      </w:pPr>
      <w:r w:rsidRPr="00056B72">
        <w:rPr>
          <w:rFonts w:ascii="Times New Roman" w:hAnsi="Times New Roman" w:cs="Times New Roman"/>
          <w:i/>
          <w:iCs/>
          <w:sz w:val="20"/>
          <w:szCs w:val="20"/>
          <w:lang w:val="es-ES_tradnl"/>
        </w:rPr>
        <w:t>Invita</w:t>
      </w:r>
      <w:r w:rsidRPr="00056B72">
        <w:rPr>
          <w:rFonts w:ascii="Times New Roman" w:hAnsi="Times New Roman" w:cs="Times New Roman"/>
          <w:sz w:val="20"/>
          <w:szCs w:val="20"/>
          <w:lang w:val="es-ES_tradnl"/>
        </w:rPr>
        <w:t xml:space="preserve"> a las Partes a intercambiar con otras Partes, por conducto de la Secretaría, procurando evitar la duplicación, lo siguiente:</w:t>
      </w:r>
    </w:p>
    <w:p w:rsidR="00056B72" w:rsidRPr="00056B72" w:rsidRDefault="00056B72" w:rsidP="00056B72">
      <w:pPr>
        <w:pStyle w:val="Normalnumber"/>
        <w:numPr>
          <w:ilvl w:val="2"/>
          <w:numId w:val="2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ind w:left="1247" w:firstLine="624"/>
        <w:rPr>
          <w:rFonts w:ascii="Times New Roman" w:hAnsi="Times New Roman" w:cs="Times New Roman"/>
          <w:sz w:val="20"/>
          <w:szCs w:val="20"/>
          <w:lang w:val="es-ES_tradnl"/>
        </w:rPr>
      </w:pPr>
      <w:r w:rsidRPr="00056B72">
        <w:rPr>
          <w:rFonts w:ascii="Times New Roman" w:hAnsi="Times New Roman" w:cs="Times New Roman"/>
          <w:sz w:val="20"/>
          <w:szCs w:val="20"/>
          <w:lang w:val="es-ES_tradnl"/>
        </w:rPr>
        <w:t>Sus experiencias con arreglo al párrafo precedente;</w:t>
      </w:r>
    </w:p>
    <w:p w:rsidR="00056B72" w:rsidRPr="00056B72" w:rsidRDefault="00056B72" w:rsidP="00056B72">
      <w:pPr>
        <w:pStyle w:val="Normalnumber"/>
        <w:numPr>
          <w:ilvl w:val="2"/>
          <w:numId w:val="2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ind w:left="1247" w:firstLine="624"/>
        <w:rPr>
          <w:rFonts w:ascii="Times New Roman" w:hAnsi="Times New Roman" w:cs="Times New Roman"/>
          <w:sz w:val="20"/>
          <w:szCs w:val="20"/>
          <w:lang w:val="es-ES_tradnl"/>
        </w:rPr>
      </w:pPr>
      <w:r w:rsidRPr="00056B72">
        <w:rPr>
          <w:rFonts w:ascii="Times New Roman" w:hAnsi="Times New Roman" w:cs="Times New Roman"/>
          <w:sz w:val="20"/>
          <w:szCs w:val="20"/>
          <w:lang w:val="es-ES_tradnl"/>
        </w:rPr>
        <w:t>Información sobre casos de comercio ilícito de productos químicos y desechos peligrosos;</w:t>
      </w:r>
    </w:p>
    <w:p w:rsidR="00056B72" w:rsidRPr="00056B72" w:rsidRDefault="00056B72" w:rsidP="00056B72">
      <w:pPr>
        <w:pStyle w:val="Normalnumber"/>
        <w:numPr>
          <w:ilvl w:val="0"/>
          <w:numId w:val="3"/>
        </w:numPr>
        <w:tabs>
          <w:tab w:val="clear" w:pos="567"/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ind w:firstLine="624"/>
        <w:rPr>
          <w:rFonts w:ascii="Times New Roman" w:hAnsi="Times New Roman" w:cs="Times New Roman"/>
          <w:sz w:val="20"/>
          <w:szCs w:val="20"/>
          <w:lang w:val="es-ES_tradnl"/>
        </w:rPr>
      </w:pPr>
      <w:r w:rsidRPr="00056B72">
        <w:rPr>
          <w:rFonts w:ascii="Times New Roman" w:hAnsi="Times New Roman" w:cs="Times New Roman"/>
          <w:i/>
          <w:iCs/>
          <w:sz w:val="20"/>
          <w:szCs w:val="20"/>
          <w:lang w:val="es-ES_tradnl"/>
        </w:rPr>
        <w:t>Invita</w:t>
      </w:r>
      <w:r w:rsidRPr="00056B72">
        <w:rPr>
          <w:rFonts w:ascii="Times New Roman" w:hAnsi="Times New Roman" w:cs="Times New Roman"/>
          <w:sz w:val="20"/>
          <w:szCs w:val="20"/>
          <w:lang w:val="es-ES_tradnl"/>
        </w:rPr>
        <w:t xml:space="preserve"> a las organizaciones que integran el Programa Interinstitucional de Gestión Racional de los Productos Químicos, los centros regionales del Convenio de Basilea y el Convenio de Estocolmo, la Organización Internacional de Policía Criminal, la Organización Mundial de Aduanas, la Secretaría del Protocolo de Montreal relativo a las Sustancias que Agotan la Capa de Ozono y las redes mundiales y regionales pertinentes encargadas del cumplimiento a que presenten a la Conferencia de las Partes, por conducto de la Secretaría, información sobre su labor de prevención y lucha contra el tráfico y comercio ilícitos de productos químicos y desechos peligrosos y las enseñanzas extraídas de esa labor para su examen por la Conferencia de las Partes en su próxima reunión;</w:t>
      </w:r>
    </w:p>
    <w:p w:rsidR="00056B72" w:rsidRPr="00056B72" w:rsidRDefault="00056B72" w:rsidP="00056B72">
      <w:pPr>
        <w:pStyle w:val="Normalnumber"/>
        <w:numPr>
          <w:ilvl w:val="0"/>
          <w:numId w:val="3"/>
        </w:numPr>
        <w:tabs>
          <w:tab w:val="clear" w:pos="567"/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ind w:firstLine="624"/>
        <w:rPr>
          <w:rFonts w:ascii="Times New Roman" w:hAnsi="Times New Roman" w:cs="Times New Roman"/>
          <w:sz w:val="20"/>
          <w:szCs w:val="20"/>
          <w:lang w:val="es-ES_tradnl"/>
        </w:rPr>
      </w:pPr>
      <w:r w:rsidRPr="00056B72">
        <w:rPr>
          <w:rFonts w:ascii="Times New Roman" w:hAnsi="Times New Roman" w:cs="Times New Roman"/>
          <w:i/>
          <w:iCs/>
          <w:sz w:val="20"/>
          <w:szCs w:val="20"/>
          <w:lang w:val="es-ES_tradnl"/>
        </w:rPr>
        <w:t>Solicita</w:t>
      </w:r>
      <w:r w:rsidRPr="00056B72">
        <w:rPr>
          <w:rFonts w:ascii="Times New Roman" w:hAnsi="Times New Roman" w:cs="Times New Roman"/>
          <w:sz w:val="20"/>
          <w:szCs w:val="20"/>
          <w:lang w:val="es-ES_tradnl"/>
        </w:rPr>
        <w:t xml:space="preserve"> a la Secretaría que:</w:t>
      </w:r>
    </w:p>
    <w:p w:rsidR="00056B72" w:rsidRPr="00056B72" w:rsidRDefault="00056B72" w:rsidP="00056B72">
      <w:pPr>
        <w:pStyle w:val="Normalnumber"/>
        <w:numPr>
          <w:ilvl w:val="0"/>
          <w:numId w:val="4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ind w:left="1247" w:firstLine="624"/>
        <w:rPr>
          <w:rFonts w:ascii="Times New Roman" w:hAnsi="Times New Roman" w:cs="Times New Roman"/>
          <w:sz w:val="20"/>
          <w:szCs w:val="20"/>
          <w:lang w:val="es-ES_tradnl"/>
        </w:rPr>
      </w:pPr>
      <w:r w:rsidRPr="00056B72">
        <w:rPr>
          <w:rFonts w:ascii="Times New Roman" w:hAnsi="Times New Roman" w:cs="Times New Roman"/>
          <w:sz w:val="20"/>
          <w:szCs w:val="20"/>
          <w:lang w:val="es-ES_tradnl"/>
        </w:rPr>
        <w:t>Recabe de las Partes y otros interesados, con sujeción a la disponibilidad de recursos, observaciones sobre otras esferas, en especial las comunes a dos de los Convenios o a los tres, en las que podría aumentarse la claridad jurídica como medio de prevención y lucha contra el tráfico y el comercio ilícitos de productos químicos y desechos peligrosos, y, a partir de esas observaciones, prepare un informe con recomendaciones para su examen por la Conferencia de las Partes en su próxima reunión;</w:t>
      </w:r>
    </w:p>
    <w:p w:rsidR="00056B72" w:rsidRPr="00056B72" w:rsidRDefault="00056B72" w:rsidP="00056B72">
      <w:pPr>
        <w:pStyle w:val="Normalnumber"/>
        <w:numPr>
          <w:ilvl w:val="0"/>
          <w:numId w:val="4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ind w:left="1247" w:firstLine="624"/>
        <w:rPr>
          <w:rFonts w:ascii="Times New Roman" w:hAnsi="Times New Roman" w:cs="Times New Roman"/>
          <w:sz w:val="20"/>
          <w:szCs w:val="20"/>
          <w:lang w:val="es-ES_tradnl"/>
        </w:rPr>
      </w:pPr>
      <w:r w:rsidRPr="00056B72">
        <w:rPr>
          <w:rFonts w:ascii="Times New Roman" w:hAnsi="Times New Roman" w:cs="Times New Roman"/>
          <w:sz w:val="20"/>
          <w:szCs w:val="20"/>
          <w:lang w:val="es-ES_tradnl"/>
        </w:rPr>
        <w:t>Apoye a las Partes, previa solicitud y con sujeción a la disponibilidad de recursos, en cuestiones relativas a la aplicación y el cumplimiento de las disposiciones de los Convenios de Basilea, Estocolmo y Rotterdam que tengan por objeto controlar la exportación y la importación de los productos químicos y los desechos previstos en los tres Convenios, entre ellas las relativas a la elaboración y actualización de la legislación nacional u otras medidas;</w:t>
      </w:r>
    </w:p>
    <w:p w:rsidR="00056B72" w:rsidRPr="00056B72" w:rsidRDefault="00056B72" w:rsidP="00056B72">
      <w:pPr>
        <w:pStyle w:val="Normalnumber"/>
        <w:numPr>
          <w:ilvl w:val="0"/>
          <w:numId w:val="4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ind w:left="1247" w:firstLine="624"/>
        <w:rPr>
          <w:rFonts w:ascii="Times New Roman" w:hAnsi="Times New Roman" w:cs="Times New Roman"/>
          <w:sz w:val="20"/>
          <w:szCs w:val="20"/>
          <w:lang w:val="es-ES_tradnl"/>
        </w:rPr>
      </w:pPr>
      <w:r w:rsidRPr="00056B72">
        <w:rPr>
          <w:rFonts w:ascii="Times New Roman" w:hAnsi="Times New Roman" w:cs="Times New Roman"/>
          <w:sz w:val="20"/>
          <w:szCs w:val="20"/>
          <w:lang w:val="es-ES_tradnl"/>
        </w:rPr>
        <w:t>Prepare ejemplos de la integración de las disposiciones de los Convenios de Basilea, Estocolmo y Rotterdam en los marcos jurídicos nacionales y organice actividades de capacitación, con sujeción a la disponibilidad de recursos y en colaboración con los asociados, para ayudar a las Partes, en especial las que son países en desarrollo y países con economías en transición, en la elaboración de la legislación nacional y otras medidas necesarias para aplicar y hacer cumplir las disposiciones de los Convenios que tengan por objeto controlar la exportación y la importación de los productos químicos y los desechos previstos en los Convenios;</w:t>
      </w:r>
    </w:p>
    <w:p w:rsidR="009F00F4" w:rsidRPr="00056B72" w:rsidRDefault="00056B72" w:rsidP="00056B72">
      <w:pPr>
        <w:pStyle w:val="Normalnumber"/>
        <w:numPr>
          <w:ilvl w:val="0"/>
          <w:numId w:val="4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ind w:left="1253" w:firstLine="619"/>
        <w:rPr>
          <w:rFonts w:ascii="Times New Roman" w:hAnsi="Times New Roman" w:cs="Times New Roman"/>
          <w:sz w:val="20"/>
          <w:szCs w:val="20"/>
          <w:lang w:val="es-ES_tradnl"/>
        </w:rPr>
      </w:pPr>
      <w:r w:rsidRPr="00056B72">
        <w:rPr>
          <w:rFonts w:ascii="Times New Roman" w:hAnsi="Times New Roman" w:cs="Times New Roman"/>
          <w:sz w:val="20"/>
          <w:szCs w:val="20"/>
          <w:lang w:val="es-ES_tradnl"/>
        </w:rPr>
        <w:t>Informe a la Conferencia de las Partes en su próxima reunión sobre la aplicación de la presente decisión.</w:t>
      </w:r>
    </w:p>
    <w:sectPr w:rsidR="009F00F4" w:rsidRPr="00056B72" w:rsidSect="009F0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46A" w:rsidRDefault="000E246A" w:rsidP="00056B72">
      <w:r>
        <w:separator/>
      </w:r>
    </w:p>
  </w:endnote>
  <w:endnote w:type="continuationSeparator" w:id="0">
    <w:p w:rsidR="000E246A" w:rsidRDefault="000E246A" w:rsidP="00056B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46A" w:rsidRDefault="000E246A" w:rsidP="00056B72">
      <w:r>
        <w:separator/>
      </w:r>
    </w:p>
  </w:footnote>
  <w:footnote w:type="continuationSeparator" w:id="0">
    <w:p w:rsidR="000E246A" w:rsidRDefault="000E246A" w:rsidP="00056B72">
      <w:r>
        <w:continuationSeparator/>
      </w:r>
    </w:p>
  </w:footnote>
  <w:footnote w:id="1">
    <w:p w:rsidR="00056B72" w:rsidRPr="00642063" w:rsidRDefault="00056B72" w:rsidP="00056B72">
      <w:pPr>
        <w:pStyle w:val="FootnoteText"/>
        <w:spacing w:before="40" w:after="20"/>
        <w:rPr>
          <w:szCs w:val="18"/>
          <w:lang w:val="en-US"/>
        </w:rPr>
      </w:pPr>
      <w:r w:rsidRPr="0091017A">
        <w:rPr>
          <w:rStyle w:val="FootnoteReference"/>
          <w:szCs w:val="18"/>
          <w:lang w:val="es-ES"/>
        </w:rPr>
        <w:footnoteRef/>
      </w:r>
      <w:r w:rsidRPr="0091017A">
        <w:rPr>
          <w:szCs w:val="18"/>
          <w:lang w:val="en-GB"/>
        </w:rPr>
        <w:t xml:space="preserve"> UNEP/CHW.13/INF/49-UNEP/FAO/RC/COP.8/INF/34-UNEP/POPS/COP.8/INF/51.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43EBC"/>
    <w:multiLevelType w:val="multilevel"/>
    <w:tmpl w:val="48241D10"/>
    <w:lvl w:ilvl="0">
      <w:start w:val="1"/>
      <w:numFmt w:val="decimal"/>
      <w:lvlText w:val="%1."/>
      <w:lvlJc w:val="left"/>
      <w:pPr>
        <w:tabs>
          <w:tab w:val="num" w:pos="567"/>
        </w:tabs>
        <w:ind w:left="1247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1247" w:firstLine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567"/>
        </w:tabs>
        <w:ind w:left="2948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567"/>
        </w:tabs>
        <w:ind w:left="3515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548"/>
        </w:tabs>
        <w:ind w:left="65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68"/>
        </w:tabs>
        <w:ind w:left="72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88"/>
        </w:tabs>
        <w:ind w:left="79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708"/>
        </w:tabs>
        <w:ind w:left="87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428"/>
        </w:tabs>
        <w:ind w:left="9428" w:hanging="180"/>
      </w:pPr>
      <w:rPr>
        <w:rFonts w:hint="default"/>
      </w:rPr>
    </w:lvl>
  </w:abstractNum>
  <w:abstractNum w:abstractNumId="1">
    <w:nsid w:val="42027640"/>
    <w:multiLevelType w:val="hybridMultilevel"/>
    <w:tmpl w:val="E9B8DF5C"/>
    <w:lvl w:ilvl="0" w:tplc="563CB1A0">
      <w:start w:val="1"/>
      <w:numFmt w:val="lowerLetter"/>
      <w:lvlText w:val="%1)"/>
      <w:lvlJc w:val="left"/>
      <w:pPr>
        <w:ind w:left="35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307" w:hanging="360"/>
      </w:pPr>
    </w:lvl>
    <w:lvl w:ilvl="2" w:tplc="0C0A001B" w:tentative="1">
      <w:start w:val="1"/>
      <w:numFmt w:val="lowerRoman"/>
      <w:lvlText w:val="%3."/>
      <w:lvlJc w:val="right"/>
      <w:pPr>
        <w:ind w:left="5027" w:hanging="180"/>
      </w:pPr>
    </w:lvl>
    <w:lvl w:ilvl="3" w:tplc="0C0A000F" w:tentative="1">
      <w:start w:val="1"/>
      <w:numFmt w:val="decimal"/>
      <w:lvlText w:val="%4."/>
      <w:lvlJc w:val="left"/>
      <w:pPr>
        <w:ind w:left="5747" w:hanging="360"/>
      </w:pPr>
    </w:lvl>
    <w:lvl w:ilvl="4" w:tplc="0C0A0019" w:tentative="1">
      <w:start w:val="1"/>
      <w:numFmt w:val="lowerLetter"/>
      <w:lvlText w:val="%5."/>
      <w:lvlJc w:val="left"/>
      <w:pPr>
        <w:ind w:left="6467" w:hanging="360"/>
      </w:pPr>
    </w:lvl>
    <w:lvl w:ilvl="5" w:tplc="0C0A001B" w:tentative="1">
      <w:start w:val="1"/>
      <w:numFmt w:val="lowerRoman"/>
      <w:lvlText w:val="%6."/>
      <w:lvlJc w:val="right"/>
      <w:pPr>
        <w:ind w:left="7187" w:hanging="180"/>
      </w:pPr>
    </w:lvl>
    <w:lvl w:ilvl="6" w:tplc="0C0A000F" w:tentative="1">
      <w:start w:val="1"/>
      <w:numFmt w:val="decimal"/>
      <w:lvlText w:val="%7."/>
      <w:lvlJc w:val="left"/>
      <w:pPr>
        <w:ind w:left="7907" w:hanging="360"/>
      </w:pPr>
    </w:lvl>
    <w:lvl w:ilvl="7" w:tplc="0C0A0019" w:tentative="1">
      <w:start w:val="1"/>
      <w:numFmt w:val="lowerLetter"/>
      <w:lvlText w:val="%8."/>
      <w:lvlJc w:val="left"/>
      <w:pPr>
        <w:ind w:left="8627" w:hanging="360"/>
      </w:pPr>
    </w:lvl>
    <w:lvl w:ilvl="8" w:tplc="0C0A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2">
    <w:nsid w:val="4F87291C"/>
    <w:multiLevelType w:val="multilevel"/>
    <w:tmpl w:val="48241D10"/>
    <w:lvl w:ilvl="0">
      <w:start w:val="1"/>
      <w:numFmt w:val="decimal"/>
      <w:lvlText w:val="%1."/>
      <w:lvlJc w:val="left"/>
      <w:pPr>
        <w:tabs>
          <w:tab w:val="num" w:pos="567"/>
        </w:tabs>
        <w:ind w:left="1247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1247" w:firstLine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567"/>
        </w:tabs>
        <w:ind w:left="2948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567"/>
        </w:tabs>
        <w:ind w:left="3515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548"/>
        </w:tabs>
        <w:ind w:left="65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68"/>
        </w:tabs>
        <w:ind w:left="72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88"/>
        </w:tabs>
        <w:ind w:left="79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708"/>
        </w:tabs>
        <w:ind w:left="87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428"/>
        </w:tabs>
        <w:ind w:left="9428" w:hanging="180"/>
      </w:pPr>
      <w:rPr>
        <w:rFonts w:hint="default"/>
      </w:rPr>
    </w:lvl>
  </w:abstractNum>
  <w:abstractNum w:abstractNumId="3">
    <w:nsid w:val="600D1F7C"/>
    <w:multiLevelType w:val="hybridMultilevel"/>
    <w:tmpl w:val="981A98CC"/>
    <w:lvl w:ilvl="0" w:tplc="B6AE9F38">
      <w:start w:val="1"/>
      <w:numFmt w:val="lowerLetter"/>
      <w:lvlText w:val="(%1)"/>
      <w:lvlJc w:val="left"/>
      <w:pPr>
        <w:ind w:left="3213" w:hanging="360"/>
      </w:pPr>
      <w:rPr>
        <w:rFonts w:hint="default"/>
      </w:rPr>
    </w:lvl>
    <w:lvl w:ilvl="1" w:tplc="4BDA7C5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0DCC90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567"/>
          </w:tabs>
          <w:ind w:left="1247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567"/>
          </w:tabs>
          <w:ind w:left="1247" w:firstLine="567"/>
        </w:pPr>
        <w:rPr>
          <w:rFonts w:hint="default"/>
        </w:rPr>
      </w:lvl>
    </w:lvlOverride>
  </w:num>
  <w:num w:numId="2">
    <w:abstractNumId w:val="3"/>
    <w:lvlOverride w:ilvl="0">
      <w:lvl w:ilvl="0" w:tplc="B6AE9F38">
        <w:numFmt w:val="decimal"/>
        <w:lvlText w:val=""/>
        <w:lvlJc w:val="left"/>
      </w:lvl>
    </w:lvlOverride>
    <w:lvlOverride w:ilvl="1">
      <w:lvl w:ilvl="1" w:tplc="4BDA7C56">
        <w:start w:val="1"/>
        <w:numFmt w:val="lowerLetter"/>
        <w:lvlText w:val="%2)"/>
        <w:lvlJc w:val="left"/>
        <w:pPr>
          <w:ind w:left="144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567"/>
          </w:tabs>
          <w:ind w:left="1247" w:firstLine="0"/>
        </w:pPr>
        <w:rPr>
          <w:rFonts w:hint="default"/>
        </w:rPr>
      </w:lvl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61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6B72"/>
    <w:rsid w:val="00056B72"/>
    <w:rsid w:val="000E246A"/>
    <w:rsid w:val="009F0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B7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ool">
    <w:name w:val="Normal_pool"/>
    <w:link w:val="NormalpoolChar"/>
    <w:rsid w:val="00056B72"/>
    <w:pPr>
      <w:tabs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character" w:styleId="FootnoteReference">
    <w:name w:val="footnote reference"/>
    <w:aliases w:val="16 Point,Superscript 6 Point,ftref,(Ref. de nota al pie),number,SUPERS,Footnote Reference Superscript,Footnote Reference1,Ref,de nota al pie,註腳內容,de nota al pie + (Asian) MS Mincho,11 pt,Ref. de nota de rodapé1,stylish,Footnote symbol"/>
    <w:uiPriority w:val="99"/>
    <w:rsid w:val="00056B72"/>
    <w:rPr>
      <w:rFonts w:ascii="Times New Roman" w:hAnsi="Times New Roman" w:cs="Times New Roman"/>
      <w:color w:val="auto"/>
      <w:sz w:val="18"/>
      <w:vertAlign w:val="superscript"/>
    </w:rPr>
  </w:style>
  <w:style w:type="paragraph" w:styleId="FootnoteText">
    <w:name w:val="footnote text"/>
    <w:aliases w:val="Geneva 9,Font: Geneva 9,Boston 10,93,single space,Footnote Text Rail EIS,ft,Char,footnote3,Footnotes,Footnote ak,fn cafc,Footnotes Char Char,Footnote Text Char Char,fn Char Char,footnote text,footnote text Char Char Char Ch,Ch,9"/>
    <w:basedOn w:val="Normalpool"/>
    <w:link w:val="FootnoteTextChar2"/>
    <w:rsid w:val="00056B72"/>
    <w:pPr>
      <w:spacing w:before="20" w:after="40"/>
      <w:ind w:left="1247"/>
    </w:pPr>
    <w:rPr>
      <w:sz w:val="18"/>
      <w:lang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6B72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NormalnumberChar">
    <w:name w:val="Normal_number Char"/>
    <w:link w:val="Normalnumber"/>
    <w:locked/>
    <w:rsid w:val="00056B72"/>
    <w:rPr>
      <w:lang w:val="fr-FR"/>
    </w:rPr>
  </w:style>
  <w:style w:type="paragraph" w:customStyle="1" w:styleId="Normalnumber">
    <w:name w:val="Normal_number"/>
    <w:basedOn w:val="Normalpool"/>
    <w:link w:val="NormalnumberChar"/>
    <w:rsid w:val="00056B72"/>
    <w:pPr>
      <w:spacing w:after="120"/>
    </w:pPr>
    <w:rPr>
      <w:rFonts w:asciiTheme="minorHAnsi" w:eastAsiaTheme="minorHAnsi" w:hAnsiTheme="minorHAnsi" w:cstheme="minorBidi"/>
      <w:sz w:val="22"/>
      <w:szCs w:val="22"/>
      <w:lang/>
    </w:rPr>
  </w:style>
  <w:style w:type="character" w:customStyle="1" w:styleId="FootnoteTextChar2">
    <w:name w:val="Footnote Text Char2"/>
    <w:aliases w:val="Geneva 9 Char2,Font: Geneva 9 Char2,Boston 10 Char2,93 Char1,single space Char1,Footnote Text Rail EIS Char1,ft Char1,Char Char1,footnote3 Char1,Footnotes Char1,Footnote ak Char1,fn cafc Char1,Footnotes Char Char Char1,Ch Char,9 Char"/>
    <w:link w:val="FootnoteText"/>
    <w:locked/>
    <w:rsid w:val="00056B72"/>
    <w:rPr>
      <w:rFonts w:ascii="Times New Roman" w:eastAsia="Times New Roman" w:hAnsi="Times New Roman" w:cs="Times New Roman"/>
      <w:sz w:val="18"/>
      <w:szCs w:val="20"/>
      <w:lang w:val="fr-FR"/>
    </w:rPr>
  </w:style>
  <w:style w:type="character" w:customStyle="1" w:styleId="NormalpoolChar">
    <w:name w:val="Normal_pool Char"/>
    <w:link w:val="Normalpool"/>
    <w:rsid w:val="00056B72"/>
    <w:rPr>
      <w:rFonts w:ascii="Times New Roman" w:eastAsia="Times New Roman" w:hAnsi="Times New Roman" w:cs="Times New Roman"/>
      <w:sz w:val="20"/>
      <w:szCs w:val="20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1024</Words>
  <Characters>5382</Characters>
  <Application>Microsoft Office Word</Application>
  <DocSecurity>0</DocSecurity>
  <Lines>163</Lines>
  <Paragraphs>86</Paragraphs>
  <ScaleCrop>false</ScaleCrop>
  <Company>BRS</Company>
  <LinksUpToDate>false</LinksUpToDate>
  <CharactersWithSpaces>6320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achakwera</dc:creator>
  <cp:lastModifiedBy>achakwera</cp:lastModifiedBy>
  <cp:revision>1</cp:revision>
  <dcterms:created xsi:type="dcterms:W3CDTF">2018-02-06T16:38:00Z</dcterms:created>
  <dcterms:modified xsi:type="dcterms:W3CDTF">2018-02-06T16:39:00Z</dcterms:modified>
</cp:coreProperties>
</file>