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3C4" w:rsidRPr="00CE3900" w:rsidRDefault="00E543C4" w:rsidP="00E543C4">
      <w:pPr>
        <w:tabs>
          <w:tab w:val="left" w:pos="1247"/>
          <w:tab w:val="left" w:pos="1814"/>
          <w:tab w:val="left" w:pos="2381"/>
          <w:tab w:val="left" w:pos="2948"/>
          <w:tab w:val="left" w:pos="3515"/>
        </w:tabs>
        <w:suppressAutoHyphens/>
        <w:spacing w:before="320" w:after="240"/>
        <w:ind w:left="1247" w:right="567"/>
        <w:rPr>
          <w:b/>
          <w:sz w:val="28"/>
          <w:szCs w:val="28"/>
        </w:rPr>
      </w:pPr>
      <w:r w:rsidRPr="00CE3900">
        <w:rPr>
          <w:b/>
          <w:sz w:val="28"/>
          <w:szCs w:val="28"/>
        </w:rPr>
        <w:t xml:space="preserve">SC-8/15: Asistencia técnica </w:t>
      </w:r>
    </w:p>
    <w:p w:rsidR="00E543C4" w:rsidRPr="00CE3900" w:rsidRDefault="00E543C4" w:rsidP="00E543C4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spacing w:after="120"/>
        <w:ind w:left="1247" w:firstLine="624"/>
        <w:rPr>
          <w:i/>
          <w:lang w:val="es-ES_tradnl"/>
        </w:rPr>
      </w:pPr>
      <w:r w:rsidRPr="00CE3900">
        <w:rPr>
          <w:i/>
          <w:iCs/>
          <w:lang w:val="es-ES_tradnl"/>
        </w:rPr>
        <w:t>La Conferencia de las Partes,</w:t>
      </w:r>
    </w:p>
    <w:p w:rsidR="00E543C4" w:rsidRPr="00CE3900" w:rsidRDefault="00E543C4" w:rsidP="00E543C4">
      <w:pPr>
        <w:tabs>
          <w:tab w:val="left" w:pos="624"/>
        </w:tabs>
        <w:autoSpaceDE w:val="0"/>
        <w:autoSpaceDN w:val="0"/>
        <w:adjustRightInd w:val="0"/>
        <w:spacing w:after="120"/>
        <w:ind w:left="1247"/>
        <w:jc w:val="center"/>
        <w:outlineLvl w:val="0"/>
        <w:rPr>
          <w:b/>
          <w:szCs w:val="24"/>
        </w:rPr>
      </w:pPr>
      <w:r w:rsidRPr="00CE3900">
        <w:rPr>
          <w:b/>
        </w:rPr>
        <w:t>I</w:t>
      </w:r>
    </w:p>
    <w:p w:rsidR="00E543C4" w:rsidRPr="00CE3900" w:rsidRDefault="00E543C4" w:rsidP="00E543C4">
      <w:pPr>
        <w:tabs>
          <w:tab w:val="left" w:pos="624"/>
        </w:tabs>
        <w:autoSpaceDE w:val="0"/>
        <w:autoSpaceDN w:val="0"/>
        <w:adjustRightInd w:val="0"/>
        <w:spacing w:after="120"/>
        <w:ind w:left="1247"/>
        <w:jc w:val="center"/>
        <w:outlineLvl w:val="0"/>
        <w:rPr>
          <w:b/>
          <w:szCs w:val="24"/>
        </w:rPr>
      </w:pPr>
      <w:r w:rsidRPr="00CE3900">
        <w:rPr>
          <w:b/>
        </w:rPr>
        <w:t>Asistencia técnica</w:t>
      </w:r>
    </w:p>
    <w:p w:rsidR="00E543C4" w:rsidRPr="00CE3900" w:rsidRDefault="00E543C4" w:rsidP="00E543C4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spacing w:after="120"/>
        <w:ind w:left="1247" w:firstLine="624"/>
        <w:rPr>
          <w:color w:val="000000" w:themeColor="text1"/>
          <w:lang w:val="es-ES_tradnl"/>
        </w:rPr>
      </w:pPr>
      <w:r w:rsidRPr="00CE3900">
        <w:rPr>
          <w:i/>
          <w:iCs/>
          <w:lang w:val="es-ES_tradnl"/>
        </w:rPr>
        <w:t>Haciendo notar</w:t>
      </w:r>
      <w:r w:rsidRPr="00CE3900">
        <w:rPr>
          <w:lang w:val="es-ES_tradnl"/>
        </w:rPr>
        <w:t xml:space="preserve"> las esferas de acción prioritarias relacionadas con la asistencia técnica que se señalan en la decisión SC-8/18, sobre la evaluación de la eficacia, y las recomendaciones formuladas en el informe sobre el examen general de los arreglos sobre sinergias</w:t>
      </w:r>
      <w:r w:rsidRPr="00CE3900">
        <w:rPr>
          <w:rStyle w:val="FootnoteReference"/>
          <w:color w:val="000000" w:themeColor="text1"/>
          <w:lang w:val="es-ES_tradnl"/>
        </w:rPr>
        <w:footnoteReference w:id="1"/>
      </w:r>
      <w:r w:rsidRPr="00CE3900">
        <w:rPr>
          <w:lang w:val="es-ES_tradnl"/>
        </w:rPr>
        <w:t>,</w:t>
      </w:r>
    </w:p>
    <w:p w:rsidR="00E543C4" w:rsidRPr="00CE3900" w:rsidRDefault="00E543C4" w:rsidP="00E543C4">
      <w:pPr>
        <w:pStyle w:val="Normal-pool"/>
        <w:numPr>
          <w:ilvl w:val="0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spacing w:after="120"/>
        <w:ind w:left="1247" w:firstLine="624"/>
        <w:rPr>
          <w:color w:val="000000" w:themeColor="text1"/>
          <w:lang w:val="es-ES_tradnl"/>
        </w:rPr>
      </w:pPr>
      <w:r w:rsidRPr="00CE3900">
        <w:rPr>
          <w:i/>
          <w:iCs/>
          <w:lang w:val="es-ES_tradnl"/>
        </w:rPr>
        <w:t>Solicita</w:t>
      </w:r>
      <w:r w:rsidRPr="00CE3900">
        <w:rPr>
          <w:lang w:val="es-ES_tradnl"/>
        </w:rPr>
        <w:t xml:space="preserve"> a la Secretaría que siga reuniendo, mediante la base de datos establecida con ese propósito, información sobre las necesidades de asistencia técnica y creación de capacidad de las Partes que son países en desarrollo y las Partes con economías en transición; </w:t>
      </w:r>
    </w:p>
    <w:p w:rsidR="00E543C4" w:rsidRPr="00CE3900" w:rsidRDefault="00E543C4" w:rsidP="00E543C4">
      <w:pPr>
        <w:pStyle w:val="Normal-pool"/>
        <w:numPr>
          <w:ilvl w:val="0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spacing w:after="120"/>
        <w:ind w:left="1247" w:firstLine="624"/>
        <w:rPr>
          <w:i/>
          <w:color w:val="000000" w:themeColor="text1"/>
          <w:lang w:val="es-ES_tradnl"/>
        </w:rPr>
      </w:pPr>
      <w:r w:rsidRPr="00CE3900">
        <w:rPr>
          <w:i/>
          <w:iCs/>
          <w:lang w:val="es-ES_tradnl"/>
        </w:rPr>
        <w:t>Acoge con satisfacción</w:t>
      </w:r>
      <w:r w:rsidRPr="00CE3900">
        <w:rPr>
          <w:lang w:val="es-ES_tradnl"/>
        </w:rPr>
        <w:t xml:space="preserve"> el plan de asistencia técnica para la aplicación de los Convenios de Basilea, Estocolmo y Rotterdam en el período 2018-2021</w:t>
      </w:r>
      <w:r w:rsidRPr="00CE3900">
        <w:rPr>
          <w:color w:val="000000" w:themeColor="text1"/>
          <w:vertAlign w:val="superscript"/>
          <w:lang w:val="es-ES_tradnl"/>
        </w:rPr>
        <w:footnoteReference w:id="2"/>
      </w:r>
      <w:r w:rsidRPr="00CE3900">
        <w:rPr>
          <w:lang w:val="es-ES_tradnl"/>
        </w:rPr>
        <w:t xml:space="preserve"> y </w:t>
      </w:r>
      <w:r>
        <w:rPr>
          <w:lang w:val="es-ES_tradnl"/>
        </w:rPr>
        <w:t>solicita a la Secretaría que, </w:t>
      </w:r>
      <w:r w:rsidRPr="00CE3900">
        <w:rPr>
          <w:lang w:val="es-ES_tradnl"/>
        </w:rPr>
        <w:t xml:space="preserve">con sujeción a la disponibilidad de recursos, lo ponga en práctica en cooperación con actores pertinentes que se esfuercen por atraer la capacidad de programación y </w:t>
      </w:r>
      <w:r>
        <w:rPr>
          <w:lang w:val="es-ES_tradnl"/>
        </w:rPr>
        <w:t>los recursos financieros de las </w:t>
      </w:r>
      <w:r w:rsidRPr="00CE3900">
        <w:rPr>
          <w:lang w:val="es-ES_tradnl"/>
        </w:rPr>
        <w:t>organizaciones internacionales competentes;</w:t>
      </w:r>
    </w:p>
    <w:p w:rsidR="00E543C4" w:rsidRPr="00CE3900" w:rsidRDefault="00E543C4" w:rsidP="00E543C4">
      <w:pPr>
        <w:pStyle w:val="Normal-pool"/>
        <w:numPr>
          <w:ilvl w:val="0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spacing w:after="120"/>
        <w:ind w:left="1247" w:firstLine="624"/>
        <w:rPr>
          <w:color w:val="000000" w:themeColor="text1"/>
          <w:lang w:val="es-ES_tradnl"/>
        </w:rPr>
      </w:pPr>
      <w:r w:rsidRPr="00CE3900">
        <w:rPr>
          <w:i/>
          <w:iCs/>
          <w:lang w:val="es-ES_tradnl"/>
        </w:rPr>
        <w:t>Alienta</w:t>
      </w:r>
      <w:r w:rsidRPr="00CE3900">
        <w:rPr>
          <w:lang w:val="es-ES_tradnl"/>
        </w:rPr>
        <w:t xml:space="preserve"> a las Partes, los centros regionales y otras entidades a lo siguiente: </w:t>
      </w:r>
    </w:p>
    <w:p w:rsidR="00E543C4" w:rsidRPr="00CE3900" w:rsidRDefault="00E543C4" w:rsidP="00E543C4">
      <w:pPr>
        <w:pStyle w:val="Normal-pool"/>
        <w:numPr>
          <w:ilvl w:val="1"/>
          <w:numId w:val="2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spacing w:after="120"/>
        <w:ind w:left="1247" w:firstLine="624"/>
        <w:rPr>
          <w:color w:val="000000" w:themeColor="text1"/>
          <w:lang w:val="es-ES_tradnl"/>
        </w:rPr>
      </w:pPr>
      <w:r w:rsidRPr="00CE3900">
        <w:rPr>
          <w:lang w:val="es-ES_tradnl"/>
        </w:rPr>
        <w:t>Efectuar contribuciones financieras o en especie que faciliten la disponibilidad de materiales y actividades para el desarrollo de la capacidad en los i</w:t>
      </w:r>
      <w:r>
        <w:rPr>
          <w:lang w:val="es-ES_tradnl"/>
        </w:rPr>
        <w:t>diomas regionales oficiales que </w:t>
      </w:r>
      <w:r w:rsidRPr="00CE3900">
        <w:rPr>
          <w:lang w:val="es-ES_tradnl"/>
        </w:rPr>
        <w:t xml:space="preserve">corresponda; </w:t>
      </w:r>
    </w:p>
    <w:p w:rsidR="00E543C4" w:rsidRPr="00CE3900" w:rsidRDefault="00E543C4" w:rsidP="00E543C4">
      <w:pPr>
        <w:pStyle w:val="Normal-pool"/>
        <w:numPr>
          <w:ilvl w:val="1"/>
          <w:numId w:val="2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  <w:tab w:val="left" w:pos="624"/>
        </w:tabs>
        <w:spacing w:after="120"/>
        <w:ind w:left="1247" w:firstLine="624"/>
        <w:rPr>
          <w:color w:val="000000" w:themeColor="text1"/>
          <w:lang w:val="es-ES_tradnl"/>
        </w:rPr>
      </w:pPr>
      <w:r w:rsidRPr="00CE3900">
        <w:rPr>
          <w:lang w:val="es-ES_tradnl"/>
        </w:rPr>
        <w:t>Emprender actividades de creación de capacida</w:t>
      </w:r>
      <w:r>
        <w:rPr>
          <w:lang w:val="es-ES_tradnl"/>
        </w:rPr>
        <w:t>d en los idiomas locales, según </w:t>
      </w:r>
      <w:r w:rsidRPr="00CE3900">
        <w:rPr>
          <w:lang w:val="es-ES_tradnl"/>
        </w:rPr>
        <w:t xml:space="preserve">proceda; </w:t>
      </w:r>
    </w:p>
    <w:p w:rsidR="00E543C4" w:rsidRPr="00CE3900" w:rsidRDefault="00E543C4" w:rsidP="00E543C4">
      <w:pPr>
        <w:pStyle w:val="Normal-pool"/>
        <w:numPr>
          <w:ilvl w:val="0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spacing w:after="120"/>
        <w:ind w:left="1247" w:firstLine="624"/>
        <w:rPr>
          <w:color w:val="000000" w:themeColor="text1"/>
          <w:lang w:val="es-ES_tradnl"/>
        </w:rPr>
      </w:pPr>
      <w:r>
        <w:rPr>
          <w:i/>
          <w:iCs/>
          <w:lang w:val="es-ES_tradnl"/>
        </w:rPr>
        <w:t>Solicita</w:t>
      </w:r>
      <w:r w:rsidRPr="00CE3900">
        <w:rPr>
          <w:lang w:val="es-ES_tradnl"/>
        </w:rPr>
        <w:t xml:space="preserve"> a la Secretaría que, en colaboración con otras organizaciones internacionales, estudie otras maneras de facilitar la cooperación Norte-Sur, Sur-Sur y triangular en el plan de asistencia técnica mencionado en el párrafo 2 de la presente decisión; </w:t>
      </w:r>
    </w:p>
    <w:p w:rsidR="00E543C4" w:rsidRPr="00CE3900" w:rsidRDefault="00E543C4" w:rsidP="00E543C4">
      <w:pPr>
        <w:pStyle w:val="Normal-pool"/>
        <w:numPr>
          <w:ilvl w:val="0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spacing w:after="120"/>
        <w:ind w:left="1247" w:firstLine="624"/>
        <w:rPr>
          <w:color w:val="000000" w:themeColor="text1"/>
          <w:lang w:val="es-ES_tradnl"/>
        </w:rPr>
      </w:pPr>
      <w:r w:rsidRPr="00CE3900">
        <w:rPr>
          <w:i/>
          <w:iCs/>
          <w:lang w:val="es-ES_tradnl"/>
        </w:rPr>
        <w:t>Pone de relieve</w:t>
      </w:r>
      <w:r w:rsidRPr="00CE3900">
        <w:rPr>
          <w:lang w:val="es-ES_tradnl"/>
        </w:rPr>
        <w:t xml:space="preserve"> el papel de los centros regionales, estipulado en las disposiciones del Convenio de Basilea sobre el Control de los Movimientos Transfronterizos de los Desechos Peligrosos y su Eliminación y el Convenio de Estocolmo sobre Contaminantes Orgánicos Persistentes, y el de las oficinas regionales, subregionales y nacionales de la Organización de las Naciones Unidas para la Alimentación y la Agricultu</w:t>
      </w:r>
      <w:r>
        <w:rPr>
          <w:lang w:val="es-ES_tradnl"/>
        </w:rPr>
        <w:t>ra, el Programa de las Naciones </w:t>
      </w:r>
      <w:r w:rsidRPr="00CE3900">
        <w:rPr>
          <w:lang w:val="es-ES_tradnl"/>
        </w:rPr>
        <w:t>Unidas para el Medio Ambiente y otras organizaciones participantes en el Programa Interinstitucional para la Gestión Racional de los Productos Químicos, en la prestación de asistencia técnica, a solicitud de los interesados y en el plano regional, para la aplicación de los Convenios de Basilea, Estocolmo y Rotterdam, y en la facilitación de la transferencia de tecnología a las Partes que reúnan los requisitos para ello;</w:t>
      </w:r>
    </w:p>
    <w:p w:rsidR="00E543C4" w:rsidRPr="00CE3900" w:rsidRDefault="00E543C4" w:rsidP="00E543C4">
      <w:pPr>
        <w:pStyle w:val="Normal-pool"/>
        <w:numPr>
          <w:ilvl w:val="0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spacing w:after="120"/>
        <w:ind w:left="1247" w:firstLine="624"/>
        <w:rPr>
          <w:color w:val="000000" w:themeColor="text1"/>
          <w:lang w:val="es-ES_tradnl"/>
        </w:rPr>
      </w:pPr>
      <w:r w:rsidRPr="00CE3900">
        <w:rPr>
          <w:i/>
          <w:iCs/>
          <w:lang w:val="es-ES_tradnl"/>
        </w:rPr>
        <w:t>Acoge con satisfacción</w:t>
      </w:r>
      <w:r w:rsidRPr="00CE3900">
        <w:rPr>
          <w:lang w:val="es-ES_tradnl"/>
        </w:rPr>
        <w:t xml:space="preserve"> la resolución</w:t>
      </w:r>
      <w:r>
        <w:rPr>
          <w:lang w:val="es-ES_tradnl"/>
        </w:rPr>
        <w:t xml:space="preserve"> de la Asamblea de las Naciones </w:t>
      </w:r>
      <w:r w:rsidRPr="00CE3900">
        <w:rPr>
          <w:lang w:val="es-ES_tradnl"/>
        </w:rPr>
        <w:t>Unidas que destaca el papel desempeñado por los centros regionales de los Convenios de Basilea y Estocolmo en la ayuda a las regiones para aplicar ambos Convenios y en otras actividades relacionadas con los acuerdos ambientales multilaterales en el ámbito de los productos químicos y los desechos en los países en que ejercen su labor</w:t>
      </w:r>
      <w:r w:rsidRPr="00CE3900">
        <w:rPr>
          <w:rStyle w:val="FootnoteReference"/>
          <w:color w:val="000000" w:themeColor="text1"/>
          <w:lang w:val="es-ES_tradnl"/>
        </w:rPr>
        <w:footnoteReference w:id="3"/>
      </w:r>
      <w:r w:rsidRPr="00CE3900">
        <w:rPr>
          <w:lang w:val="es-ES_tradnl"/>
        </w:rPr>
        <w:t>;</w:t>
      </w:r>
    </w:p>
    <w:p w:rsidR="00E543C4" w:rsidRPr="00CE3900" w:rsidRDefault="00E543C4" w:rsidP="00E543C4">
      <w:pPr>
        <w:pStyle w:val="Normal-pool"/>
        <w:numPr>
          <w:ilvl w:val="0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spacing w:after="120"/>
        <w:ind w:left="1247" w:firstLine="624"/>
        <w:rPr>
          <w:color w:val="000000" w:themeColor="text1"/>
          <w:lang w:val="es-ES_tradnl"/>
        </w:rPr>
      </w:pPr>
      <w:r>
        <w:rPr>
          <w:i/>
          <w:iCs/>
          <w:lang w:val="es-ES_tradnl"/>
        </w:rPr>
        <w:lastRenderedPageBreak/>
        <w:t>Solicita</w:t>
      </w:r>
      <w:r w:rsidRPr="00CE3900">
        <w:rPr>
          <w:lang w:val="es-ES_tradnl"/>
        </w:rPr>
        <w:t xml:space="preserve"> a la Secretaría que prepare un informe, para su examen por </w:t>
      </w:r>
      <w:r>
        <w:rPr>
          <w:lang w:val="es-ES_tradnl"/>
        </w:rPr>
        <w:t>la Conferencia de las </w:t>
      </w:r>
      <w:r w:rsidRPr="00CE3900">
        <w:rPr>
          <w:lang w:val="es-ES_tradnl"/>
        </w:rPr>
        <w:t>Partes en su próxima reunión, sobre la aplicación del plan de asistencia técnica en</w:t>
      </w:r>
      <w:r>
        <w:rPr>
          <w:lang w:val="es-ES_tradnl"/>
        </w:rPr>
        <w:t xml:space="preserve"> el período 2018</w:t>
      </w:r>
      <w:r>
        <w:rPr>
          <w:lang w:val="es-ES_tradnl"/>
        </w:rPr>
        <w:noBreakHyphen/>
      </w:r>
      <w:r w:rsidRPr="00CE3900">
        <w:rPr>
          <w:lang w:val="es-ES_tradnl"/>
        </w:rPr>
        <w:t>2021 que incluya, según proceda, ajustes al plan;</w:t>
      </w:r>
    </w:p>
    <w:p w:rsidR="00E543C4" w:rsidRPr="00CE3900" w:rsidRDefault="00E543C4" w:rsidP="00E543C4">
      <w:pPr>
        <w:keepNext/>
        <w:keepLines/>
        <w:tabs>
          <w:tab w:val="left" w:pos="624"/>
        </w:tabs>
        <w:autoSpaceDE w:val="0"/>
        <w:autoSpaceDN w:val="0"/>
        <w:adjustRightInd w:val="0"/>
        <w:spacing w:after="120"/>
        <w:ind w:left="1247"/>
        <w:jc w:val="center"/>
        <w:outlineLvl w:val="0"/>
        <w:rPr>
          <w:b/>
          <w:szCs w:val="24"/>
        </w:rPr>
      </w:pPr>
      <w:r w:rsidRPr="00CE3900">
        <w:rPr>
          <w:b/>
        </w:rPr>
        <w:t>II</w:t>
      </w:r>
    </w:p>
    <w:p w:rsidR="00E543C4" w:rsidRPr="00CE3900" w:rsidRDefault="00E543C4" w:rsidP="00E543C4">
      <w:pPr>
        <w:keepNext/>
        <w:keepLines/>
        <w:tabs>
          <w:tab w:val="left" w:pos="624"/>
        </w:tabs>
        <w:autoSpaceDE w:val="0"/>
        <w:autoSpaceDN w:val="0"/>
        <w:adjustRightInd w:val="0"/>
        <w:spacing w:after="240"/>
        <w:ind w:left="1247"/>
        <w:jc w:val="center"/>
        <w:outlineLvl w:val="0"/>
        <w:rPr>
          <w:b/>
          <w:szCs w:val="24"/>
        </w:rPr>
      </w:pPr>
      <w:r w:rsidRPr="00CE3900">
        <w:rPr>
          <w:b/>
        </w:rPr>
        <w:t>Centros regionales y subregionales del Convenio de Estocolmo para la creación de capacidad y la transferencia de tecnología</w:t>
      </w:r>
    </w:p>
    <w:p w:rsidR="00E543C4" w:rsidRPr="00CE3900" w:rsidRDefault="00E543C4" w:rsidP="00E543C4">
      <w:pPr>
        <w:pStyle w:val="Normal-pool"/>
        <w:keepNext/>
        <w:keepLines/>
        <w:numPr>
          <w:ilvl w:val="0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spacing w:after="120"/>
        <w:ind w:left="1247" w:firstLine="624"/>
        <w:rPr>
          <w:lang w:val="es-ES_tradnl"/>
        </w:rPr>
      </w:pPr>
      <w:r w:rsidRPr="00CE3900">
        <w:rPr>
          <w:i/>
          <w:iCs/>
          <w:lang w:val="es-ES_tradnl"/>
        </w:rPr>
        <w:t>Toma nota</w:t>
      </w:r>
      <w:r w:rsidRPr="00CE3900">
        <w:rPr>
          <w:lang w:val="es-ES_tradnl"/>
        </w:rPr>
        <w:t xml:space="preserve"> de lo siguiente:</w:t>
      </w:r>
    </w:p>
    <w:p w:rsidR="00E543C4" w:rsidRPr="00CE3900" w:rsidRDefault="00E543C4" w:rsidP="00E543C4">
      <w:pPr>
        <w:pStyle w:val="Normal-pool"/>
        <w:keepNext/>
        <w:keepLines/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spacing w:after="120"/>
        <w:ind w:left="1247" w:firstLine="624"/>
        <w:rPr>
          <w:lang w:val="es-ES_tradnl"/>
        </w:rPr>
      </w:pPr>
      <w:r w:rsidRPr="00CE3900">
        <w:rPr>
          <w:lang w:val="es-ES_tradnl"/>
        </w:rPr>
        <w:t>a)</w:t>
      </w:r>
      <w:r w:rsidRPr="00CE3900">
        <w:rPr>
          <w:lang w:val="es-ES_tradnl"/>
        </w:rPr>
        <w:tab/>
        <w:t>Los planes de trabajo para el período comprendido entre el 1 de enero de 2016 y el 31 de diciembre de 2019</w:t>
      </w:r>
      <w:r w:rsidRPr="00CE3900">
        <w:rPr>
          <w:rStyle w:val="FootnoteReference"/>
          <w:lang w:val="es-ES_tradnl"/>
        </w:rPr>
        <w:footnoteReference w:id="4"/>
      </w:r>
      <w:r w:rsidRPr="00CE3900">
        <w:rPr>
          <w:lang w:val="es-ES_tradnl"/>
        </w:rPr>
        <w:t xml:space="preserve"> y los informes de actividades correspondientes </w:t>
      </w:r>
      <w:r>
        <w:rPr>
          <w:lang w:val="es-ES_tradnl"/>
        </w:rPr>
        <w:t xml:space="preserve">al período comprendido entre </w:t>
      </w:r>
      <w:proofErr w:type="gramStart"/>
      <w:r>
        <w:rPr>
          <w:lang w:val="es-ES_tradnl"/>
        </w:rPr>
        <w:t>el </w:t>
      </w:r>
      <w:r w:rsidRPr="00CE3900">
        <w:rPr>
          <w:lang w:val="es-ES_tradnl"/>
        </w:rPr>
        <w:t>1 de enero de 2015 y el 31 de diciembre de 2016</w:t>
      </w:r>
      <w:r w:rsidRPr="00CE3900">
        <w:rPr>
          <w:rStyle w:val="FootnoteReference"/>
          <w:lang w:val="es-ES_tradnl"/>
        </w:rPr>
        <w:footnoteReference w:id="5"/>
      </w:r>
      <w:r w:rsidRPr="00CE3900">
        <w:rPr>
          <w:lang w:val="es-ES_tradnl"/>
        </w:rPr>
        <w:t xml:space="preserve"> presentados</w:t>
      </w:r>
      <w:proofErr w:type="gramEnd"/>
      <w:r w:rsidRPr="00CE3900">
        <w:rPr>
          <w:lang w:val="es-ES_tradnl"/>
        </w:rPr>
        <w:t xml:space="preserve"> por los centros regionales y subregionales del Convenio de Estocolmo;</w:t>
      </w:r>
    </w:p>
    <w:p w:rsidR="00E543C4" w:rsidRPr="00CE3900" w:rsidRDefault="00E543C4" w:rsidP="00E543C4">
      <w:pPr>
        <w:pStyle w:val="Normal-pool"/>
        <w:keepNext/>
        <w:keepLines/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spacing w:after="120"/>
        <w:ind w:left="1247" w:firstLine="624"/>
        <w:rPr>
          <w:lang w:val="es-ES_tradnl"/>
        </w:rPr>
      </w:pPr>
      <w:r w:rsidRPr="00CE3900">
        <w:rPr>
          <w:lang w:val="es-ES_tradnl"/>
        </w:rPr>
        <w:tab/>
        <w:t>b)</w:t>
      </w:r>
      <w:r w:rsidRPr="00CE3900">
        <w:rPr>
          <w:lang w:val="es-ES_tradnl"/>
        </w:rPr>
        <w:tab/>
        <w:t>Los informes sobre las actividades presentadas por los centros regionales y subregionales</w:t>
      </w:r>
      <w:r w:rsidRPr="00CE3900">
        <w:rPr>
          <w:rStyle w:val="FootnoteReference"/>
          <w:lang w:val="es-ES_tradnl"/>
        </w:rPr>
        <w:footnoteReference w:id="6"/>
      </w:r>
      <w:r w:rsidRPr="00CE3900">
        <w:rPr>
          <w:lang w:val="es-ES_tradnl"/>
        </w:rPr>
        <w:t>;</w:t>
      </w:r>
    </w:p>
    <w:p w:rsidR="00E543C4" w:rsidRPr="00CE3900" w:rsidRDefault="00E543C4" w:rsidP="00E543C4">
      <w:pPr>
        <w:pStyle w:val="Normal-pool"/>
        <w:keepNext/>
        <w:keepLines/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spacing w:after="120"/>
        <w:ind w:left="1247" w:firstLine="624"/>
        <w:rPr>
          <w:iCs/>
          <w:lang w:val="es-ES_tradnl"/>
        </w:rPr>
      </w:pPr>
      <w:r w:rsidRPr="00CE3900">
        <w:rPr>
          <w:lang w:val="es-ES_tradnl"/>
        </w:rPr>
        <w:t>c)</w:t>
      </w:r>
      <w:r w:rsidRPr="00CE3900">
        <w:rPr>
          <w:lang w:val="es-ES_tradnl"/>
        </w:rPr>
        <w:tab/>
        <w:t>El informe sobre las actividades de los centros regionales y de coordinación del Convenio de Basilea y los centros regionales y subregionales del Convenio de Estocolmo</w:t>
      </w:r>
      <w:r w:rsidRPr="00CE3900">
        <w:rPr>
          <w:rStyle w:val="FootnoteReference"/>
          <w:iCs/>
          <w:lang w:val="es-ES_tradnl"/>
        </w:rPr>
        <w:footnoteReference w:id="7"/>
      </w:r>
      <w:r w:rsidRPr="00CE3900">
        <w:rPr>
          <w:lang w:val="es-ES_tradnl"/>
        </w:rPr>
        <w:t>;</w:t>
      </w:r>
    </w:p>
    <w:p w:rsidR="00E543C4" w:rsidRPr="00CE3900" w:rsidRDefault="00E543C4" w:rsidP="00E543C4">
      <w:pPr>
        <w:pStyle w:val="Normal-pool"/>
        <w:numPr>
          <w:ilvl w:val="0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  <w:tab w:val="left" w:pos="2410"/>
        </w:tabs>
        <w:spacing w:after="120"/>
        <w:ind w:left="1247" w:firstLine="624"/>
        <w:rPr>
          <w:lang w:val="es-ES_tradnl"/>
        </w:rPr>
      </w:pPr>
      <w:r>
        <w:rPr>
          <w:i/>
          <w:iCs/>
          <w:lang w:val="es-ES_tradnl"/>
        </w:rPr>
        <w:t>Solicita</w:t>
      </w:r>
      <w:r w:rsidRPr="00CE3900">
        <w:rPr>
          <w:lang w:val="es-ES_tradnl"/>
        </w:rPr>
        <w:t xml:space="preserve"> a los centros regionales y subregionales del Convenio de Estocolmo que presenten a la Secretaría, para que la Conferencia de las Partes lo examine en su novena reunión, lo siguiente:</w:t>
      </w:r>
    </w:p>
    <w:p w:rsidR="00E543C4" w:rsidRPr="00CE3900" w:rsidRDefault="00E543C4" w:rsidP="00E543C4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spacing w:after="120"/>
        <w:ind w:left="1247" w:firstLine="624"/>
        <w:rPr>
          <w:lang w:val="es-ES_tradnl"/>
        </w:rPr>
      </w:pPr>
      <w:r w:rsidRPr="00CE3900">
        <w:rPr>
          <w:lang w:val="es-ES_tradnl"/>
        </w:rPr>
        <w:tab/>
        <w:t>a)</w:t>
      </w:r>
      <w:r w:rsidRPr="00CE3900">
        <w:rPr>
          <w:lang w:val="es-ES_tradnl"/>
        </w:rPr>
        <w:tab/>
        <w:t>Sus planes de trabajo correspondientes al período com</w:t>
      </w:r>
      <w:r>
        <w:rPr>
          <w:lang w:val="es-ES_tradnl"/>
        </w:rPr>
        <w:t>prendido entre el 1 de enero de </w:t>
      </w:r>
      <w:r w:rsidRPr="00CE3900">
        <w:rPr>
          <w:lang w:val="es-ES_tradnl"/>
        </w:rPr>
        <w:t>2020 al 31 de diciembre de 2023, antes del 30 de septiembre de 2019;</w:t>
      </w:r>
    </w:p>
    <w:p w:rsidR="00E543C4" w:rsidRPr="00CE3900" w:rsidRDefault="00E543C4" w:rsidP="00E543C4">
      <w:pPr>
        <w:pStyle w:val="Normal-pool"/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spacing w:after="120"/>
        <w:ind w:left="1247" w:firstLine="624"/>
        <w:rPr>
          <w:iCs/>
          <w:lang w:val="es-ES_tradnl"/>
        </w:rPr>
      </w:pPr>
      <w:r w:rsidRPr="00CE3900">
        <w:rPr>
          <w:lang w:val="es-ES_tradnl"/>
        </w:rPr>
        <w:tab/>
        <w:t>b)</w:t>
      </w:r>
      <w:r w:rsidRPr="00CE3900">
        <w:rPr>
          <w:lang w:val="es-ES_tradnl"/>
        </w:rPr>
        <w:tab/>
        <w:t>Sus informes de actividades correspondientes al período comprendido entre el 1 de enero de 2017 y el 31 de diciembre de 2018, antes del 31 de diciembre de 2018;</w:t>
      </w:r>
    </w:p>
    <w:p w:rsidR="00E543C4" w:rsidRPr="00CE3900" w:rsidRDefault="00E543C4" w:rsidP="00E543C4">
      <w:pPr>
        <w:pStyle w:val="Normal-pool"/>
        <w:numPr>
          <w:ilvl w:val="0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spacing w:after="120"/>
        <w:ind w:left="1247" w:firstLine="624"/>
        <w:rPr>
          <w:lang w:val="es-ES_tradnl"/>
        </w:rPr>
      </w:pPr>
      <w:r>
        <w:rPr>
          <w:i/>
          <w:iCs/>
          <w:lang w:val="es-ES_tradnl"/>
        </w:rPr>
        <w:t>Solicita</w:t>
      </w:r>
      <w:r w:rsidRPr="00CE3900">
        <w:rPr>
          <w:lang w:val="es-ES_tradnl"/>
        </w:rPr>
        <w:t xml:space="preserve"> a la Secretaría que prepare un informe sobre las actividades de los centros regionales y subregionales del Convenio de Estocolmo, en especial las relativas a la transferencia de tecnología, para que la Conferencia de las Partes lo examine en su novena reunión.</w:t>
      </w:r>
    </w:p>
    <w:p w:rsidR="00E543C4" w:rsidRPr="00CE3900" w:rsidRDefault="00E543C4" w:rsidP="00E543C4">
      <w:pPr>
        <w:pStyle w:val="Normal-pool"/>
        <w:numPr>
          <w:ilvl w:val="0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spacing w:after="120"/>
        <w:ind w:left="1247" w:firstLine="624"/>
        <w:rPr>
          <w:lang w:val="es-ES_tradnl"/>
        </w:rPr>
      </w:pPr>
      <w:r w:rsidRPr="00CE3900">
        <w:rPr>
          <w:i/>
          <w:iCs/>
          <w:lang w:val="es-ES_tradnl"/>
        </w:rPr>
        <w:t>Toma nota</w:t>
      </w:r>
      <w:r w:rsidRPr="00CE3900">
        <w:rPr>
          <w:lang w:val="es-ES_tradnl"/>
        </w:rPr>
        <w:t xml:space="preserve"> de la información suministrada por la Secretaría en relación con la designación y refrendo de los centros regionales</w:t>
      </w:r>
      <w:r w:rsidRPr="00CE3900">
        <w:rPr>
          <w:rStyle w:val="FootnoteReference"/>
          <w:lang w:val="es-ES_tradnl"/>
        </w:rPr>
        <w:footnoteReference w:id="8"/>
      </w:r>
      <w:r w:rsidRPr="00CE3900">
        <w:rPr>
          <w:lang w:val="es-ES_tradnl"/>
        </w:rPr>
        <w:t xml:space="preserve">; </w:t>
      </w:r>
    </w:p>
    <w:p w:rsidR="00E543C4" w:rsidRPr="00CE3900" w:rsidRDefault="00E543C4" w:rsidP="00E543C4">
      <w:pPr>
        <w:pStyle w:val="Normal-pool"/>
        <w:numPr>
          <w:ilvl w:val="0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spacing w:after="120"/>
        <w:ind w:left="1247" w:firstLine="624"/>
        <w:rPr>
          <w:iCs/>
          <w:lang w:val="es-ES_tradnl"/>
        </w:rPr>
      </w:pPr>
      <w:r w:rsidRPr="00CE3900">
        <w:rPr>
          <w:i/>
          <w:iCs/>
          <w:lang w:val="es-ES_tradnl"/>
        </w:rPr>
        <w:t>Alienta</w:t>
      </w:r>
      <w:r w:rsidRPr="00CE3900">
        <w:rPr>
          <w:lang w:val="es-ES_tradnl"/>
        </w:rPr>
        <w:t xml:space="preserve"> a los centros regionales y subregionales interesados a que se ocupen, en el marco del Convenio, de los efectos de los desechos plásticos, la basura plástica marina, los </w:t>
      </w:r>
      <w:proofErr w:type="spellStart"/>
      <w:r w:rsidRPr="00CE3900">
        <w:rPr>
          <w:lang w:val="es-ES_tradnl"/>
        </w:rPr>
        <w:t>microplásticos</w:t>
      </w:r>
      <w:proofErr w:type="spellEnd"/>
      <w:r w:rsidRPr="00CE3900">
        <w:rPr>
          <w:lang w:val="es-ES_tradnl"/>
        </w:rPr>
        <w:t xml:space="preserve"> y las medidas para </w:t>
      </w:r>
      <w:r>
        <w:rPr>
          <w:lang w:val="es-ES_tradnl"/>
        </w:rPr>
        <w:t>su</w:t>
      </w:r>
      <w:r w:rsidRPr="00CE3900">
        <w:rPr>
          <w:lang w:val="es-ES_tradnl"/>
        </w:rPr>
        <w:t xml:space="preserve"> prevención y gestión ambientalmente racional, y </w:t>
      </w:r>
      <w:r>
        <w:rPr>
          <w:lang w:val="es-ES_tradnl"/>
        </w:rPr>
        <w:t>solicita</w:t>
      </w:r>
      <w:r w:rsidRPr="00CE3900">
        <w:rPr>
          <w:lang w:val="es-ES_tradnl"/>
        </w:rPr>
        <w:t xml:space="preserve"> a la Secretaría que consigne esa labor en el informe prepar</w:t>
      </w:r>
      <w:r>
        <w:rPr>
          <w:lang w:val="es-ES_tradnl"/>
        </w:rPr>
        <w:t>ado en consonancia con el párrafo 10 de la presente </w:t>
      </w:r>
      <w:r w:rsidRPr="00CE3900">
        <w:rPr>
          <w:lang w:val="es-ES_tradnl"/>
        </w:rPr>
        <w:t>decisión;</w:t>
      </w:r>
    </w:p>
    <w:p w:rsidR="00E543C4" w:rsidRPr="00CE3900" w:rsidRDefault="00E543C4" w:rsidP="00E543C4">
      <w:pPr>
        <w:pStyle w:val="Normal-pool"/>
        <w:numPr>
          <w:ilvl w:val="0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spacing w:after="120"/>
        <w:ind w:left="1247" w:firstLine="624"/>
        <w:rPr>
          <w:lang w:val="es-ES_tradnl"/>
        </w:rPr>
      </w:pPr>
      <w:r w:rsidRPr="00CE3900">
        <w:rPr>
          <w:i/>
          <w:iCs/>
          <w:lang w:val="es-ES_tradnl"/>
        </w:rPr>
        <w:t>Invita</w:t>
      </w:r>
      <w:r w:rsidRPr="00CE3900">
        <w:rPr>
          <w:lang w:val="es-ES_tradnl"/>
        </w:rPr>
        <w:t xml:space="preserve"> a las Partes, los observadores y las instituciones financieras que estén en condiciones de hacerlo a que presten apoyo financiero para que los centros regionales y subregionales del Convenio de Estocolmo puedan ejecutar sus planes de trabajo con miras a ayudar a las Partes a cumplir las obligaciones que les impone el Convenio;</w:t>
      </w:r>
    </w:p>
    <w:p w:rsidR="00E543C4" w:rsidRPr="00CE3900" w:rsidRDefault="00E543C4" w:rsidP="00E543C4">
      <w:pPr>
        <w:pStyle w:val="Normal-pool"/>
        <w:numPr>
          <w:ilvl w:val="0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spacing w:after="120"/>
        <w:ind w:left="1247" w:firstLine="624"/>
        <w:rPr>
          <w:lang w:val="es-ES_tradnl"/>
        </w:rPr>
      </w:pPr>
      <w:r w:rsidRPr="00CE3900">
        <w:rPr>
          <w:i/>
          <w:iCs/>
          <w:lang w:val="es-ES_tradnl"/>
        </w:rPr>
        <w:t>Alienta</w:t>
      </w:r>
      <w:r w:rsidRPr="00CE3900">
        <w:rPr>
          <w:lang w:val="es-ES_tradnl"/>
        </w:rPr>
        <w:t xml:space="preserve"> a las Partes, los observadores y las instituciones financieras a mejorar la comunicación con los centros regionales y subregionales del Convenio de Estocolmo.</w:t>
      </w:r>
    </w:p>
    <w:p w:rsidR="00E543C4" w:rsidRPr="00CE3900" w:rsidRDefault="00E543C4" w:rsidP="00E543C4">
      <w:pPr>
        <w:tabs>
          <w:tab w:val="left" w:pos="624"/>
        </w:tabs>
        <w:autoSpaceDE w:val="0"/>
        <w:autoSpaceDN w:val="0"/>
        <w:adjustRightInd w:val="0"/>
        <w:spacing w:after="120"/>
        <w:ind w:left="1247"/>
        <w:jc w:val="center"/>
        <w:outlineLvl w:val="0"/>
        <w:rPr>
          <w:b/>
          <w:szCs w:val="24"/>
        </w:rPr>
      </w:pPr>
      <w:r w:rsidRPr="00CE3900">
        <w:rPr>
          <w:b/>
        </w:rPr>
        <w:t>III</w:t>
      </w:r>
    </w:p>
    <w:p w:rsidR="00E543C4" w:rsidRPr="00CE3900" w:rsidRDefault="00E543C4" w:rsidP="00E543C4">
      <w:pPr>
        <w:tabs>
          <w:tab w:val="left" w:pos="624"/>
        </w:tabs>
        <w:autoSpaceDE w:val="0"/>
        <w:autoSpaceDN w:val="0"/>
        <w:adjustRightInd w:val="0"/>
        <w:spacing w:after="120"/>
        <w:ind w:left="1247"/>
        <w:jc w:val="center"/>
        <w:outlineLvl w:val="0"/>
        <w:rPr>
          <w:b/>
          <w:szCs w:val="24"/>
        </w:rPr>
      </w:pPr>
      <w:r w:rsidRPr="00CE3900">
        <w:rPr>
          <w:b/>
        </w:rPr>
        <w:lastRenderedPageBreak/>
        <w:t>Informe de la Secretaría</w:t>
      </w:r>
    </w:p>
    <w:p w:rsidR="009F00F4" w:rsidRPr="00E543C4" w:rsidRDefault="00E543C4" w:rsidP="00F732CC">
      <w:pPr>
        <w:pStyle w:val="Normal-pool"/>
        <w:numPr>
          <w:ilvl w:val="0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clear" w:pos="4082"/>
        </w:tabs>
        <w:spacing w:after="120"/>
        <w:ind w:left="1253" w:firstLine="619"/>
        <w:rPr>
          <w:lang w:val="es-ES_tradnl"/>
        </w:rPr>
      </w:pPr>
      <w:r>
        <w:rPr>
          <w:i/>
          <w:iCs/>
          <w:lang w:val="es-ES_tradnl"/>
        </w:rPr>
        <w:t>Solicita</w:t>
      </w:r>
      <w:r w:rsidRPr="00CE3900">
        <w:rPr>
          <w:lang w:val="es-ES_tradnl"/>
        </w:rPr>
        <w:t xml:space="preserve"> a la Secretaría que informe a la Conferencia de la</w:t>
      </w:r>
      <w:r>
        <w:rPr>
          <w:lang w:val="es-ES_tradnl"/>
        </w:rPr>
        <w:t>s Partes en su novena reunión de la </w:t>
      </w:r>
      <w:r w:rsidRPr="00CE3900">
        <w:rPr>
          <w:lang w:val="es-ES_tradnl"/>
        </w:rPr>
        <w:t>aplicación de la presente decisión.</w:t>
      </w:r>
    </w:p>
    <w:sectPr w:rsidR="009F00F4" w:rsidRPr="00E543C4" w:rsidSect="009F0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BDF" w:rsidRDefault="002C4BDF" w:rsidP="00E543C4">
      <w:r>
        <w:separator/>
      </w:r>
    </w:p>
  </w:endnote>
  <w:endnote w:type="continuationSeparator" w:id="0">
    <w:p w:rsidR="002C4BDF" w:rsidRDefault="002C4BDF" w:rsidP="00E543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BDF" w:rsidRDefault="002C4BDF" w:rsidP="00E543C4">
      <w:r>
        <w:separator/>
      </w:r>
    </w:p>
  </w:footnote>
  <w:footnote w:type="continuationSeparator" w:id="0">
    <w:p w:rsidR="002C4BDF" w:rsidRDefault="002C4BDF" w:rsidP="00E543C4">
      <w:r>
        <w:continuationSeparator/>
      </w:r>
    </w:p>
  </w:footnote>
  <w:footnote w:id="1">
    <w:p w:rsidR="00E543C4" w:rsidRPr="00642063" w:rsidRDefault="00E543C4" w:rsidP="00E543C4">
      <w:pPr>
        <w:pStyle w:val="FootnoteText"/>
        <w:tabs>
          <w:tab w:val="left" w:pos="624"/>
        </w:tabs>
        <w:spacing w:before="40" w:after="20"/>
        <w:rPr>
          <w:szCs w:val="18"/>
          <w:lang w:val="en-US"/>
        </w:rPr>
      </w:pPr>
      <w:r w:rsidRPr="0091017A">
        <w:rPr>
          <w:rStyle w:val="FootnoteReference"/>
          <w:szCs w:val="18"/>
          <w:lang w:val="es-ES"/>
        </w:rPr>
        <w:footnoteRef/>
      </w:r>
      <w:r w:rsidRPr="0091017A">
        <w:rPr>
          <w:szCs w:val="18"/>
          <w:lang w:val="en-GB"/>
        </w:rPr>
        <w:t xml:space="preserve"> UNEP/CHW.13/INF/43-UNEP/FAO/RC/COP.8/INF/29-UNEP/POPS/COP.8/INF/46.</w:t>
      </w:r>
    </w:p>
  </w:footnote>
  <w:footnote w:id="2">
    <w:p w:rsidR="00E543C4" w:rsidRPr="00642063" w:rsidRDefault="00E543C4" w:rsidP="00E543C4">
      <w:pPr>
        <w:pStyle w:val="FootnoteText"/>
        <w:tabs>
          <w:tab w:val="left" w:pos="624"/>
        </w:tabs>
        <w:spacing w:before="40" w:after="20"/>
        <w:rPr>
          <w:szCs w:val="18"/>
          <w:lang w:val="en-US"/>
        </w:rPr>
      </w:pPr>
      <w:r w:rsidRPr="0091017A">
        <w:rPr>
          <w:rStyle w:val="FootnoteReference"/>
          <w:szCs w:val="18"/>
          <w:lang w:val="es-ES"/>
        </w:rPr>
        <w:footnoteRef/>
      </w:r>
      <w:r w:rsidRPr="0091017A">
        <w:rPr>
          <w:szCs w:val="18"/>
          <w:lang w:val="en-GB"/>
        </w:rPr>
        <w:t xml:space="preserve"> UNEP/CHW.13/INF/36-UNEP/FAO/RC/COP.8/INF/26-UNEP/POPS/COP.8/INF/25.</w:t>
      </w:r>
    </w:p>
  </w:footnote>
  <w:footnote w:id="3">
    <w:p w:rsidR="00E543C4" w:rsidRPr="00642063" w:rsidRDefault="00E543C4" w:rsidP="00E543C4">
      <w:pPr>
        <w:pStyle w:val="FootnoteText"/>
        <w:tabs>
          <w:tab w:val="left" w:pos="624"/>
        </w:tabs>
        <w:spacing w:before="40" w:after="20"/>
        <w:rPr>
          <w:szCs w:val="18"/>
          <w:lang w:val="es-ES"/>
        </w:rPr>
      </w:pPr>
      <w:r w:rsidRPr="0091017A">
        <w:rPr>
          <w:rStyle w:val="FootnoteReference"/>
          <w:szCs w:val="18"/>
          <w:lang w:val="es-ES"/>
        </w:rPr>
        <w:footnoteRef/>
      </w:r>
      <w:r w:rsidRPr="0091017A">
        <w:rPr>
          <w:szCs w:val="18"/>
          <w:lang w:val="es-ES"/>
        </w:rPr>
        <w:t xml:space="preserve"> Véase la resolución 2/7</w:t>
      </w:r>
      <w:r>
        <w:rPr>
          <w:szCs w:val="18"/>
          <w:lang w:val="es-ES"/>
        </w:rPr>
        <w:t xml:space="preserve"> de la Asamblea de las Naciones Unidas </w:t>
      </w:r>
      <w:r w:rsidRPr="0091017A">
        <w:rPr>
          <w:szCs w:val="18"/>
          <w:lang w:val="es-ES"/>
        </w:rPr>
        <w:t xml:space="preserve">sobre el Medio Ambiente, relativa a la gestión racional de los productos químicos y los desechos. </w:t>
      </w:r>
    </w:p>
  </w:footnote>
  <w:footnote w:id="4">
    <w:p w:rsidR="00E543C4" w:rsidRPr="00642063" w:rsidRDefault="00E543C4" w:rsidP="00E543C4">
      <w:pPr>
        <w:pStyle w:val="FootnoteText"/>
        <w:spacing w:before="40" w:after="20"/>
        <w:rPr>
          <w:szCs w:val="18"/>
          <w:lang w:val="es-ES"/>
        </w:rPr>
      </w:pPr>
      <w:r w:rsidRPr="0091017A">
        <w:rPr>
          <w:rStyle w:val="FootnoteReference"/>
          <w:szCs w:val="18"/>
          <w:lang w:val="es-ES"/>
        </w:rPr>
        <w:footnoteRef/>
      </w:r>
      <w:r w:rsidRPr="0091017A">
        <w:rPr>
          <w:szCs w:val="18"/>
          <w:lang w:val="es-ES"/>
        </w:rPr>
        <w:t xml:space="preserve"> Puede consultarse en: </w:t>
      </w:r>
      <w:hyperlink r:id="rId1" w:history="1">
        <w:r w:rsidRPr="00947C8A">
          <w:rPr>
            <w:rStyle w:val="Hyperlink"/>
            <w:szCs w:val="18"/>
            <w:lang w:val="es-ES"/>
          </w:rPr>
          <w:t>http://chm.pops.int/Partners/RegionalCentres/Workplans/tabid/482/Default.aspx</w:t>
        </w:r>
      </w:hyperlink>
      <w:r w:rsidRPr="0091017A">
        <w:rPr>
          <w:szCs w:val="18"/>
          <w:lang w:val="es-ES"/>
        </w:rPr>
        <w:t>.</w:t>
      </w:r>
    </w:p>
  </w:footnote>
  <w:footnote w:id="5">
    <w:p w:rsidR="00E543C4" w:rsidRPr="00642063" w:rsidRDefault="00E543C4" w:rsidP="00E543C4">
      <w:pPr>
        <w:pStyle w:val="FootnoteText"/>
        <w:spacing w:before="40" w:after="20"/>
        <w:rPr>
          <w:szCs w:val="18"/>
          <w:lang w:val="es-ES"/>
        </w:rPr>
      </w:pPr>
      <w:r w:rsidRPr="0091017A">
        <w:rPr>
          <w:rStyle w:val="FootnoteReference"/>
          <w:szCs w:val="18"/>
          <w:lang w:val="es-ES"/>
        </w:rPr>
        <w:footnoteRef/>
      </w:r>
      <w:r w:rsidRPr="0091017A">
        <w:rPr>
          <w:szCs w:val="18"/>
          <w:lang w:val="es-ES"/>
        </w:rPr>
        <w:t xml:space="preserve"> Puede consultarse en: http://chm.pops.int/Partners/RegionalCentres/ActivitiesReports/tabid/4112/Default.aspx.</w:t>
      </w:r>
    </w:p>
  </w:footnote>
  <w:footnote w:id="6">
    <w:p w:rsidR="00E543C4" w:rsidRPr="00642063" w:rsidRDefault="00E543C4" w:rsidP="00E543C4">
      <w:pPr>
        <w:pStyle w:val="FootnoteText"/>
        <w:spacing w:before="40" w:after="20"/>
        <w:rPr>
          <w:szCs w:val="18"/>
          <w:lang w:val="en-US"/>
        </w:rPr>
      </w:pPr>
      <w:r w:rsidRPr="0091017A">
        <w:rPr>
          <w:rStyle w:val="FootnoteReference"/>
          <w:szCs w:val="18"/>
          <w:lang w:val="es-ES"/>
        </w:rPr>
        <w:footnoteRef/>
      </w:r>
      <w:r w:rsidRPr="0091017A">
        <w:rPr>
          <w:szCs w:val="18"/>
          <w:lang w:val="en-GB"/>
        </w:rPr>
        <w:t xml:space="preserve"> </w:t>
      </w:r>
      <w:proofErr w:type="spellStart"/>
      <w:proofErr w:type="gramStart"/>
      <w:r w:rsidRPr="0091017A">
        <w:rPr>
          <w:szCs w:val="18"/>
          <w:lang w:val="en-GB"/>
        </w:rPr>
        <w:t>Véase</w:t>
      </w:r>
      <w:proofErr w:type="spellEnd"/>
      <w:r w:rsidRPr="0091017A">
        <w:rPr>
          <w:szCs w:val="18"/>
          <w:lang w:val="en-GB"/>
        </w:rPr>
        <w:t xml:space="preserve"> UNEP/CHW.13/INF/29/Rev.1-UNEP/POPS/COP.8/INF/26/Rev.1.</w:t>
      </w:r>
      <w:proofErr w:type="gramEnd"/>
    </w:p>
  </w:footnote>
  <w:footnote w:id="7">
    <w:p w:rsidR="00E543C4" w:rsidRPr="00642063" w:rsidRDefault="00E543C4" w:rsidP="00E543C4">
      <w:pPr>
        <w:pStyle w:val="FootnoteText"/>
        <w:spacing w:before="40" w:after="20"/>
        <w:rPr>
          <w:szCs w:val="18"/>
          <w:lang w:val="en-US"/>
        </w:rPr>
      </w:pPr>
      <w:r w:rsidRPr="0091017A">
        <w:rPr>
          <w:rStyle w:val="FootnoteReference"/>
          <w:szCs w:val="18"/>
          <w:lang w:val="es-ES"/>
        </w:rPr>
        <w:footnoteRef/>
      </w:r>
      <w:r w:rsidRPr="0091017A">
        <w:rPr>
          <w:szCs w:val="18"/>
          <w:lang w:val="en-GB"/>
        </w:rPr>
        <w:t xml:space="preserve"> </w:t>
      </w:r>
      <w:r w:rsidRPr="0038574C">
        <w:rPr>
          <w:i/>
          <w:szCs w:val="18"/>
          <w:lang w:val="en-GB"/>
        </w:rPr>
        <w:t>Ib</w:t>
      </w:r>
      <w:r>
        <w:rPr>
          <w:i/>
          <w:szCs w:val="18"/>
          <w:lang w:val="en-GB"/>
        </w:rPr>
        <w:t>i</w:t>
      </w:r>
      <w:r w:rsidRPr="0038574C">
        <w:rPr>
          <w:i/>
          <w:szCs w:val="18"/>
          <w:lang w:val="en-GB"/>
        </w:rPr>
        <w:t>d</w:t>
      </w:r>
      <w:r w:rsidRPr="0091017A">
        <w:rPr>
          <w:szCs w:val="18"/>
          <w:lang w:val="en-GB"/>
        </w:rPr>
        <w:t>.</w:t>
      </w:r>
    </w:p>
  </w:footnote>
  <w:footnote w:id="8">
    <w:p w:rsidR="00E543C4" w:rsidRPr="00642063" w:rsidRDefault="00E543C4" w:rsidP="00E543C4">
      <w:pPr>
        <w:pStyle w:val="FootnoteText"/>
        <w:spacing w:before="40" w:after="20"/>
        <w:rPr>
          <w:szCs w:val="18"/>
          <w:lang w:val="en-US"/>
        </w:rPr>
      </w:pPr>
      <w:r w:rsidRPr="0091017A">
        <w:rPr>
          <w:rStyle w:val="FootnoteReference"/>
          <w:szCs w:val="18"/>
          <w:lang w:val="es-ES"/>
        </w:rPr>
        <w:footnoteRef/>
      </w:r>
      <w:r w:rsidRPr="0091017A">
        <w:rPr>
          <w:szCs w:val="18"/>
          <w:lang w:val="en-GB"/>
        </w:rPr>
        <w:t xml:space="preserve"> </w:t>
      </w:r>
      <w:proofErr w:type="spellStart"/>
      <w:proofErr w:type="gramStart"/>
      <w:r w:rsidRPr="0091017A">
        <w:rPr>
          <w:szCs w:val="18"/>
          <w:lang w:val="en-GB"/>
        </w:rPr>
        <w:t>Véase</w:t>
      </w:r>
      <w:proofErr w:type="spellEnd"/>
      <w:r w:rsidRPr="0091017A">
        <w:rPr>
          <w:szCs w:val="18"/>
          <w:lang w:val="en-GB"/>
        </w:rPr>
        <w:t xml:space="preserve"> UNEP/POPS/COP.8/16/Rev.1.</w:t>
      </w:r>
      <w:proofErr w:type="gram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51ED3"/>
    <w:multiLevelType w:val="hybridMultilevel"/>
    <w:tmpl w:val="1020108C"/>
    <w:lvl w:ilvl="0" w:tplc="BAD40E26">
      <w:start w:val="1"/>
      <w:numFmt w:val="decimal"/>
      <w:lvlText w:val="%1."/>
      <w:lvlJc w:val="left"/>
      <w:pPr>
        <w:ind w:left="2591" w:hanging="360"/>
      </w:pPr>
      <w:rPr>
        <w:i w:val="0"/>
      </w:rPr>
    </w:lvl>
    <w:lvl w:ilvl="1" w:tplc="4BDA7C56">
      <w:start w:val="1"/>
      <w:numFmt w:val="lowerLetter"/>
      <w:lvlText w:val="(%2)"/>
      <w:lvlJc w:val="left"/>
      <w:pPr>
        <w:ind w:left="3581" w:hanging="63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4031" w:hanging="180"/>
      </w:pPr>
    </w:lvl>
    <w:lvl w:ilvl="3" w:tplc="0809000F" w:tentative="1">
      <w:start w:val="1"/>
      <w:numFmt w:val="decimal"/>
      <w:lvlText w:val="%4."/>
      <w:lvlJc w:val="left"/>
      <w:pPr>
        <w:ind w:left="4751" w:hanging="360"/>
      </w:pPr>
    </w:lvl>
    <w:lvl w:ilvl="4" w:tplc="08090019" w:tentative="1">
      <w:start w:val="1"/>
      <w:numFmt w:val="lowerLetter"/>
      <w:lvlText w:val="%5."/>
      <w:lvlJc w:val="left"/>
      <w:pPr>
        <w:ind w:left="5471" w:hanging="360"/>
      </w:pPr>
    </w:lvl>
    <w:lvl w:ilvl="5" w:tplc="0809001B" w:tentative="1">
      <w:start w:val="1"/>
      <w:numFmt w:val="lowerRoman"/>
      <w:lvlText w:val="%6."/>
      <w:lvlJc w:val="right"/>
      <w:pPr>
        <w:ind w:left="6191" w:hanging="180"/>
      </w:pPr>
    </w:lvl>
    <w:lvl w:ilvl="6" w:tplc="0809000F" w:tentative="1">
      <w:start w:val="1"/>
      <w:numFmt w:val="decimal"/>
      <w:lvlText w:val="%7."/>
      <w:lvlJc w:val="left"/>
      <w:pPr>
        <w:ind w:left="6911" w:hanging="360"/>
      </w:pPr>
    </w:lvl>
    <w:lvl w:ilvl="7" w:tplc="08090019" w:tentative="1">
      <w:start w:val="1"/>
      <w:numFmt w:val="lowerLetter"/>
      <w:lvlText w:val="%8."/>
      <w:lvlJc w:val="left"/>
      <w:pPr>
        <w:ind w:left="7631" w:hanging="360"/>
      </w:pPr>
    </w:lvl>
    <w:lvl w:ilvl="8" w:tplc="0809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1">
    <w:nsid w:val="600D1F7C"/>
    <w:multiLevelType w:val="hybridMultilevel"/>
    <w:tmpl w:val="981A98CC"/>
    <w:lvl w:ilvl="0" w:tplc="B6AE9F38">
      <w:start w:val="1"/>
      <w:numFmt w:val="lowerLetter"/>
      <w:lvlText w:val="(%1)"/>
      <w:lvlJc w:val="left"/>
      <w:pPr>
        <w:ind w:left="3213" w:hanging="360"/>
      </w:pPr>
      <w:rPr>
        <w:rFonts w:hint="default"/>
      </w:rPr>
    </w:lvl>
    <w:lvl w:ilvl="1" w:tplc="4BDA7C5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0DCC90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 w:tplc="BAD40E26">
        <w:start w:val="1"/>
        <w:numFmt w:val="decimal"/>
        <w:lvlText w:val="%1."/>
        <w:lvlJc w:val="left"/>
        <w:pPr>
          <w:ind w:left="2591" w:hanging="360"/>
        </w:pPr>
        <w:rPr>
          <w:i w:val="0"/>
        </w:rPr>
      </w:lvl>
    </w:lvlOverride>
  </w:num>
  <w:num w:numId="2">
    <w:abstractNumId w:val="1"/>
    <w:lvlOverride w:ilvl="0">
      <w:lvl w:ilvl="0" w:tplc="B6AE9F38">
        <w:numFmt w:val="decimal"/>
        <w:lvlText w:val=""/>
        <w:lvlJc w:val="left"/>
      </w:lvl>
    </w:lvlOverride>
    <w:lvlOverride w:ilvl="1">
      <w:lvl w:ilvl="1" w:tplc="4BDA7C56">
        <w:start w:val="1"/>
        <w:numFmt w:val="lowerLetter"/>
        <w:lvlText w:val="%2)"/>
        <w:lvlJc w:val="left"/>
        <w:pPr>
          <w:ind w:left="1440" w:hanging="360"/>
        </w:pPr>
        <w:rPr>
          <w:rFonts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61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43C4"/>
    <w:rsid w:val="002C4BDF"/>
    <w:rsid w:val="009F00F4"/>
    <w:rsid w:val="00C87A33"/>
    <w:rsid w:val="00E543C4"/>
    <w:rsid w:val="00F73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3C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pool">
    <w:name w:val="Normal-pool"/>
    <w:link w:val="Normal-poolChar"/>
    <w:rsid w:val="00E543C4"/>
    <w:pPr>
      <w:tabs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aliases w:val="16 Point,Superscript 6 Point,ftref,(Ref. de nota al pie),number,SUPERS,Footnote Reference Superscript,Footnote Reference1,Ref,de nota al pie,註腳內容,de nota al pie + (Asian) MS Mincho,11 pt,Ref. de nota de rodapé1,stylish,Footnote symbol"/>
    <w:uiPriority w:val="99"/>
    <w:rsid w:val="00E543C4"/>
    <w:rPr>
      <w:rFonts w:ascii="Times New Roman" w:hAnsi="Times New Roman" w:cs="Times New Roman"/>
      <w:color w:val="auto"/>
      <w:sz w:val="18"/>
      <w:vertAlign w:val="superscript"/>
    </w:rPr>
  </w:style>
  <w:style w:type="paragraph" w:styleId="FootnoteText">
    <w:name w:val="footnote text"/>
    <w:aliases w:val="Geneva 9,Font: Geneva 9,Boston 10,93,single space,Footnote Text Rail EIS,ft,Char,footnote3,Footnotes,Footnote ak,fn cafc,Footnotes Char Char,Footnote Text Char Char,fn Char Char,footnote text,footnote text Char Char Char Ch,Ch,9"/>
    <w:basedOn w:val="Normal"/>
    <w:link w:val="FootnoteTextChar2"/>
    <w:rsid w:val="00E543C4"/>
    <w:pPr>
      <w:tabs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  <w:spacing w:before="20" w:after="40"/>
      <w:ind w:left="1247"/>
    </w:pPr>
    <w:rPr>
      <w:sz w:val="18"/>
      <w:lang w:val="fr-F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3C4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Hyperlink">
    <w:name w:val="Hyperlink"/>
    <w:semiHidden/>
    <w:rsid w:val="00E543C4"/>
    <w:rPr>
      <w:rFonts w:ascii="Times New Roman" w:hAnsi="Times New Roman" w:cs="Times New Roman"/>
      <w:color w:val="auto"/>
      <w:sz w:val="20"/>
      <w:u w:val="none"/>
      <w:lang w:val="fr-FR"/>
    </w:rPr>
  </w:style>
  <w:style w:type="character" w:customStyle="1" w:styleId="FootnoteTextChar2">
    <w:name w:val="Footnote Text Char2"/>
    <w:aliases w:val="Geneva 9 Char2,Font: Geneva 9 Char2,Boston 10 Char2,93 Char1,single space Char1,Footnote Text Rail EIS Char1,ft Char1,Char Char1,footnote3 Char1,Footnotes Char1,Footnote ak Char1,fn cafc Char1,Footnotes Char Char Char1,Ch Char,9 Char"/>
    <w:link w:val="FootnoteText"/>
    <w:locked/>
    <w:rsid w:val="00E543C4"/>
    <w:rPr>
      <w:rFonts w:ascii="Times New Roman" w:eastAsia="Times New Roman" w:hAnsi="Times New Roman" w:cs="Times New Roman"/>
      <w:sz w:val="18"/>
      <w:szCs w:val="20"/>
      <w:lang w:val="fr-FR"/>
    </w:rPr>
  </w:style>
  <w:style w:type="character" w:customStyle="1" w:styleId="Normal-poolChar">
    <w:name w:val="Normal-pool Char"/>
    <w:link w:val="Normal-pool"/>
    <w:locked/>
    <w:rsid w:val="00E543C4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chm.pops.int/Partners/RegionalCentres/Workplans/tabid/482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941</Words>
  <Characters>4946</Characters>
  <Application>Microsoft Office Word</Application>
  <DocSecurity>0</DocSecurity>
  <Lines>149</Lines>
  <Paragraphs>79</Paragraphs>
  <ScaleCrop>false</ScaleCrop>
  <Company>BRS</Company>
  <LinksUpToDate>false</LinksUpToDate>
  <CharactersWithSpaces>5808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achakwera</dc:creator>
  <cp:lastModifiedBy>achakwera</cp:lastModifiedBy>
  <cp:revision>3</cp:revision>
  <dcterms:created xsi:type="dcterms:W3CDTF">2018-02-06T16:03:00Z</dcterms:created>
  <dcterms:modified xsi:type="dcterms:W3CDTF">2018-02-06T16:04:00Z</dcterms:modified>
</cp:coreProperties>
</file>