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9BD" w:rsidRPr="005D6D70" w:rsidRDefault="00E469BD" w:rsidP="00E469BD">
      <w:pPr>
        <w:pStyle w:val="BBTitle"/>
      </w:pPr>
      <w:r w:rsidRPr="005D6D70">
        <w:t>BC-13/17: Work programme and operations of the Open</w:t>
      </w:r>
      <w:r w:rsidRPr="005D6D70">
        <w:noBreakHyphen/>
        <w:t>ended Working Group for the biennium 2018–2019</w:t>
      </w:r>
    </w:p>
    <w:p w:rsidR="00E469BD" w:rsidRPr="005D6D70" w:rsidRDefault="00E469BD" w:rsidP="00E469BD">
      <w:pPr>
        <w:tabs>
          <w:tab w:val="clear" w:pos="1247"/>
          <w:tab w:val="clear" w:pos="1814"/>
          <w:tab w:val="clear" w:pos="2381"/>
          <w:tab w:val="clear" w:pos="2948"/>
          <w:tab w:val="clear" w:pos="3515"/>
        </w:tabs>
        <w:spacing w:after="120"/>
        <w:ind w:left="1247" w:firstLine="624"/>
        <w:rPr>
          <w:i/>
        </w:rPr>
      </w:pPr>
      <w:r w:rsidRPr="005D6D70">
        <w:rPr>
          <w:i/>
        </w:rPr>
        <w:t>The Conference of the Parties</w:t>
      </w:r>
    </w:p>
    <w:p w:rsidR="00E469BD" w:rsidRPr="005D6D70" w:rsidRDefault="00E469BD" w:rsidP="00E469BD">
      <w:pPr>
        <w:numPr>
          <w:ilvl w:val="0"/>
          <w:numId w:val="2"/>
        </w:numPr>
        <w:tabs>
          <w:tab w:val="clear" w:pos="567"/>
          <w:tab w:val="clear" w:pos="1247"/>
          <w:tab w:val="clear" w:pos="1814"/>
          <w:tab w:val="clear" w:pos="2381"/>
          <w:tab w:val="clear" w:pos="2948"/>
          <w:tab w:val="clear" w:pos="3515"/>
        </w:tabs>
        <w:spacing w:after="120"/>
        <w:ind w:firstLine="624"/>
        <w:rPr>
          <w:i/>
          <w:iCs/>
        </w:rPr>
      </w:pPr>
      <w:r w:rsidRPr="005D6D70">
        <w:rPr>
          <w:i/>
          <w:iCs/>
        </w:rPr>
        <w:t>Welcomes</w:t>
      </w:r>
      <w:r w:rsidRPr="005D6D70">
        <w:rPr>
          <w:iCs/>
        </w:rPr>
        <w:t xml:space="preserve"> the work of the </w:t>
      </w:r>
      <w:r w:rsidRPr="001F0BA8">
        <w:rPr>
          <w:iCs/>
        </w:rPr>
        <w:t>Committee A</w:t>
      </w:r>
      <w:r w:rsidRPr="005D6D70">
        <w:rPr>
          <w:iCs/>
        </w:rPr>
        <w:t>dministering the Mechanism for Promoting Implementation and Compliance with the Basel Convention on electronic approaches to the notification and movement documents;</w:t>
      </w:r>
      <w:r w:rsidRPr="006F0C39">
        <w:rPr>
          <w:rStyle w:val="FootnoteReference"/>
        </w:rPr>
        <w:footnoteReference w:id="1"/>
      </w:r>
    </w:p>
    <w:p w:rsidR="00E469BD" w:rsidRPr="005D6D70" w:rsidRDefault="00E469BD" w:rsidP="00E469BD">
      <w:pPr>
        <w:numPr>
          <w:ilvl w:val="0"/>
          <w:numId w:val="2"/>
        </w:numPr>
        <w:tabs>
          <w:tab w:val="clear" w:pos="567"/>
          <w:tab w:val="clear" w:pos="1247"/>
          <w:tab w:val="clear" w:pos="1814"/>
          <w:tab w:val="clear" w:pos="2381"/>
          <w:tab w:val="clear" w:pos="2948"/>
          <w:tab w:val="clear" w:pos="3515"/>
        </w:tabs>
        <w:spacing w:after="120"/>
        <w:ind w:firstLine="624"/>
      </w:pPr>
      <w:r w:rsidRPr="005D6D70">
        <w:rPr>
          <w:i/>
        </w:rPr>
        <w:t>Requests</w:t>
      </w:r>
      <w:r w:rsidRPr="005D6D70">
        <w:t xml:space="preserve"> the Secretariat to prepare, subject to the availability of funding and for the consideration of the Open-ended Working Group at its eleventh meeting, a document containing options on how to move forward on electronic approaches to the notification and movement documents, taking into account the note by the Secretariat on the Committee Administering the Mechanism for Promoting Implementation and Compliance of the Basel Convention,</w:t>
      </w:r>
      <w:r w:rsidRPr="006F0C39">
        <w:rPr>
          <w:rStyle w:val="FootnoteReference"/>
        </w:rPr>
        <w:footnoteReference w:id="2"/>
      </w:r>
      <w:r w:rsidRPr="005D6D70">
        <w:t xml:space="preserve"> the note by the Secretariat entitled “Control system: electronic approaches to the notification and movement documents”</w:t>
      </w:r>
      <w:r w:rsidRPr="006F0C39">
        <w:rPr>
          <w:rStyle w:val="FootnoteReference"/>
        </w:rPr>
        <w:footnoteReference w:id="3"/>
      </w:r>
      <w:r w:rsidRPr="005D6D70">
        <w:t xml:space="preserve"> and the results of a further survey on the issue, in particular through the gathering of more recent information from Parties and others on existing electronic approaches;</w:t>
      </w:r>
    </w:p>
    <w:p w:rsidR="00E469BD" w:rsidRPr="002436FC" w:rsidRDefault="00E469BD" w:rsidP="00E469BD">
      <w:pPr>
        <w:numPr>
          <w:ilvl w:val="0"/>
          <w:numId w:val="2"/>
        </w:numPr>
        <w:tabs>
          <w:tab w:val="clear" w:pos="567"/>
          <w:tab w:val="clear" w:pos="1247"/>
          <w:tab w:val="clear" w:pos="1814"/>
          <w:tab w:val="clear" w:pos="2381"/>
          <w:tab w:val="clear" w:pos="2948"/>
          <w:tab w:val="clear" w:pos="3515"/>
        </w:tabs>
        <w:spacing w:after="120"/>
        <w:ind w:firstLine="624"/>
      </w:pPr>
      <w:r w:rsidRPr="005D6D70">
        <w:rPr>
          <w:i/>
        </w:rPr>
        <w:t xml:space="preserve">Invites </w:t>
      </w:r>
      <w:r w:rsidRPr="005D6D70">
        <w:t xml:space="preserve">Parties and others to submit comments on </w:t>
      </w:r>
      <w:r w:rsidRPr="005D6D70">
        <w:rPr>
          <w:lang w:eastAsia="nl-NL"/>
        </w:rPr>
        <w:t>whether to consider the review of Annexes II, VIII and IX to the Basel Convention</w:t>
      </w:r>
      <w:r w:rsidRPr="005D6D70">
        <w:t xml:space="preserve">, </w:t>
      </w:r>
      <w:bookmarkStart w:id="0" w:name="_Hlk499386182"/>
      <w:r w:rsidRPr="002436FC">
        <w:t>taking into account the approach outlined in annex II of document UNEP/CHW.12/INF/52</w:t>
      </w:r>
      <w:bookmarkEnd w:id="0"/>
      <w:r w:rsidRPr="002436FC">
        <w:t>;</w:t>
      </w:r>
    </w:p>
    <w:p w:rsidR="00E469BD" w:rsidRPr="005D6D70" w:rsidRDefault="00E469BD" w:rsidP="00E469BD">
      <w:pPr>
        <w:numPr>
          <w:ilvl w:val="0"/>
          <w:numId w:val="2"/>
        </w:numPr>
        <w:tabs>
          <w:tab w:val="clear" w:pos="567"/>
          <w:tab w:val="clear" w:pos="1247"/>
          <w:tab w:val="clear" w:pos="1814"/>
          <w:tab w:val="clear" w:pos="2381"/>
          <w:tab w:val="clear" w:pos="2948"/>
          <w:tab w:val="clear" w:pos="3515"/>
        </w:tabs>
        <w:spacing w:after="120"/>
        <w:ind w:firstLine="624"/>
        <w:rPr>
          <w:lang w:eastAsia="nl-NL"/>
        </w:rPr>
      </w:pPr>
      <w:r w:rsidRPr="005D6D70">
        <w:rPr>
          <w:i/>
        </w:rPr>
        <w:t>Requests</w:t>
      </w:r>
      <w:r w:rsidRPr="005D6D70">
        <w:t xml:space="preserve"> the Secretariat to compile the comments submitted in accordance with paragraph 3 above for consideration by the Open-ended Working Group at its eleventh meeting; </w:t>
      </w:r>
    </w:p>
    <w:p w:rsidR="00E469BD" w:rsidRPr="005D6D70" w:rsidRDefault="00E469BD" w:rsidP="00E469BD">
      <w:pPr>
        <w:numPr>
          <w:ilvl w:val="0"/>
          <w:numId w:val="2"/>
        </w:numPr>
        <w:tabs>
          <w:tab w:val="clear" w:pos="567"/>
          <w:tab w:val="clear" w:pos="1247"/>
          <w:tab w:val="clear" w:pos="1814"/>
          <w:tab w:val="clear" w:pos="2381"/>
          <w:tab w:val="clear" w:pos="2948"/>
          <w:tab w:val="clear" w:pos="3515"/>
        </w:tabs>
        <w:spacing w:after="120"/>
        <w:ind w:firstLine="624"/>
      </w:pPr>
      <w:r w:rsidRPr="005D6D70">
        <w:rPr>
          <w:i/>
        </w:rPr>
        <w:t xml:space="preserve">Also requests </w:t>
      </w:r>
      <w:r w:rsidRPr="005D6D70">
        <w:t xml:space="preserve">the Secretariat to prepare, for consideration by the Open-ended Working Group at its eleventh meeting and subject to the availability of resources, a document compiling information on existing activities that address waste containing </w:t>
      </w:r>
      <w:proofErr w:type="spellStart"/>
      <w:r w:rsidRPr="005D6D70">
        <w:t>nanomaterials</w:t>
      </w:r>
      <w:proofErr w:type="spellEnd"/>
      <w:r w:rsidRPr="005D6D70">
        <w:t xml:space="preserve"> and identifying issues related to waste containing </w:t>
      </w:r>
      <w:proofErr w:type="spellStart"/>
      <w:r w:rsidRPr="005D6D70">
        <w:t>nanomaterials</w:t>
      </w:r>
      <w:proofErr w:type="spellEnd"/>
      <w:r w:rsidRPr="005D6D70">
        <w:t xml:space="preserve"> that may be relevant to work under the Convention and on options for further work that may be carried out under the Basel Convention related to waste containing </w:t>
      </w:r>
      <w:proofErr w:type="spellStart"/>
      <w:r w:rsidRPr="005D6D70">
        <w:t>nanomaterials</w:t>
      </w:r>
      <w:proofErr w:type="spellEnd"/>
      <w:r w:rsidRPr="005D6D70">
        <w:t xml:space="preserve"> within the scope of the Convention, avoiding duplication with activities relating to the matter in other forums;</w:t>
      </w:r>
    </w:p>
    <w:p w:rsidR="00E469BD" w:rsidRPr="005D6D70" w:rsidRDefault="00E469BD" w:rsidP="00E469BD">
      <w:pPr>
        <w:numPr>
          <w:ilvl w:val="0"/>
          <w:numId w:val="2"/>
        </w:numPr>
        <w:tabs>
          <w:tab w:val="clear" w:pos="567"/>
          <w:tab w:val="clear" w:pos="1247"/>
          <w:tab w:val="clear" w:pos="1814"/>
          <w:tab w:val="clear" w:pos="2381"/>
          <w:tab w:val="clear" w:pos="2948"/>
          <w:tab w:val="clear" w:pos="3515"/>
        </w:tabs>
        <w:spacing w:after="120"/>
        <w:ind w:firstLine="624"/>
      </w:pPr>
      <w:r w:rsidRPr="005D6D70">
        <w:rPr>
          <w:i/>
          <w:iCs/>
        </w:rPr>
        <w:t xml:space="preserve">Adopts </w:t>
      </w:r>
      <w:r w:rsidRPr="005D6D70">
        <w:t>the work programme of the Open-ended Working Group for the biennium 2018–2019 set out in the annex to the present decision;</w:t>
      </w:r>
      <w:r w:rsidRPr="005D6D70">
        <w:rPr>
          <w:i/>
          <w:iCs/>
        </w:rPr>
        <w:t xml:space="preserve"> </w:t>
      </w:r>
    </w:p>
    <w:p w:rsidR="00E469BD" w:rsidRPr="005D6D70" w:rsidRDefault="00E469BD" w:rsidP="00E469BD">
      <w:pPr>
        <w:numPr>
          <w:ilvl w:val="0"/>
          <w:numId w:val="2"/>
        </w:numPr>
        <w:tabs>
          <w:tab w:val="clear" w:pos="567"/>
          <w:tab w:val="clear" w:pos="1247"/>
          <w:tab w:val="clear" w:pos="1814"/>
          <w:tab w:val="clear" w:pos="2381"/>
          <w:tab w:val="clear" w:pos="2948"/>
          <w:tab w:val="clear" w:pos="3515"/>
        </w:tabs>
        <w:spacing w:after="120"/>
        <w:ind w:firstLine="624"/>
      </w:pPr>
      <w:r w:rsidRPr="005D6D70">
        <w:rPr>
          <w:i/>
          <w:iCs/>
        </w:rPr>
        <w:t>Decides</w:t>
      </w:r>
      <w:r w:rsidRPr="005D6D70">
        <w:t xml:space="preserve"> that any work by the Secretariat requested by the Open-ended Working Group at its eleventh meeting and to be submitted to the Conference of the Parties for consideration at its fourteenth meeting shall be undertaken, if approved by the Conference of the Parties, subject to the availability of resources;</w:t>
      </w:r>
    </w:p>
    <w:p w:rsidR="00E469BD" w:rsidRPr="005D6D70" w:rsidRDefault="00E469BD" w:rsidP="00E469BD">
      <w:pPr>
        <w:numPr>
          <w:ilvl w:val="0"/>
          <w:numId w:val="2"/>
        </w:numPr>
        <w:tabs>
          <w:tab w:val="clear" w:pos="567"/>
          <w:tab w:val="clear" w:pos="1247"/>
          <w:tab w:val="clear" w:pos="1814"/>
          <w:tab w:val="clear" w:pos="2381"/>
          <w:tab w:val="clear" w:pos="2948"/>
          <w:tab w:val="clear" w:pos="3515"/>
        </w:tabs>
        <w:spacing w:after="120"/>
        <w:ind w:firstLine="624"/>
      </w:pPr>
      <w:r w:rsidRPr="005D6D70">
        <w:rPr>
          <w:i/>
          <w:iCs/>
        </w:rPr>
        <w:t>Takes note</w:t>
      </w:r>
      <w:r w:rsidRPr="005D6D70">
        <w:rPr>
          <w:iCs/>
        </w:rPr>
        <w:t xml:space="preserve"> of the</w:t>
      </w:r>
      <w:r w:rsidRPr="005D6D70">
        <w:rPr>
          <w:i/>
          <w:iCs/>
        </w:rPr>
        <w:t xml:space="preserve"> </w:t>
      </w:r>
      <w:r w:rsidRPr="005D6D70">
        <w:rPr>
          <w:iCs/>
        </w:rPr>
        <w:t>comments</w:t>
      </w:r>
      <w:r w:rsidRPr="005D6D70">
        <w:t xml:space="preserve"> received from Parties and others on experiences with regard to the arrangements </w:t>
      </w:r>
      <w:r w:rsidRPr="005D6D70">
        <w:rPr>
          <w:iCs/>
        </w:rPr>
        <w:t>for</w:t>
      </w:r>
      <w:r w:rsidRPr="005D6D70">
        <w:t xml:space="preserve"> the tenth meeting of the Open-ended Working Group;</w:t>
      </w:r>
      <w:r w:rsidRPr="005D6D70">
        <w:rPr>
          <w:szCs w:val="18"/>
          <w:vertAlign w:val="superscript"/>
        </w:rPr>
        <w:footnoteReference w:id="4"/>
      </w:r>
    </w:p>
    <w:p w:rsidR="00E469BD" w:rsidRPr="005D6D70" w:rsidRDefault="00E469BD" w:rsidP="00E469BD">
      <w:pPr>
        <w:numPr>
          <w:ilvl w:val="0"/>
          <w:numId w:val="2"/>
        </w:numPr>
        <w:tabs>
          <w:tab w:val="clear" w:pos="567"/>
          <w:tab w:val="clear" w:pos="1247"/>
          <w:tab w:val="clear" w:pos="1814"/>
          <w:tab w:val="clear" w:pos="2381"/>
          <w:tab w:val="clear" w:pos="2948"/>
          <w:tab w:val="clear" w:pos="3515"/>
        </w:tabs>
        <w:spacing w:after="120"/>
        <w:ind w:firstLine="624"/>
      </w:pPr>
      <w:r w:rsidRPr="005D6D70">
        <w:rPr>
          <w:i/>
        </w:rPr>
        <w:t>Decides</w:t>
      </w:r>
      <w:r w:rsidRPr="005D6D70">
        <w:t xml:space="preserve"> that the eleventh and subsequent meetings of the Open-ended Working Group will be of four days’ duration, with two days of plenary sessions with simultaneous interpretation provided, plus one additional day of plenary sessions with interpretation provided subject to the availability of resources, to be applied flexibly by the Executive Secretary, and invites those in a position to do so to provide voluntary funding for any interpretation not included in the core budget.</w:t>
      </w:r>
    </w:p>
    <w:p w:rsidR="00E469BD" w:rsidRPr="006F0C39" w:rsidRDefault="00E469BD" w:rsidP="00E469BD">
      <w:pPr>
        <w:keepNext/>
        <w:keepLines/>
        <w:tabs>
          <w:tab w:val="right" w:pos="851"/>
          <w:tab w:val="left" w:pos="4082"/>
        </w:tabs>
        <w:suppressAutoHyphens/>
        <w:spacing w:before="240" w:after="120"/>
        <w:ind w:left="1247" w:right="284" w:hanging="1247"/>
        <w:rPr>
          <w:b/>
          <w:sz w:val="28"/>
        </w:rPr>
      </w:pPr>
      <w:r>
        <w:rPr>
          <w:b/>
          <w:sz w:val="28"/>
        </w:rPr>
        <w:lastRenderedPageBreak/>
        <w:tab/>
      </w:r>
      <w:r w:rsidRPr="006F0C39">
        <w:rPr>
          <w:b/>
          <w:sz w:val="28"/>
        </w:rPr>
        <w:tab/>
        <w:t>Annex to decision BC-13/17</w:t>
      </w:r>
    </w:p>
    <w:p w:rsidR="00E469BD" w:rsidRPr="006F0C39" w:rsidRDefault="00E469BD" w:rsidP="00E469BD">
      <w:pPr>
        <w:keepNext/>
        <w:keepLines/>
        <w:tabs>
          <w:tab w:val="right" w:pos="851"/>
          <w:tab w:val="left" w:pos="4082"/>
        </w:tabs>
        <w:suppressAutoHyphens/>
        <w:spacing w:before="240" w:after="120"/>
        <w:ind w:left="1247" w:right="284" w:hanging="1247"/>
        <w:rPr>
          <w:b/>
          <w:sz w:val="28"/>
        </w:rPr>
      </w:pPr>
      <w:r w:rsidRPr="006F0C39">
        <w:rPr>
          <w:b/>
          <w:sz w:val="28"/>
        </w:rPr>
        <w:tab/>
      </w:r>
      <w:r w:rsidRPr="006F0C39">
        <w:rPr>
          <w:b/>
          <w:sz w:val="28"/>
        </w:rPr>
        <w:tab/>
        <w:t>Work programme of the Open-ended Working Group for the biennium 2018–2019</w:t>
      </w:r>
    </w:p>
    <w:tbl>
      <w:tblPr>
        <w:tblW w:w="4613" w:type="pct"/>
        <w:tblInd w:w="1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64"/>
        <w:gridCol w:w="3555"/>
        <w:gridCol w:w="2236"/>
        <w:gridCol w:w="980"/>
      </w:tblGrid>
      <w:tr w:rsidR="00E469BD" w:rsidRPr="00326C19" w:rsidTr="004F05D7">
        <w:trPr>
          <w:cantSplit/>
          <w:trHeight w:val="20"/>
          <w:tblHeader/>
        </w:trPr>
        <w:tc>
          <w:tcPr>
            <w:tcW w:w="2092" w:type="dxa"/>
            <w:tcBorders>
              <w:top w:val="single" w:sz="4" w:space="0" w:color="auto"/>
              <w:left w:val="single" w:sz="4" w:space="0" w:color="auto"/>
              <w:bottom w:val="single" w:sz="4" w:space="0" w:color="auto"/>
              <w:right w:val="single" w:sz="4" w:space="0" w:color="auto"/>
            </w:tcBorders>
            <w:shd w:val="clear" w:color="auto" w:fill="auto"/>
          </w:tcPr>
          <w:p w:rsidR="00E469BD" w:rsidRPr="00B34477" w:rsidRDefault="00E469BD" w:rsidP="004F05D7">
            <w:pPr>
              <w:keepNext/>
              <w:keepLines/>
              <w:widowControl w:val="0"/>
              <w:tabs>
                <w:tab w:val="left" w:pos="1871"/>
                <w:tab w:val="left" w:pos="2495"/>
                <w:tab w:val="left" w:pos="3119"/>
                <w:tab w:val="left" w:pos="3742"/>
                <w:tab w:val="left" w:pos="4366"/>
                <w:tab w:val="left" w:pos="4990"/>
                <w:tab w:val="left" w:pos="5613"/>
              </w:tabs>
              <w:spacing w:before="60" w:after="60"/>
              <w:jc w:val="both"/>
              <w:rPr>
                <w:b/>
                <w:sz w:val="18"/>
                <w:szCs w:val="18"/>
              </w:rPr>
            </w:pPr>
            <w:r w:rsidRPr="00B34477">
              <w:rPr>
                <w:b/>
                <w:sz w:val="18"/>
                <w:szCs w:val="18"/>
              </w:rPr>
              <w:t>Topics</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E469BD" w:rsidRPr="00B34477" w:rsidRDefault="00E469BD" w:rsidP="004F05D7">
            <w:pPr>
              <w:keepNext/>
              <w:keepLines/>
              <w:widowControl w:val="0"/>
              <w:tabs>
                <w:tab w:val="left" w:pos="624"/>
                <w:tab w:val="left" w:pos="1871"/>
                <w:tab w:val="left" w:pos="2495"/>
                <w:tab w:val="left" w:pos="3119"/>
                <w:tab w:val="left" w:pos="3742"/>
                <w:tab w:val="left" w:pos="4366"/>
                <w:tab w:val="left" w:pos="4990"/>
                <w:tab w:val="left" w:pos="5613"/>
              </w:tabs>
              <w:spacing w:before="60" w:after="60"/>
              <w:rPr>
                <w:b/>
                <w:sz w:val="18"/>
                <w:szCs w:val="18"/>
              </w:rPr>
            </w:pPr>
            <w:r w:rsidRPr="00B34477">
              <w:rPr>
                <w:b/>
                <w:sz w:val="18"/>
                <w:szCs w:val="18"/>
              </w:rPr>
              <w:t>Activities</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E469BD" w:rsidRPr="00B34477" w:rsidRDefault="00E469BD" w:rsidP="004F05D7">
            <w:pPr>
              <w:keepNext/>
              <w:keepLines/>
              <w:widowControl w:val="0"/>
              <w:tabs>
                <w:tab w:val="left" w:pos="624"/>
                <w:tab w:val="left" w:pos="1871"/>
                <w:tab w:val="left" w:pos="2495"/>
                <w:tab w:val="left" w:pos="3119"/>
                <w:tab w:val="left" w:pos="3742"/>
                <w:tab w:val="left" w:pos="4366"/>
                <w:tab w:val="left" w:pos="4990"/>
                <w:tab w:val="left" w:pos="5613"/>
              </w:tabs>
              <w:spacing w:before="60" w:after="60"/>
              <w:rPr>
                <w:b/>
                <w:sz w:val="18"/>
                <w:szCs w:val="18"/>
              </w:rPr>
            </w:pPr>
            <w:r w:rsidRPr="00B34477">
              <w:rPr>
                <w:b/>
                <w:sz w:val="18"/>
                <w:szCs w:val="18"/>
              </w:rPr>
              <w:t>Mandate</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E469BD" w:rsidRPr="00B34477" w:rsidRDefault="00E469BD" w:rsidP="004F05D7">
            <w:pPr>
              <w:keepNext/>
              <w:keepLines/>
              <w:widowControl w:val="0"/>
              <w:tabs>
                <w:tab w:val="left" w:pos="624"/>
                <w:tab w:val="left" w:pos="1871"/>
                <w:tab w:val="left" w:pos="2495"/>
                <w:tab w:val="left" w:pos="3119"/>
                <w:tab w:val="left" w:pos="3742"/>
                <w:tab w:val="left" w:pos="4366"/>
                <w:tab w:val="left" w:pos="4990"/>
                <w:tab w:val="left" w:pos="5613"/>
              </w:tabs>
              <w:spacing w:before="60" w:after="60"/>
              <w:rPr>
                <w:b/>
                <w:sz w:val="18"/>
                <w:szCs w:val="18"/>
              </w:rPr>
            </w:pPr>
            <w:r w:rsidRPr="00B34477">
              <w:rPr>
                <w:b/>
                <w:sz w:val="18"/>
                <w:szCs w:val="18"/>
              </w:rPr>
              <w:t>Priority</w:t>
            </w:r>
          </w:p>
        </w:tc>
      </w:tr>
      <w:tr w:rsidR="00E469BD" w:rsidRPr="00326C19" w:rsidTr="004F05D7">
        <w:trPr>
          <w:cantSplit/>
          <w:trHeight w:val="20"/>
        </w:trPr>
        <w:tc>
          <w:tcPr>
            <w:tcW w:w="8960" w:type="dxa"/>
            <w:gridSpan w:val="4"/>
            <w:tcBorders>
              <w:top w:val="single" w:sz="4" w:space="0" w:color="auto"/>
              <w:left w:val="single" w:sz="4" w:space="0" w:color="auto"/>
              <w:bottom w:val="single" w:sz="4" w:space="0" w:color="auto"/>
              <w:right w:val="single" w:sz="4" w:space="0" w:color="auto"/>
            </w:tcBorders>
          </w:tcPr>
          <w:p w:rsidR="00E469BD" w:rsidRPr="00B34477" w:rsidRDefault="00E469BD" w:rsidP="004F05D7">
            <w:pPr>
              <w:keepNext/>
              <w:keepLines/>
              <w:widowControl w:val="0"/>
              <w:tabs>
                <w:tab w:val="left" w:pos="540"/>
                <w:tab w:val="left" w:pos="4082"/>
              </w:tabs>
              <w:spacing w:before="60" w:after="60"/>
              <w:ind w:left="539" w:right="284" w:hanging="539"/>
              <w:rPr>
                <w:b/>
                <w:sz w:val="18"/>
                <w:szCs w:val="18"/>
              </w:rPr>
            </w:pPr>
            <w:r w:rsidRPr="00326C19">
              <w:rPr>
                <w:b/>
                <w:sz w:val="18"/>
                <w:szCs w:val="18"/>
              </w:rPr>
              <w:t>I. Strategic issues</w:t>
            </w:r>
          </w:p>
        </w:tc>
      </w:tr>
      <w:tr w:rsidR="00E469BD" w:rsidRPr="00326C19" w:rsidTr="004F05D7">
        <w:trPr>
          <w:cantSplit/>
          <w:trHeight w:val="613"/>
        </w:trPr>
        <w:tc>
          <w:tcPr>
            <w:tcW w:w="2092" w:type="dxa"/>
            <w:tcBorders>
              <w:top w:val="single" w:sz="4" w:space="0" w:color="auto"/>
              <w:left w:val="single" w:sz="4" w:space="0" w:color="auto"/>
              <w:bottom w:val="single" w:sz="4" w:space="0" w:color="auto"/>
              <w:right w:val="single" w:sz="4" w:space="0" w:color="auto"/>
            </w:tcBorders>
            <w:shd w:val="clear" w:color="auto" w:fill="auto"/>
          </w:tcPr>
          <w:p w:rsidR="00E469BD" w:rsidRPr="00326C19" w:rsidRDefault="00E469BD" w:rsidP="004F05D7">
            <w:pPr>
              <w:widowControl w:val="0"/>
              <w:tabs>
                <w:tab w:val="left" w:pos="4082"/>
              </w:tabs>
              <w:spacing w:before="60" w:after="60"/>
              <w:rPr>
                <w:sz w:val="18"/>
                <w:szCs w:val="18"/>
              </w:rPr>
            </w:pPr>
            <w:r w:rsidRPr="00326C19">
              <w:rPr>
                <w:sz w:val="18"/>
                <w:szCs w:val="18"/>
              </w:rPr>
              <w:t>A. Strategic framework</w:t>
            </w:r>
          </w:p>
        </w:tc>
        <w:tc>
          <w:tcPr>
            <w:tcW w:w="3608" w:type="dxa"/>
            <w:tcBorders>
              <w:top w:val="single" w:sz="4" w:space="0" w:color="auto"/>
              <w:left w:val="single" w:sz="4" w:space="0" w:color="auto"/>
              <w:right w:val="single" w:sz="4" w:space="0" w:color="auto"/>
            </w:tcBorders>
          </w:tcPr>
          <w:p w:rsidR="00E469BD" w:rsidRPr="00326C19" w:rsidRDefault="00E469BD" w:rsidP="004F05D7">
            <w:pPr>
              <w:widowControl w:val="0"/>
              <w:tabs>
                <w:tab w:val="left" w:pos="4082"/>
              </w:tabs>
              <w:spacing w:before="60" w:after="60"/>
              <w:rPr>
                <w:rFonts w:eastAsia="Batang"/>
                <w:sz w:val="18"/>
                <w:szCs w:val="18"/>
                <w:lang w:eastAsia="ko-KR"/>
              </w:rPr>
            </w:pPr>
            <w:r w:rsidRPr="00326C19">
              <w:rPr>
                <w:rFonts w:eastAsia="Batang"/>
                <w:sz w:val="18"/>
                <w:szCs w:val="18"/>
                <w:lang w:eastAsia="ko-KR"/>
              </w:rPr>
              <w:t>Consider a draft compilation of information related to the indicators in the strategic framework</w:t>
            </w:r>
            <w:r w:rsidRPr="00326C19">
              <w:rPr>
                <w:sz w:val="18"/>
                <w:szCs w:val="18"/>
              </w:rPr>
              <w:t>.</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E469BD" w:rsidRPr="00326C19" w:rsidRDefault="00E469BD" w:rsidP="004F05D7">
            <w:pPr>
              <w:widowControl w:val="0"/>
              <w:tabs>
                <w:tab w:val="left" w:pos="4082"/>
              </w:tabs>
              <w:spacing w:before="60" w:after="60"/>
              <w:rPr>
                <w:sz w:val="18"/>
                <w:szCs w:val="18"/>
              </w:rPr>
            </w:pPr>
            <w:r w:rsidRPr="00326C19">
              <w:rPr>
                <w:sz w:val="18"/>
                <w:szCs w:val="18"/>
              </w:rPr>
              <w:t>Decision BC-13/1</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E469BD" w:rsidRPr="00326C19" w:rsidRDefault="00E469BD" w:rsidP="004F05D7">
            <w:pPr>
              <w:widowControl w:val="0"/>
              <w:tabs>
                <w:tab w:val="left" w:pos="4082"/>
              </w:tabs>
              <w:spacing w:before="60" w:after="60"/>
              <w:rPr>
                <w:sz w:val="18"/>
                <w:szCs w:val="18"/>
              </w:rPr>
            </w:pPr>
            <w:r w:rsidRPr="00326C19">
              <w:rPr>
                <w:sz w:val="18"/>
                <w:szCs w:val="18"/>
              </w:rPr>
              <w:t>Medium</w:t>
            </w:r>
          </w:p>
        </w:tc>
      </w:tr>
      <w:tr w:rsidR="00E469BD" w:rsidRPr="00326C19" w:rsidTr="004F05D7">
        <w:trPr>
          <w:cantSplit/>
          <w:trHeight w:val="884"/>
        </w:trPr>
        <w:tc>
          <w:tcPr>
            <w:tcW w:w="2092" w:type="dxa"/>
            <w:tcBorders>
              <w:left w:val="single" w:sz="4" w:space="0" w:color="auto"/>
              <w:right w:val="single" w:sz="4" w:space="0" w:color="auto"/>
            </w:tcBorders>
            <w:shd w:val="clear" w:color="auto" w:fill="auto"/>
          </w:tcPr>
          <w:p w:rsidR="00E469BD" w:rsidRPr="00326C19" w:rsidRDefault="00E469BD" w:rsidP="004F05D7">
            <w:pPr>
              <w:widowControl w:val="0"/>
              <w:tabs>
                <w:tab w:val="left" w:pos="4082"/>
              </w:tabs>
              <w:spacing w:before="60" w:after="60"/>
              <w:rPr>
                <w:sz w:val="18"/>
                <w:szCs w:val="18"/>
              </w:rPr>
            </w:pPr>
            <w:r w:rsidRPr="00326C19">
              <w:rPr>
                <w:sz w:val="18"/>
                <w:szCs w:val="18"/>
              </w:rPr>
              <w:t>B. Development of guidelines for environmentally sound management</w:t>
            </w:r>
          </w:p>
        </w:tc>
        <w:tc>
          <w:tcPr>
            <w:tcW w:w="3608" w:type="dxa"/>
            <w:tcBorders>
              <w:top w:val="single" w:sz="4" w:space="0" w:color="auto"/>
              <w:left w:val="single" w:sz="4" w:space="0" w:color="auto"/>
              <w:right w:val="single" w:sz="4" w:space="0" w:color="auto"/>
            </w:tcBorders>
          </w:tcPr>
          <w:p w:rsidR="00E469BD" w:rsidRPr="00326C19" w:rsidRDefault="00E469BD" w:rsidP="004F05D7">
            <w:pPr>
              <w:widowControl w:val="0"/>
              <w:tabs>
                <w:tab w:val="left" w:pos="4082"/>
              </w:tabs>
              <w:spacing w:before="60" w:after="60"/>
              <w:rPr>
                <w:rFonts w:eastAsia="Batang"/>
                <w:sz w:val="18"/>
                <w:szCs w:val="18"/>
                <w:lang w:eastAsia="ko-KR"/>
              </w:rPr>
            </w:pPr>
            <w:r w:rsidRPr="00326C19">
              <w:rPr>
                <w:rFonts w:eastAsia="Batang"/>
                <w:sz w:val="18"/>
                <w:szCs w:val="18"/>
                <w:lang w:eastAsia="ko-KR"/>
              </w:rPr>
              <w:t>1. Review the progress made in the implementation of the work programme of the expert working group on environmentally sound management.</w:t>
            </w:r>
          </w:p>
          <w:p w:rsidR="00E469BD" w:rsidRPr="00326C19" w:rsidRDefault="00E469BD" w:rsidP="004F05D7">
            <w:pPr>
              <w:widowControl w:val="0"/>
              <w:tabs>
                <w:tab w:val="left" w:pos="4082"/>
              </w:tabs>
              <w:spacing w:before="60" w:after="60"/>
              <w:rPr>
                <w:rFonts w:eastAsia="Batang"/>
                <w:sz w:val="18"/>
                <w:szCs w:val="18"/>
                <w:lang w:eastAsia="ko-KR"/>
              </w:rPr>
            </w:pPr>
            <w:r w:rsidRPr="00326C19">
              <w:rPr>
                <w:rFonts w:eastAsia="Batang"/>
                <w:sz w:val="18"/>
                <w:szCs w:val="18"/>
                <w:lang w:eastAsia="ko-KR"/>
              </w:rPr>
              <w:t>2. Consider the draft documents developed by the expert working group on environmentally sound management.</w:t>
            </w:r>
          </w:p>
        </w:tc>
        <w:tc>
          <w:tcPr>
            <w:tcW w:w="2268" w:type="dxa"/>
            <w:tcBorders>
              <w:left w:val="single" w:sz="4" w:space="0" w:color="auto"/>
              <w:right w:val="single" w:sz="4" w:space="0" w:color="auto"/>
            </w:tcBorders>
            <w:shd w:val="clear" w:color="auto" w:fill="auto"/>
          </w:tcPr>
          <w:p w:rsidR="00E469BD" w:rsidRPr="00326C19" w:rsidRDefault="00E469BD" w:rsidP="004F05D7">
            <w:pPr>
              <w:widowControl w:val="0"/>
              <w:tabs>
                <w:tab w:val="left" w:pos="4082"/>
              </w:tabs>
              <w:spacing w:before="60" w:after="60"/>
              <w:rPr>
                <w:sz w:val="18"/>
                <w:szCs w:val="18"/>
              </w:rPr>
            </w:pPr>
            <w:r w:rsidRPr="00326C19">
              <w:rPr>
                <w:sz w:val="18"/>
                <w:szCs w:val="18"/>
              </w:rPr>
              <w:t>Decision BC-13/2</w:t>
            </w:r>
          </w:p>
        </w:tc>
        <w:tc>
          <w:tcPr>
            <w:tcW w:w="992" w:type="dxa"/>
            <w:tcBorders>
              <w:left w:val="single" w:sz="4" w:space="0" w:color="auto"/>
              <w:right w:val="single" w:sz="4" w:space="0" w:color="auto"/>
            </w:tcBorders>
            <w:shd w:val="clear" w:color="auto" w:fill="auto"/>
          </w:tcPr>
          <w:p w:rsidR="00E469BD" w:rsidRPr="00326C19" w:rsidRDefault="00E469BD" w:rsidP="004F05D7">
            <w:pPr>
              <w:widowControl w:val="0"/>
              <w:tabs>
                <w:tab w:val="left" w:pos="4082"/>
              </w:tabs>
              <w:spacing w:before="60" w:after="60"/>
              <w:rPr>
                <w:sz w:val="18"/>
                <w:szCs w:val="18"/>
              </w:rPr>
            </w:pPr>
            <w:r w:rsidRPr="00326C19">
              <w:rPr>
                <w:sz w:val="18"/>
                <w:szCs w:val="18"/>
              </w:rPr>
              <w:t>High</w:t>
            </w:r>
          </w:p>
        </w:tc>
      </w:tr>
      <w:tr w:rsidR="00E469BD" w:rsidRPr="00326C19" w:rsidTr="004F05D7">
        <w:trPr>
          <w:cantSplit/>
          <w:trHeight w:val="20"/>
        </w:trPr>
        <w:tc>
          <w:tcPr>
            <w:tcW w:w="8960" w:type="dxa"/>
            <w:gridSpan w:val="4"/>
            <w:tcBorders>
              <w:top w:val="single" w:sz="4" w:space="0" w:color="auto"/>
              <w:left w:val="single" w:sz="4" w:space="0" w:color="auto"/>
              <w:bottom w:val="single" w:sz="4" w:space="0" w:color="auto"/>
              <w:right w:val="single" w:sz="4" w:space="0" w:color="auto"/>
            </w:tcBorders>
          </w:tcPr>
          <w:p w:rsidR="00E469BD" w:rsidRPr="00B34477" w:rsidRDefault="00E469BD" w:rsidP="004F05D7">
            <w:pPr>
              <w:widowControl w:val="0"/>
              <w:tabs>
                <w:tab w:val="left" w:pos="540"/>
                <w:tab w:val="left" w:pos="4082"/>
              </w:tabs>
              <w:spacing w:before="60" w:after="60"/>
              <w:ind w:left="539" w:right="284" w:hanging="539"/>
              <w:rPr>
                <w:sz w:val="18"/>
                <w:szCs w:val="18"/>
                <w:highlight w:val="cyan"/>
              </w:rPr>
            </w:pPr>
            <w:r w:rsidRPr="00326C19">
              <w:rPr>
                <w:b/>
                <w:sz w:val="18"/>
                <w:szCs w:val="18"/>
              </w:rPr>
              <w:t xml:space="preserve">II. Scientific and technical matters </w:t>
            </w:r>
          </w:p>
        </w:tc>
      </w:tr>
      <w:tr w:rsidR="00E469BD" w:rsidRPr="00326C19" w:rsidTr="004F05D7">
        <w:trPr>
          <w:cantSplit/>
          <w:trHeight w:val="1047"/>
        </w:trPr>
        <w:tc>
          <w:tcPr>
            <w:tcW w:w="2092"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widowControl w:val="0"/>
              <w:tabs>
                <w:tab w:val="left" w:pos="540"/>
                <w:tab w:val="left" w:pos="4082"/>
              </w:tabs>
              <w:spacing w:before="60" w:after="60"/>
              <w:rPr>
                <w:sz w:val="18"/>
                <w:szCs w:val="18"/>
              </w:rPr>
            </w:pPr>
            <w:r w:rsidRPr="00326C19">
              <w:rPr>
                <w:sz w:val="18"/>
                <w:szCs w:val="18"/>
              </w:rPr>
              <w:lastRenderedPageBreak/>
              <w:t>A. Technical guidelines</w:t>
            </w:r>
          </w:p>
        </w:tc>
        <w:tc>
          <w:tcPr>
            <w:tcW w:w="3608"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keepNext/>
              <w:keepLines/>
              <w:widowControl w:val="0"/>
              <w:tabs>
                <w:tab w:val="left" w:pos="4082"/>
              </w:tabs>
              <w:snapToGrid w:val="0"/>
              <w:spacing w:before="60" w:after="60"/>
              <w:rPr>
                <w:sz w:val="18"/>
                <w:szCs w:val="18"/>
              </w:rPr>
            </w:pPr>
            <w:r w:rsidRPr="00326C19">
              <w:rPr>
                <w:sz w:val="18"/>
                <w:szCs w:val="18"/>
              </w:rPr>
              <w:t>1. Consider comments and information relating to a review of provisional low persistent organic pollutant content values in the general technical guidelines referred to in decision BC-13/4, and other technical guidelines, as appropriate.</w:t>
            </w:r>
          </w:p>
          <w:p w:rsidR="00E469BD" w:rsidRPr="00326C19" w:rsidRDefault="00E469BD" w:rsidP="004F05D7">
            <w:pPr>
              <w:keepNext/>
              <w:keepLines/>
              <w:widowControl w:val="0"/>
              <w:tabs>
                <w:tab w:val="left" w:pos="4082"/>
              </w:tabs>
              <w:snapToGrid w:val="0"/>
              <w:spacing w:before="60" w:after="60"/>
              <w:rPr>
                <w:sz w:val="18"/>
                <w:szCs w:val="18"/>
              </w:rPr>
            </w:pPr>
            <w:r w:rsidRPr="00326C19">
              <w:rPr>
                <w:sz w:val="18"/>
                <w:szCs w:val="18"/>
              </w:rPr>
              <w:t xml:space="preserve">2. Update the general technical guidelines for the environmentally sound management of wastes consisting of, containing or contaminated with persistent organic pollutants and prepare or update specific technical guidelines </w:t>
            </w:r>
            <w:r w:rsidRPr="00326C19">
              <w:rPr>
                <w:sz w:val="18"/>
                <w:szCs w:val="18"/>
                <w:lang w:eastAsia="de-DE"/>
              </w:rPr>
              <w:t>with regard to the chemicals listed in Annexes A and C to the Stockholm Convention on Persistent Organic Pollutants by decisions SC-8/10, SC-8/11 and SC-8/12 of the Conference of the Parties to the Stockholm Convention</w:t>
            </w:r>
            <w:r w:rsidRPr="00326C19">
              <w:rPr>
                <w:sz w:val="18"/>
                <w:szCs w:val="18"/>
              </w:rPr>
              <w:t>, including the following:</w:t>
            </w:r>
          </w:p>
          <w:p w:rsidR="00E469BD" w:rsidRPr="00326C19" w:rsidRDefault="00E469BD" w:rsidP="00E469BD">
            <w:pPr>
              <w:keepNext/>
              <w:keepLines/>
              <w:widowControl w:val="0"/>
              <w:numPr>
                <w:ilvl w:val="0"/>
                <w:numId w:val="1"/>
              </w:numPr>
              <w:snapToGrid w:val="0"/>
              <w:spacing w:before="60" w:after="60"/>
              <w:ind w:left="476" w:hanging="438"/>
              <w:rPr>
                <w:sz w:val="18"/>
                <w:szCs w:val="18"/>
              </w:rPr>
            </w:pPr>
            <w:r w:rsidRPr="00326C19">
              <w:rPr>
                <w:sz w:val="18"/>
                <w:szCs w:val="18"/>
              </w:rPr>
              <w:t>Establishment of levels of destruction and irreversible transformation for the chemicals necessary to ensure that when disposed of they do not exhibit the characteristics of persistent organic pollutants specified in paragraph 1 of Annex D to the Stockholm Convention;</w:t>
            </w:r>
          </w:p>
          <w:p w:rsidR="00E469BD" w:rsidRPr="00326C19" w:rsidRDefault="00E469BD" w:rsidP="00E469BD">
            <w:pPr>
              <w:keepNext/>
              <w:keepLines/>
              <w:widowControl w:val="0"/>
              <w:numPr>
                <w:ilvl w:val="0"/>
                <w:numId w:val="1"/>
              </w:numPr>
              <w:tabs>
                <w:tab w:val="left" w:pos="4082"/>
              </w:tabs>
              <w:snapToGrid w:val="0"/>
              <w:spacing w:before="60" w:after="60"/>
              <w:ind w:left="476" w:hanging="438"/>
              <w:rPr>
                <w:sz w:val="18"/>
                <w:szCs w:val="18"/>
              </w:rPr>
            </w:pPr>
            <w:r w:rsidRPr="00326C19">
              <w:rPr>
                <w:sz w:val="18"/>
                <w:szCs w:val="18"/>
              </w:rPr>
              <w:t>Determination of which disposal methods constitute environmentally sound disposal as referred to in paragraph 1 (d) (ii) of Article 6 of the Stockholm Convention;</w:t>
            </w:r>
          </w:p>
          <w:p w:rsidR="00E469BD" w:rsidRPr="00326C19" w:rsidRDefault="00E469BD" w:rsidP="00E469BD">
            <w:pPr>
              <w:keepNext/>
              <w:keepLines/>
              <w:widowControl w:val="0"/>
              <w:numPr>
                <w:ilvl w:val="0"/>
                <w:numId w:val="1"/>
              </w:numPr>
              <w:tabs>
                <w:tab w:val="left" w:pos="4082"/>
              </w:tabs>
              <w:snapToGrid w:val="0"/>
              <w:spacing w:before="60" w:after="60"/>
              <w:ind w:left="476" w:hanging="438"/>
              <w:rPr>
                <w:sz w:val="18"/>
                <w:szCs w:val="18"/>
              </w:rPr>
            </w:pPr>
            <w:r w:rsidRPr="00326C19">
              <w:rPr>
                <w:sz w:val="18"/>
                <w:szCs w:val="18"/>
              </w:rPr>
              <w:t>Establishment, as appropriate, of the concentration levels of the chemicals in order to define for the Stockholm Convention low persistent organic pollutant content as referred to in paragraph 1 (d) (ii) of Article 6 of the Convention.</w:t>
            </w:r>
          </w:p>
        </w:tc>
        <w:tc>
          <w:tcPr>
            <w:tcW w:w="2268"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widowControl w:val="0"/>
              <w:tabs>
                <w:tab w:val="left" w:pos="4082"/>
              </w:tabs>
              <w:spacing w:before="60" w:after="60"/>
              <w:rPr>
                <w:sz w:val="18"/>
                <w:szCs w:val="18"/>
              </w:rPr>
            </w:pPr>
            <w:r w:rsidRPr="00326C19">
              <w:rPr>
                <w:sz w:val="18"/>
                <w:szCs w:val="18"/>
              </w:rPr>
              <w:t>Decision BC-13/4</w:t>
            </w:r>
          </w:p>
        </w:tc>
        <w:tc>
          <w:tcPr>
            <w:tcW w:w="992"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widowControl w:val="0"/>
              <w:tabs>
                <w:tab w:val="left" w:pos="4082"/>
              </w:tabs>
              <w:spacing w:before="60" w:after="60"/>
              <w:rPr>
                <w:sz w:val="18"/>
                <w:szCs w:val="18"/>
              </w:rPr>
            </w:pPr>
            <w:r w:rsidRPr="00326C19">
              <w:rPr>
                <w:sz w:val="18"/>
                <w:szCs w:val="18"/>
              </w:rPr>
              <w:t>High</w:t>
            </w:r>
          </w:p>
        </w:tc>
      </w:tr>
      <w:tr w:rsidR="00E469BD" w:rsidRPr="00326C19" w:rsidTr="004F05D7">
        <w:trPr>
          <w:cantSplit/>
          <w:trHeight w:val="3173"/>
        </w:trPr>
        <w:tc>
          <w:tcPr>
            <w:tcW w:w="2092" w:type="dxa"/>
            <w:tcBorders>
              <w:top w:val="single" w:sz="4" w:space="0" w:color="auto"/>
              <w:left w:val="single" w:sz="4" w:space="0" w:color="auto"/>
              <w:bottom w:val="nil"/>
              <w:right w:val="single" w:sz="4" w:space="0" w:color="auto"/>
            </w:tcBorders>
          </w:tcPr>
          <w:p w:rsidR="00E469BD" w:rsidRPr="00326C19" w:rsidRDefault="00E469BD" w:rsidP="004F05D7">
            <w:pPr>
              <w:keepNext/>
              <w:keepLines/>
              <w:widowControl w:val="0"/>
              <w:tabs>
                <w:tab w:val="left" w:pos="540"/>
                <w:tab w:val="right" w:pos="851"/>
                <w:tab w:val="left" w:pos="4082"/>
              </w:tabs>
              <w:suppressAutoHyphens/>
              <w:spacing w:before="60" w:after="60"/>
              <w:ind w:hanging="1247"/>
              <w:rPr>
                <w:sz w:val="18"/>
                <w:szCs w:val="18"/>
              </w:rPr>
            </w:pPr>
          </w:p>
        </w:tc>
        <w:tc>
          <w:tcPr>
            <w:tcW w:w="3608" w:type="dxa"/>
            <w:tcBorders>
              <w:top w:val="single" w:sz="4" w:space="0" w:color="auto"/>
              <w:left w:val="single" w:sz="4" w:space="0" w:color="auto"/>
              <w:right w:val="single" w:sz="4" w:space="0" w:color="auto"/>
            </w:tcBorders>
          </w:tcPr>
          <w:p w:rsidR="00E469BD" w:rsidRPr="00326C19" w:rsidRDefault="00E469BD" w:rsidP="004F05D7">
            <w:pPr>
              <w:keepNext/>
              <w:keepLines/>
              <w:widowControl w:val="0"/>
              <w:snapToGrid w:val="0"/>
              <w:spacing w:before="60" w:after="120"/>
              <w:rPr>
                <w:sz w:val="18"/>
                <w:szCs w:val="18"/>
              </w:rPr>
            </w:pPr>
            <w:r w:rsidRPr="00326C19">
              <w:rPr>
                <w:sz w:val="18"/>
                <w:szCs w:val="18"/>
              </w:rPr>
              <w:t xml:space="preserve">3. Consider comments on the </w:t>
            </w:r>
            <w:r w:rsidRPr="00326C19">
              <w:rPr>
                <w:rFonts w:eastAsia="SimSun"/>
                <w:sz w:val="18"/>
                <w:szCs w:val="18"/>
                <w:lang w:eastAsia="en-GB"/>
              </w:rPr>
              <w:t xml:space="preserve">technical guidelines </w:t>
            </w:r>
            <w:r w:rsidRPr="00326C19">
              <w:rPr>
                <w:sz w:val="18"/>
                <w:szCs w:val="18"/>
              </w:rPr>
              <w:t xml:space="preserve">on </w:t>
            </w:r>
            <w:proofErr w:type="spellStart"/>
            <w:r w:rsidRPr="00326C19">
              <w:rPr>
                <w:sz w:val="18"/>
                <w:szCs w:val="18"/>
              </w:rPr>
              <w:t>transboundary</w:t>
            </w:r>
            <w:proofErr w:type="spellEnd"/>
            <w:r w:rsidRPr="00326C19">
              <w:rPr>
                <w:sz w:val="18"/>
                <w:szCs w:val="18"/>
              </w:rPr>
              <w:t xml:space="preserve"> movements of electrical and electronic waste and used electrical and electronic equipment, in particular regarding the distinction between waste and non-waste under the Basel Convention and </w:t>
            </w:r>
            <w:r w:rsidRPr="00326C19">
              <w:rPr>
                <w:rFonts w:eastAsia="SimSun"/>
                <w:sz w:val="18"/>
                <w:szCs w:val="18"/>
                <w:lang w:eastAsia="en-GB"/>
              </w:rPr>
              <w:t xml:space="preserve">suggestions for amendments to those guidelines from the expert working group. </w:t>
            </w:r>
          </w:p>
          <w:p w:rsidR="00E469BD" w:rsidRPr="00326C19" w:rsidRDefault="00E469BD" w:rsidP="004F05D7">
            <w:pPr>
              <w:keepNext/>
              <w:keepLines/>
              <w:widowControl w:val="0"/>
              <w:snapToGrid w:val="0"/>
              <w:spacing w:before="60" w:after="120"/>
              <w:rPr>
                <w:sz w:val="18"/>
                <w:szCs w:val="18"/>
              </w:rPr>
            </w:pPr>
            <w:r w:rsidRPr="00326C19">
              <w:rPr>
                <w:sz w:val="18"/>
                <w:szCs w:val="18"/>
              </w:rPr>
              <w:t xml:space="preserve">4. Consider the draft updated technical guidelines on incineration on land (D10) and on specially engineered landfill (D5). </w:t>
            </w:r>
          </w:p>
          <w:p w:rsidR="00E469BD" w:rsidRPr="00326C19" w:rsidRDefault="00E469BD" w:rsidP="004F05D7">
            <w:pPr>
              <w:keepNext/>
              <w:keepLines/>
              <w:widowControl w:val="0"/>
              <w:tabs>
                <w:tab w:val="left" w:pos="4082"/>
              </w:tabs>
              <w:snapToGrid w:val="0"/>
              <w:spacing w:before="60" w:after="60"/>
              <w:rPr>
                <w:sz w:val="18"/>
                <w:szCs w:val="18"/>
              </w:rPr>
            </w:pPr>
            <w:r w:rsidRPr="00326C19">
              <w:rPr>
                <w:sz w:val="18"/>
                <w:szCs w:val="18"/>
              </w:rPr>
              <w:t xml:space="preserve">5. Consider whether the technical guidelines on hazardous waste </w:t>
            </w:r>
            <w:proofErr w:type="spellStart"/>
            <w:r w:rsidRPr="00326C19">
              <w:rPr>
                <w:sz w:val="18"/>
                <w:szCs w:val="18"/>
              </w:rPr>
              <w:t>physico</w:t>
            </w:r>
            <w:proofErr w:type="spellEnd"/>
            <w:r w:rsidRPr="00326C19">
              <w:rPr>
                <w:sz w:val="18"/>
                <w:szCs w:val="18"/>
              </w:rPr>
              <w:t xml:space="preserve">-chemical treatment (D9) and biological treatment (D8) should be updated. </w:t>
            </w:r>
          </w:p>
        </w:tc>
        <w:tc>
          <w:tcPr>
            <w:tcW w:w="2268" w:type="dxa"/>
            <w:tcBorders>
              <w:top w:val="single" w:sz="4" w:space="0" w:color="auto"/>
              <w:left w:val="single" w:sz="4" w:space="0" w:color="auto"/>
              <w:right w:val="single" w:sz="4" w:space="0" w:color="auto"/>
            </w:tcBorders>
          </w:tcPr>
          <w:p w:rsidR="00E469BD" w:rsidRPr="00326C19" w:rsidRDefault="00E469BD" w:rsidP="004F05D7">
            <w:pPr>
              <w:widowControl w:val="0"/>
              <w:tabs>
                <w:tab w:val="left" w:pos="4082"/>
              </w:tabs>
              <w:spacing w:before="60" w:after="60"/>
              <w:rPr>
                <w:sz w:val="18"/>
                <w:szCs w:val="18"/>
              </w:rPr>
            </w:pPr>
            <w:r w:rsidRPr="00326C19">
              <w:rPr>
                <w:sz w:val="18"/>
                <w:szCs w:val="18"/>
              </w:rPr>
              <w:t>Decision BC-13/5</w:t>
            </w:r>
          </w:p>
          <w:p w:rsidR="00E469BD" w:rsidRPr="00326C19" w:rsidRDefault="00E469BD" w:rsidP="004F05D7">
            <w:pPr>
              <w:widowControl w:val="0"/>
              <w:tabs>
                <w:tab w:val="left" w:pos="4082"/>
              </w:tabs>
              <w:spacing w:before="60" w:after="60"/>
              <w:rPr>
                <w:sz w:val="18"/>
                <w:szCs w:val="18"/>
              </w:rPr>
            </w:pPr>
          </w:p>
          <w:p w:rsidR="00E469BD" w:rsidRPr="00326C19" w:rsidRDefault="00E469BD" w:rsidP="004F05D7">
            <w:pPr>
              <w:widowControl w:val="0"/>
              <w:tabs>
                <w:tab w:val="left" w:pos="4082"/>
              </w:tabs>
              <w:spacing w:before="60" w:after="60"/>
              <w:rPr>
                <w:sz w:val="18"/>
                <w:szCs w:val="18"/>
              </w:rPr>
            </w:pPr>
          </w:p>
          <w:p w:rsidR="00E469BD" w:rsidRPr="00326C19" w:rsidRDefault="00E469BD" w:rsidP="004F05D7">
            <w:pPr>
              <w:widowControl w:val="0"/>
              <w:tabs>
                <w:tab w:val="left" w:pos="4082"/>
              </w:tabs>
              <w:spacing w:before="60" w:after="60"/>
              <w:rPr>
                <w:sz w:val="18"/>
                <w:szCs w:val="18"/>
              </w:rPr>
            </w:pPr>
          </w:p>
          <w:p w:rsidR="00E469BD" w:rsidRPr="00326C19" w:rsidRDefault="00E469BD" w:rsidP="004F05D7">
            <w:pPr>
              <w:widowControl w:val="0"/>
              <w:tabs>
                <w:tab w:val="left" w:pos="4082"/>
              </w:tabs>
              <w:spacing w:before="60" w:after="60"/>
              <w:rPr>
                <w:sz w:val="18"/>
                <w:szCs w:val="18"/>
              </w:rPr>
            </w:pPr>
          </w:p>
          <w:p w:rsidR="00E469BD" w:rsidRPr="00326C19" w:rsidRDefault="00E469BD" w:rsidP="004F05D7">
            <w:pPr>
              <w:widowControl w:val="0"/>
              <w:tabs>
                <w:tab w:val="left" w:pos="4082"/>
              </w:tabs>
              <w:spacing w:before="60" w:after="60"/>
              <w:rPr>
                <w:sz w:val="18"/>
                <w:szCs w:val="18"/>
              </w:rPr>
            </w:pPr>
          </w:p>
          <w:p w:rsidR="00E469BD" w:rsidRPr="00326C19" w:rsidRDefault="00E469BD" w:rsidP="004F05D7">
            <w:pPr>
              <w:widowControl w:val="0"/>
              <w:tabs>
                <w:tab w:val="left" w:pos="4082"/>
              </w:tabs>
              <w:spacing w:before="60" w:after="60"/>
              <w:rPr>
                <w:b/>
                <w:sz w:val="18"/>
                <w:szCs w:val="18"/>
              </w:rPr>
            </w:pPr>
            <w:r w:rsidRPr="00326C19">
              <w:rPr>
                <w:bCs/>
                <w:sz w:val="18"/>
                <w:szCs w:val="18"/>
              </w:rPr>
              <w:br/>
            </w:r>
            <w:r w:rsidRPr="00326C19">
              <w:rPr>
                <w:bCs/>
                <w:sz w:val="18"/>
                <w:szCs w:val="18"/>
              </w:rPr>
              <w:br/>
              <w:t>Decision BC-13/6</w:t>
            </w:r>
          </w:p>
        </w:tc>
        <w:tc>
          <w:tcPr>
            <w:tcW w:w="992" w:type="dxa"/>
            <w:tcBorders>
              <w:top w:val="single" w:sz="4" w:space="0" w:color="auto"/>
              <w:left w:val="single" w:sz="4" w:space="0" w:color="auto"/>
              <w:right w:val="single" w:sz="4" w:space="0" w:color="auto"/>
            </w:tcBorders>
          </w:tcPr>
          <w:p w:rsidR="00E469BD" w:rsidRPr="00326C19" w:rsidRDefault="00E469BD" w:rsidP="004F05D7">
            <w:pPr>
              <w:widowControl w:val="0"/>
              <w:tabs>
                <w:tab w:val="left" w:pos="4082"/>
              </w:tabs>
              <w:spacing w:before="60" w:after="60"/>
              <w:rPr>
                <w:sz w:val="18"/>
                <w:szCs w:val="18"/>
              </w:rPr>
            </w:pPr>
            <w:r w:rsidRPr="00326C19">
              <w:rPr>
                <w:sz w:val="18"/>
                <w:szCs w:val="18"/>
              </w:rPr>
              <w:t>High</w:t>
            </w:r>
          </w:p>
          <w:p w:rsidR="00E469BD" w:rsidRPr="00326C19" w:rsidRDefault="00E469BD" w:rsidP="004F05D7">
            <w:pPr>
              <w:widowControl w:val="0"/>
              <w:tabs>
                <w:tab w:val="left" w:pos="4082"/>
              </w:tabs>
              <w:spacing w:before="60" w:after="60"/>
              <w:rPr>
                <w:sz w:val="18"/>
                <w:szCs w:val="18"/>
              </w:rPr>
            </w:pPr>
          </w:p>
          <w:p w:rsidR="00E469BD" w:rsidRPr="00326C19" w:rsidRDefault="00E469BD" w:rsidP="004F05D7">
            <w:pPr>
              <w:widowControl w:val="0"/>
              <w:tabs>
                <w:tab w:val="left" w:pos="4082"/>
              </w:tabs>
              <w:spacing w:before="60" w:after="60"/>
              <w:rPr>
                <w:sz w:val="18"/>
                <w:szCs w:val="18"/>
              </w:rPr>
            </w:pPr>
          </w:p>
          <w:p w:rsidR="00E469BD" w:rsidRPr="00326C19" w:rsidRDefault="00E469BD" w:rsidP="004F05D7">
            <w:pPr>
              <w:widowControl w:val="0"/>
              <w:tabs>
                <w:tab w:val="left" w:pos="4082"/>
              </w:tabs>
              <w:spacing w:before="60" w:after="60"/>
              <w:rPr>
                <w:sz w:val="18"/>
                <w:szCs w:val="18"/>
              </w:rPr>
            </w:pPr>
          </w:p>
          <w:p w:rsidR="00E469BD" w:rsidRPr="00326C19" w:rsidRDefault="00E469BD" w:rsidP="004F05D7">
            <w:pPr>
              <w:widowControl w:val="0"/>
              <w:tabs>
                <w:tab w:val="left" w:pos="4082"/>
              </w:tabs>
              <w:spacing w:before="60" w:after="60"/>
              <w:rPr>
                <w:sz w:val="18"/>
                <w:szCs w:val="18"/>
              </w:rPr>
            </w:pPr>
          </w:p>
          <w:p w:rsidR="00E469BD" w:rsidRPr="00326C19" w:rsidRDefault="00E469BD" w:rsidP="004F05D7">
            <w:pPr>
              <w:widowControl w:val="0"/>
              <w:tabs>
                <w:tab w:val="left" w:pos="4082"/>
              </w:tabs>
              <w:spacing w:before="60" w:after="60"/>
              <w:rPr>
                <w:sz w:val="18"/>
                <w:szCs w:val="18"/>
              </w:rPr>
            </w:pPr>
            <w:r w:rsidRPr="00326C19">
              <w:rPr>
                <w:sz w:val="18"/>
                <w:szCs w:val="18"/>
              </w:rPr>
              <w:br/>
            </w:r>
            <w:r w:rsidRPr="00326C19">
              <w:rPr>
                <w:sz w:val="18"/>
                <w:szCs w:val="18"/>
              </w:rPr>
              <w:br/>
            </w:r>
          </w:p>
          <w:p w:rsidR="00E469BD" w:rsidRPr="00326C19" w:rsidRDefault="00E469BD" w:rsidP="004F05D7">
            <w:pPr>
              <w:widowControl w:val="0"/>
              <w:tabs>
                <w:tab w:val="left" w:pos="4082"/>
              </w:tabs>
              <w:spacing w:before="60" w:after="60"/>
              <w:rPr>
                <w:sz w:val="18"/>
                <w:szCs w:val="18"/>
              </w:rPr>
            </w:pPr>
            <w:r w:rsidRPr="00326C19">
              <w:rPr>
                <w:sz w:val="18"/>
                <w:szCs w:val="18"/>
              </w:rPr>
              <w:t>Medium</w:t>
            </w:r>
          </w:p>
        </w:tc>
      </w:tr>
      <w:tr w:rsidR="00E469BD" w:rsidRPr="00326C19" w:rsidTr="004F05D7">
        <w:trPr>
          <w:cantSplit/>
          <w:trHeight w:val="1129"/>
        </w:trPr>
        <w:tc>
          <w:tcPr>
            <w:tcW w:w="2092" w:type="dxa"/>
            <w:tcBorders>
              <w:left w:val="single" w:sz="4" w:space="0" w:color="auto"/>
              <w:right w:val="single" w:sz="4" w:space="0" w:color="auto"/>
            </w:tcBorders>
          </w:tcPr>
          <w:p w:rsidR="00E469BD" w:rsidRPr="00326C19" w:rsidRDefault="00E469BD" w:rsidP="004F05D7">
            <w:pPr>
              <w:widowControl w:val="0"/>
              <w:tabs>
                <w:tab w:val="left" w:pos="540"/>
                <w:tab w:val="left" w:pos="4082"/>
              </w:tabs>
              <w:spacing w:before="60" w:after="60"/>
              <w:rPr>
                <w:sz w:val="18"/>
                <w:szCs w:val="18"/>
              </w:rPr>
            </w:pPr>
            <w:r w:rsidRPr="00326C19">
              <w:rPr>
                <w:sz w:val="18"/>
                <w:szCs w:val="18"/>
              </w:rPr>
              <w:t>B. National reporting</w:t>
            </w:r>
          </w:p>
        </w:tc>
        <w:tc>
          <w:tcPr>
            <w:tcW w:w="3608"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keepNext/>
              <w:keepLines/>
              <w:widowControl w:val="0"/>
              <w:snapToGrid w:val="0"/>
              <w:spacing w:before="60"/>
              <w:rPr>
                <w:sz w:val="18"/>
                <w:szCs w:val="18"/>
              </w:rPr>
            </w:pPr>
            <w:r w:rsidRPr="00326C19">
              <w:rPr>
                <w:sz w:val="18"/>
                <w:szCs w:val="18"/>
              </w:rPr>
              <w:t>Consider the types of wastes for which additional practical guidance on the development of inventories would be useful and prepare recommendations thereon for consideration by the Conference of the Parties at its fourteenth meeting.</w:t>
            </w:r>
          </w:p>
        </w:tc>
        <w:tc>
          <w:tcPr>
            <w:tcW w:w="2268"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widowControl w:val="0"/>
              <w:tabs>
                <w:tab w:val="left" w:pos="4082"/>
              </w:tabs>
              <w:spacing w:before="60" w:after="60"/>
              <w:ind w:left="30" w:right="284" w:firstLine="1"/>
              <w:rPr>
                <w:sz w:val="18"/>
                <w:szCs w:val="18"/>
              </w:rPr>
            </w:pPr>
            <w:r w:rsidRPr="00326C19">
              <w:rPr>
                <w:sz w:val="18"/>
                <w:szCs w:val="18"/>
              </w:rPr>
              <w:t>Decision BC-13/8</w:t>
            </w:r>
          </w:p>
        </w:tc>
        <w:tc>
          <w:tcPr>
            <w:tcW w:w="992"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widowControl w:val="0"/>
              <w:tabs>
                <w:tab w:val="left" w:pos="4082"/>
              </w:tabs>
              <w:spacing w:before="60" w:after="60"/>
              <w:rPr>
                <w:sz w:val="18"/>
                <w:szCs w:val="18"/>
              </w:rPr>
            </w:pPr>
            <w:r w:rsidRPr="00326C19">
              <w:rPr>
                <w:sz w:val="18"/>
                <w:szCs w:val="18"/>
              </w:rPr>
              <w:t xml:space="preserve">High </w:t>
            </w:r>
          </w:p>
        </w:tc>
      </w:tr>
      <w:tr w:rsidR="00E469BD" w:rsidRPr="00326C19" w:rsidTr="004F05D7">
        <w:trPr>
          <w:cantSplit/>
          <w:trHeight w:val="628"/>
        </w:trPr>
        <w:tc>
          <w:tcPr>
            <w:tcW w:w="2092" w:type="dxa"/>
            <w:tcBorders>
              <w:top w:val="single" w:sz="4" w:space="0" w:color="auto"/>
              <w:left w:val="single" w:sz="4" w:space="0" w:color="auto"/>
              <w:right w:val="single" w:sz="4" w:space="0" w:color="auto"/>
            </w:tcBorders>
          </w:tcPr>
          <w:p w:rsidR="00E469BD" w:rsidRPr="00326C19" w:rsidRDefault="00E469BD" w:rsidP="004F05D7">
            <w:pPr>
              <w:keepNext/>
              <w:keepLines/>
              <w:widowControl w:val="0"/>
              <w:tabs>
                <w:tab w:val="left" w:pos="4082"/>
              </w:tabs>
              <w:spacing w:before="60" w:after="60"/>
              <w:rPr>
                <w:sz w:val="18"/>
                <w:szCs w:val="18"/>
              </w:rPr>
            </w:pPr>
            <w:r w:rsidRPr="00326C19">
              <w:rPr>
                <w:sz w:val="18"/>
                <w:szCs w:val="18"/>
              </w:rPr>
              <w:t>C. Amendments to the annexes to the Basel Convention</w:t>
            </w:r>
          </w:p>
        </w:tc>
        <w:tc>
          <w:tcPr>
            <w:tcW w:w="3608"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keepNext/>
              <w:keepLines/>
              <w:widowControl w:val="0"/>
              <w:tabs>
                <w:tab w:val="left" w:pos="4082"/>
              </w:tabs>
              <w:spacing w:before="60"/>
              <w:rPr>
                <w:sz w:val="18"/>
                <w:szCs w:val="18"/>
              </w:rPr>
            </w:pPr>
            <w:r w:rsidRPr="00326C19">
              <w:rPr>
                <w:sz w:val="18"/>
                <w:szCs w:val="18"/>
              </w:rPr>
              <w:t>Consider and review any applications for changes and any corrections to the list of wastes in Annexes VIII and IX to the Basel Convention.</w:t>
            </w:r>
          </w:p>
        </w:tc>
        <w:tc>
          <w:tcPr>
            <w:tcW w:w="2268"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widowControl w:val="0"/>
              <w:tabs>
                <w:tab w:val="left" w:pos="4082"/>
              </w:tabs>
              <w:spacing w:before="60" w:after="60"/>
              <w:rPr>
                <w:sz w:val="18"/>
                <w:szCs w:val="18"/>
              </w:rPr>
            </w:pPr>
            <w:r w:rsidRPr="00326C19">
              <w:rPr>
                <w:sz w:val="18"/>
                <w:szCs w:val="18"/>
              </w:rPr>
              <w:t>Decision VIII/15</w:t>
            </w:r>
          </w:p>
        </w:tc>
        <w:tc>
          <w:tcPr>
            <w:tcW w:w="992"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widowControl w:val="0"/>
              <w:tabs>
                <w:tab w:val="left" w:pos="4082"/>
              </w:tabs>
              <w:spacing w:before="60" w:after="60"/>
              <w:rPr>
                <w:sz w:val="18"/>
                <w:szCs w:val="18"/>
              </w:rPr>
            </w:pPr>
            <w:r w:rsidRPr="00326C19">
              <w:rPr>
                <w:sz w:val="18"/>
                <w:szCs w:val="18"/>
              </w:rPr>
              <w:t>High</w:t>
            </w:r>
          </w:p>
        </w:tc>
      </w:tr>
      <w:tr w:rsidR="00E469BD" w:rsidRPr="00326C19" w:rsidTr="004F05D7">
        <w:trPr>
          <w:cantSplit/>
          <w:trHeight w:val="628"/>
        </w:trPr>
        <w:tc>
          <w:tcPr>
            <w:tcW w:w="2092" w:type="dxa"/>
            <w:tcBorders>
              <w:top w:val="single" w:sz="4" w:space="0" w:color="auto"/>
              <w:left w:val="single" w:sz="4" w:space="0" w:color="auto"/>
              <w:right w:val="single" w:sz="4" w:space="0" w:color="auto"/>
            </w:tcBorders>
          </w:tcPr>
          <w:p w:rsidR="00E469BD" w:rsidRPr="00326C19" w:rsidRDefault="00E469BD" w:rsidP="004F05D7">
            <w:pPr>
              <w:keepNext/>
              <w:keepLines/>
              <w:widowControl w:val="0"/>
              <w:tabs>
                <w:tab w:val="left" w:pos="4082"/>
              </w:tabs>
              <w:spacing w:before="60" w:after="60"/>
              <w:rPr>
                <w:sz w:val="18"/>
                <w:szCs w:val="18"/>
              </w:rPr>
            </w:pPr>
            <w:r w:rsidRPr="00326C19">
              <w:rPr>
                <w:sz w:val="18"/>
                <w:szCs w:val="18"/>
              </w:rPr>
              <w:t>D. Electronic approaches to the notification and movement documents</w:t>
            </w:r>
          </w:p>
        </w:tc>
        <w:tc>
          <w:tcPr>
            <w:tcW w:w="3608"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keepNext/>
              <w:keepLines/>
              <w:widowControl w:val="0"/>
              <w:tabs>
                <w:tab w:val="left" w:pos="4082"/>
              </w:tabs>
              <w:spacing w:before="60"/>
              <w:rPr>
                <w:sz w:val="18"/>
                <w:szCs w:val="18"/>
              </w:rPr>
            </w:pPr>
            <w:r w:rsidRPr="00326C19">
              <w:rPr>
                <w:sz w:val="18"/>
                <w:szCs w:val="18"/>
              </w:rPr>
              <w:t>Consider work that may be carried out on electronic approaches to the notification and movement documents.</w:t>
            </w:r>
          </w:p>
        </w:tc>
        <w:tc>
          <w:tcPr>
            <w:tcW w:w="2268"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widowControl w:val="0"/>
              <w:tabs>
                <w:tab w:val="left" w:pos="4082"/>
              </w:tabs>
              <w:spacing w:before="60" w:after="60"/>
              <w:rPr>
                <w:sz w:val="18"/>
                <w:szCs w:val="18"/>
              </w:rPr>
            </w:pPr>
            <w:r w:rsidRPr="00326C19">
              <w:rPr>
                <w:sz w:val="18"/>
                <w:szCs w:val="18"/>
              </w:rPr>
              <w:t>Decision BC-13/17</w:t>
            </w:r>
          </w:p>
        </w:tc>
        <w:tc>
          <w:tcPr>
            <w:tcW w:w="992"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widowControl w:val="0"/>
              <w:tabs>
                <w:tab w:val="left" w:pos="4082"/>
              </w:tabs>
              <w:spacing w:before="60" w:after="60"/>
              <w:rPr>
                <w:sz w:val="18"/>
                <w:szCs w:val="18"/>
              </w:rPr>
            </w:pPr>
            <w:r w:rsidRPr="00326C19">
              <w:rPr>
                <w:sz w:val="18"/>
                <w:szCs w:val="18"/>
              </w:rPr>
              <w:t>Medium</w:t>
            </w:r>
          </w:p>
        </w:tc>
      </w:tr>
      <w:tr w:rsidR="00E469BD" w:rsidRPr="00326C19" w:rsidTr="004F05D7">
        <w:trPr>
          <w:cantSplit/>
          <w:trHeight w:val="628"/>
        </w:trPr>
        <w:tc>
          <w:tcPr>
            <w:tcW w:w="2092" w:type="dxa"/>
            <w:tcBorders>
              <w:top w:val="single" w:sz="4" w:space="0" w:color="auto"/>
              <w:left w:val="single" w:sz="4" w:space="0" w:color="auto"/>
              <w:right w:val="single" w:sz="4" w:space="0" w:color="auto"/>
            </w:tcBorders>
          </w:tcPr>
          <w:p w:rsidR="00E469BD" w:rsidRPr="00326C19" w:rsidRDefault="00E469BD" w:rsidP="004F05D7">
            <w:pPr>
              <w:keepNext/>
              <w:keepLines/>
              <w:widowControl w:val="0"/>
              <w:tabs>
                <w:tab w:val="left" w:pos="4082"/>
              </w:tabs>
              <w:spacing w:before="60" w:after="60"/>
              <w:rPr>
                <w:sz w:val="18"/>
                <w:szCs w:val="18"/>
              </w:rPr>
            </w:pPr>
            <w:r w:rsidRPr="00326C19">
              <w:rPr>
                <w:sz w:val="18"/>
                <w:szCs w:val="18"/>
              </w:rPr>
              <w:t xml:space="preserve">E. Marine plastic litter and </w:t>
            </w:r>
            <w:proofErr w:type="spellStart"/>
            <w:r w:rsidRPr="00326C19">
              <w:rPr>
                <w:sz w:val="18"/>
                <w:szCs w:val="18"/>
              </w:rPr>
              <w:t>microplastics</w:t>
            </w:r>
            <w:proofErr w:type="spellEnd"/>
          </w:p>
        </w:tc>
        <w:tc>
          <w:tcPr>
            <w:tcW w:w="3608"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keepNext/>
              <w:keepLines/>
              <w:widowControl w:val="0"/>
              <w:tabs>
                <w:tab w:val="left" w:pos="4082"/>
              </w:tabs>
              <w:spacing w:before="60"/>
              <w:rPr>
                <w:rFonts w:eastAsia="Batang"/>
                <w:b/>
                <w:sz w:val="18"/>
                <w:szCs w:val="18"/>
                <w:lang w:eastAsia="ko-KR"/>
              </w:rPr>
            </w:pPr>
            <w:r w:rsidRPr="00326C19">
              <w:rPr>
                <w:rFonts w:eastAsia="Batang"/>
                <w:sz w:val="18"/>
                <w:szCs w:val="18"/>
                <w:lang w:eastAsia="ko-KR"/>
              </w:rPr>
              <w:t xml:space="preserve">Subject to the availability of resources, consider relevant options available under the Convention to further address marine plastic litter and </w:t>
            </w:r>
            <w:proofErr w:type="spellStart"/>
            <w:r w:rsidRPr="00326C19">
              <w:rPr>
                <w:rFonts w:eastAsia="Batang"/>
                <w:sz w:val="18"/>
                <w:szCs w:val="18"/>
                <w:lang w:eastAsia="ko-KR"/>
              </w:rPr>
              <w:t>microplastics</w:t>
            </w:r>
            <w:proofErr w:type="spellEnd"/>
            <w:r w:rsidRPr="00326C19">
              <w:rPr>
                <w:rFonts w:eastAsia="Batang"/>
                <w:sz w:val="18"/>
                <w:szCs w:val="18"/>
                <w:lang w:eastAsia="ko-KR"/>
              </w:rPr>
              <w:t xml:space="preserve">, taking into account, </w:t>
            </w:r>
            <w:r w:rsidRPr="00B34477">
              <w:rPr>
                <w:rFonts w:eastAsia="Batang"/>
                <w:sz w:val="18"/>
                <w:szCs w:val="18"/>
                <w:lang w:eastAsia="ko-KR"/>
              </w:rPr>
              <w:t>inter alia</w:t>
            </w:r>
            <w:r w:rsidRPr="00326C19">
              <w:rPr>
                <w:rFonts w:eastAsia="Batang"/>
                <w:sz w:val="18"/>
                <w:szCs w:val="18"/>
                <w:lang w:eastAsia="ko-KR"/>
              </w:rPr>
              <w:t xml:space="preserve">, the assessment requested by the United Nations Environment Assembly of the United Nations Environment Programme in its resolution 2/11, any relevant resolution by the Environment Assembly at its forthcoming third session and existing guidance documents and activities under the Basel Convention that address issues related to marine plastic litter and </w:t>
            </w:r>
            <w:proofErr w:type="spellStart"/>
            <w:r w:rsidRPr="00326C19">
              <w:rPr>
                <w:rFonts w:eastAsia="Batang"/>
                <w:sz w:val="18"/>
                <w:szCs w:val="18"/>
                <w:lang w:eastAsia="ko-KR"/>
              </w:rPr>
              <w:t>microplastics</w:t>
            </w:r>
            <w:proofErr w:type="spellEnd"/>
            <w:r w:rsidRPr="00326C19">
              <w:rPr>
                <w:rFonts w:eastAsia="Batang"/>
                <w:sz w:val="18"/>
                <w:szCs w:val="18"/>
                <w:lang w:eastAsia="ko-KR"/>
              </w:rPr>
              <w:t>, and develop a proposal for possible further action, within the scope of the Convention and avoiding duplication with activities relating to the matter in other forums, for consideration by the Conference of the Parties at its fourteenth meeting.</w:t>
            </w:r>
          </w:p>
        </w:tc>
        <w:tc>
          <w:tcPr>
            <w:tcW w:w="2268"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widowControl w:val="0"/>
              <w:tabs>
                <w:tab w:val="left" w:pos="4082"/>
              </w:tabs>
              <w:spacing w:before="60" w:after="60"/>
              <w:rPr>
                <w:sz w:val="18"/>
                <w:szCs w:val="18"/>
              </w:rPr>
            </w:pPr>
            <w:r w:rsidRPr="00326C19">
              <w:rPr>
                <w:sz w:val="18"/>
                <w:szCs w:val="18"/>
              </w:rPr>
              <w:t>Decision BC-13/17</w:t>
            </w:r>
          </w:p>
        </w:tc>
        <w:tc>
          <w:tcPr>
            <w:tcW w:w="992"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widowControl w:val="0"/>
              <w:tabs>
                <w:tab w:val="left" w:pos="4082"/>
              </w:tabs>
              <w:spacing w:before="60" w:after="60"/>
              <w:rPr>
                <w:sz w:val="18"/>
                <w:szCs w:val="18"/>
              </w:rPr>
            </w:pPr>
            <w:r w:rsidRPr="00326C19">
              <w:rPr>
                <w:rFonts w:eastAsia="Batang"/>
                <w:sz w:val="18"/>
                <w:szCs w:val="18"/>
                <w:lang w:eastAsia="ko-KR"/>
              </w:rPr>
              <w:t>High</w:t>
            </w:r>
          </w:p>
        </w:tc>
      </w:tr>
      <w:tr w:rsidR="00E469BD" w:rsidRPr="00326C19" w:rsidTr="004F05D7">
        <w:trPr>
          <w:cantSplit/>
          <w:trHeight w:val="628"/>
        </w:trPr>
        <w:tc>
          <w:tcPr>
            <w:tcW w:w="2092" w:type="dxa"/>
            <w:tcBorders>
              <w:top w:val="single" w:sz="4" w:space="0" w:color="auto"/>
              <w:left w:val="single" w:sz="4" w:space="0" w:color="auto"/>
              <w:right w:val="single" w:sz="4" w:space="0" w:color="auto"/>
            </w:tcBorders>
          </w:tcPr>
          <w:p w:rsidR="00E469BD" w:rsidRPr="00326C19" w:rsidRDefault="00E469BD" w:rsidP="004F05D7">
            <w:pPr>
              <w:keepNext/>
              <w:keepLines/>
              <w:widowControl w:val="0"/>
              <w:tabs>
                <w:tab w:val="left" w:pos="4082"/>
              </w:tabs>
              <w:spacing w:before="60" w:after="60"/>
              <w:rPr>
                <w:sz w:val="18"/>
                <w:szCs w:val="18"/>
              </w:rPr>
            </w:pPr>
            <w:r w:rsidRPr="00326C19">
              <w:rPr>
                <w:sz w:val="18"/>
                <w:szCs w:val="18"/>
              </w:rPr>
              <w:t xml:space="preserve">F. Waste containing </w:t>
            </w:r>
            <w:proofErr w:type="spellStart"/>
            <w:r w:rsidRPr="00326C19">
              <w:rPr>
                <w:sz w:val="18"/>
                <w:szCs w:val="18"/>
              </w:rPr>
              <w:t>nanomaterials</w:t>
            </w:r>
            <w:proofErr w:type="spellEnd"/>
          </w:p>
        </w:tc>
        <w:tc>
          <w:tcPr>
            <w:tcW w:w="3608"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keepNext/>
              <w:keepLines/>
              <w:widowControl w:val="0"/>
              <w:snapToGrid w:val="0"/>
              <w:spacing w:before="60" w:after="60"/>
              <w:rPr>
                <w:sz w:val="18"/>
                <w:szCs w:val="18"/>
              </w:rPr>
            </w:pPr>
            <w:r w:rsidRPr="00326C19">
              <w:rPr>
                <w:sz w:val="18"/>
                <w:szCs w:val="18"/>
              </w:rPr>
              <w:t xml:space="preserve">Consider further work that may be carried out in relation to waste containing </w:t>
            </w:r>
            <w:proofErr w:type="spellStart"/>
            <w:r w:rsidRPr="00326C19">
              <w:rPr>
                <w:sz w:val="18"/>
                <w:szCs w:val="18"/>
              </w:rPr>
              <w:t>nanomaterials</w:t>
            </w:r>
            <w:proofErr w:type="spellEnd"/>
            <w:r w:rsidRPr="00326C19">
              <w:rPr>
                <w:sz w:val="18"/>
                <w:szCs w:val="18"/>
              </w:rPr>
              <w:t>.</w:t>
            </w:r>
          </w:p>
        </w:tc>
        <w:tc>
          <w:tcPr>
            <w:tcW w:w="2268"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widowControl w:val="0"/>
              <w:tabs>
                <w:tab w:val="left" w:pos="4082"/>
              </w:tabs>
              <w:spacing w:before="60" w:after="60"/>
              <w:rPr>
                <w:sz w:val="18"/>
                <w:szCs w:val="18"/>
              </w:rPr>
            </w:pPr>
            <w:r w:rsidRPr="00326C19">
              <w:rPr>
                <w:sz w:val="18"/>
                <w:szCs w:val="18"/>
              </w:rPr>
              <w:t>Decision BC-13/17</w:t>
            </w:r>
          </w:p>
        </w:tc>
        <w:tc>
          <w:tcPr>
            <w:tcW w:w="992"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widowControl w:val="0"/>
              <w:tabs>
                <w:tab w:val="left" w:pos="4082"/>
              </w:tabs>
              <w:spacing w:before="60" w:after="60"/>
              <w:rPr>
                <w:rFonts w:eastAsia="Batang"/>
                <w:sz w:val="18"/>
                <w:szCs w:val="18"/>
                <w:lang w:eastAsia="ko-KR"/>
              </w:rPr>
            </w:pPr>
            <w:r w:rsidRPr="00326C19">
              <w:rPr>
                <w:sz w:val="18"/>
                <w:szCs w:val="18"/>
              </w:rPr>
              <w:t>Medium</w:t>
            </w:r>
          </w:p>
        </w:tc>
      </w:tr>
      <w:tr w:rsidR="00E469BD" w:rsidRPr="00326C19" w:rsidTr="004F05D7">
        <w:trPr>
          <w:cantSplit/>
          <w:trHeight w:val="325"/>
        </w:trPr>
        <w:tc>
          <w:tcPr>
            <w:tcW w:w="8960" w:type="dxa"/>
            <w:gridSpan w:val="4"/>
          </w:tcPr>
          <w:p w:rsidR="00E469BD" w:rsidRPr="00326C19" w:rsidRDefault="00E469BD" w:rsidP="004F05D7">
            <w:pPr>
              <w:widowControl w:val="0"/>
              <w:tabs>
                <w:tab w:val="left" w:pos="540"/>
                <w:tab w:val="left" w:pos="4082"/>
              </w:tabs>
              <w:spacing w:before="60" w:after="60"/>
              <w:ind w:left="539" w:right="284" w:hanging="539"/>
              <w:rPr>
                <w:b/>
                <w:i/>
                <w:iCs/>
                <w:sz w:val="18"/>
                <w:szCs w:val="18"/>
              </w:rPr>
            </w:pPr>
            <w:r w:rsidRPr="00326C19">
              <w:rPr>
                <w:b/>
                <w:sz w:val="18"/>
                <w:szCs w:val="18"/>
              </w:rPr>
              <w:t xml:space="preserve">III. Legal, governance and enforcement matters </w:t>
            </w:r>
          </w:p>
        </w:tc>
      </w:tr>
      <w:tr w:rsidR="00E469BD" w:rsidRPr="00326C19" w:rsidTr="004F05D7">
        <w:trPr>
          <w:cantSplit/>
          <w:trHeight w:val="1502"/>
        </w:trPr>
        <w:tc>
          <w:tcPr>
            <w:tcW w:w="2092" w:type="dxa"/>
          </w:tcPr>
          <w:p w:rsidR="00E469BD" w:rsidRPr="00326C19" w:rsidRDefault="00E469BD" w:rsidP="004F05D7">
            <w:pPr>
              <w:widowControl w:val="0"/>
              <w:tabs>
                <w:tab w:val="left" w:pos="4082"/>
              </w:tabs>
              <w:spacing w:before="60" w:after="60"/>
              <w:rPr>
                <w:sz w:val="18"/>
                <w:szCs w:val="18"/>
              </w:rPr>
            </w:pPr>
            <w:r w:rsidRPr="00326C19">
              <w:rPr>
                <w:sz w:val="18"/>
                <w:szCs w:val="18"/>
              </w:rPr>
              <w:lastRenderedPageBreak/>
              <w:t xml:space="preserve">A. Consultation with the Committee Administering the Mechanism for Promoting Implementation and Compliance  </w:t>
            </w:r>
          </w:p>
        </w:tc>
        <w:tc>
          <w:tcPr>
            <w:tcW w:w="3608" w:type="dxa"/>
          </w:tcPr>
          <w:p w:rsidR="00E469BD" w:rsidRPr="00326C19" w:rsidRDefault="00E469BD" w:rsidP="004F05D7">
            <w:pPr>
              <w:spacing w:before="60"/>
              <w:rPr>
                <w:rFonts w:eastAsia="Batang"/>
                <w:sz w:val="18"/>
                <w:szCs w:val="18"/>
              </w:rPr>
            </w:pPr>
            <w:r w:rsidRPr="00326C19">
              <w:rPr>
                <w:rFonts w:eastAsia="Batang"/>
                <w:sz w:val="18"/>
                <w:szCs w:val="18"/>
                <w:lang w:eastAsia="ko-KR"/>
              </w:rPr>
              <w:t xml:space="preserve">Consult with the Committee on the </w:t>
            </w:r>
            <w:r w:rsidRPr="00326C19">
              <w:rPr>
                <w:sz w:val="18"/>
                <w:szCs w:val="18"/>
              </w:rPr>
              <w:t xml:space="preserve">finalization of the guidance to improve the implementation of paragraph 11 of Article 6 of the Convention and on other matters as decided by the Committee. </w:t>
            </w:r>
          </w:p>
        </w:tc>
        <w:tc>
          <w:tcPr>
            <w:tcW w:w="2268" w:type="dxa"/>
          </w:tcPr>
          <w:p w:rsidR="00E469BD" w:rsidRPr="00326C19" w:rsidRDefault="00E469BD" w:rsidP="004F05D7">
            <w:pPr>
              <w:widowControl w:val="0"/>
              <w:spacing w:before="60" w:after="60"/>
              <w:rPr>
                <w:sz w:val="18"/>
                <w:szCs w:val="18"/>
              </w:rPr>
            </w:pPr>
            <w:r w:rsidRPr="00326C19">
              <w:rPr>
                <w:sz w:val="18"/>
                <w:szCs w:val="18"/>
              </w:rPr>
              <w:t>Decision BC-13/9</w:t>
            </w:r>
          </w:p>
        </w:tc>
        <w:tc>
          <w:tcPr>
            <w:tcW w:w="992" w:type="dxa"/>
          </w:tcPr>
          <w:p w:rsidR="00E469BD" w:rsidRPr="00326C19" w:rsidDel="007B0D22" w:rsidRDefault="00E469BD" w:rsidP="004F05D7">
            <w:pPr>
              <w:widowControl w:val="0"/>
              <w:tabs>
                <w:tab w:val="left" w:pos="4082"/>
              </w:tabs>
              <w:spacing w:before="60" w:after="60"/>
              <w:rPr>
                <w:sz w:val="18"/>
                <w:szCs w:val="18"/>
              </w:rPr>
            </w:pPr>
            <w:r w:rsidRPr="00326C19">
              <w:rPr>
                <w:sz w:val="18"/>
                <w:szCs w:val="18"/>
              </w:rPr>
              <w:t>High</w:t>
            </w:r>
          </w:p>
        </w:tc>
      </w:tr>
      <w:tr w:rsidR="00E469BD" w:rsidRPr="00326C19" w:rsidTr="004F05D7">
        <w:trPr>
          <w:cantSplit/>
          <w:trHeight w:val="253"/>
        </w:trPr>
        <w:tc>
          <w:tcPr>
            <w:tcW w:w="2092" w:type="dxa"/>
            <w:tcBorders>
              <w:top w:val="single" w:sz="4" w:space="0" w:color="auto"/>
              <w:left w:val="single" w:sz="4" w:space="0" w:color="auto"/>
              <w:right w:val="single" w:sz="4" w:space="0" w:color="auto"/>
            </w:tcBorders>
          </w:tcPr>
          <w:p w:rsidR="00E469BD" w:rsidRPr="00326C19" w:rsidRDefault="00E469BD" w:rsidP="004F05D7">
            <w:pPr>
              <w:widowControl w:val="0"/>
              <w:tabs>
                <w:tab w:val="left" w:pos="4082"/>
              </w:tabs>
              <w:spacing w:before="60" w:after="60"/>
              <w:rPr>
                <w:sz w:val="18"/>
                <w:szCs w:val="18"/>
              </w:rPr>
            </w:pPr>
            <w:r w:rsidRPr="00326C19">
              <w:rPr>
                <w:sz w:val="18"/>
                <w:szCs w:val="18"/>
              </w:rPr>
              <w:t xml:space="preserve">B. Providing further legal clarity </w:t>
            </w:r>
          </w:p>
        </w:tc>
        <w:tc>
          <w:tcPr>
            <w:tcW w:w="3608"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widowControl w:val="0"/>
              <w:tabs>
                <w:tab w:val="left" w:pos="4082"/>
              </w:tabs>
              <w:spacing w:before="60" w:after="60"/>
              <w:rPr>
                <w:sz w:val="18"/>
                <w:szCs w:val="18"/>
              </w:rPr>
            </w:pPr>
            <w:r w:rsidRPr="00326C19">
              <w:rPr>
                <w:sz w:val="18"/>
                <w:szCs w:val="18"/>
              </w:rPr>
              <w:t>1. Provide guidance to the expert working group on the review of Annexes I, III and IV and related aspects of Annex IX to the Basel Convention.</w:t>
            </w:r>
          </w:p>
          <w:p w:rsidR="00E469BD" w:rsidRPr="00326C19" w:rsidRDefault="00E469BD" w:rsidP="004F05D7">
            <w:pPr>
              <w:widowControl w:val="0"/>
              <w:tabs>
                <w:tab w:val="left" w:pos="4082"/>
              </w:tabs>
              <w:spacing w:before="60" w:after="60"/>
              <w:rPr>
                <w:sz w:val="18"/>
                <w:szCs w:val="18"/>
              </w:rPr>
            </w:pPr>
            <w:r w:rsidRPr="00326C19">
              <w:rPr>
                <w:sz w:val="18"/>
                <w:szCs w:val="18"/>
              </w:rPr>
              <w:t>2. Consider whether to review Annexes II, VIII and IX to the Convention.</w:t>
            </w:r>
          </w:p>
        </w:tc>
        <w:tc>
          <w:tcPr>
            <w:tcW w:w="2268" w:type="dxa"/>
            <w:tcBorders>
              <w:top w:val="single" w:sz="4" w:space="0" w:color="auto"/>
              <w:left w:val="single" w:sz="4" w:space="0" w:color="auto"/>
              <w:right w:val="single" w:sz="4" w:space="0" w:color="auto"/>
            </w:tcBorders>
          </w:tcPr>
          <w:p w:rsidR="00E469BD" w:rsidRPr="00326C19" w:rsidRDefault="00E469BD" w:rsidP="004F05D7">
            <w:pPr>
              <w:widowControl w:val="0"/>
              <w:spacing w:before="60" w:after="60"/>
              <w:rPr>
                <w:sz w:val="18"/>
                <w:szCs w:val="18"/>
              </w:rPr>
            </w:pPr>
            <w:r w:rsidRPr="00326C19">
              <w:rPr>
                <w:sz w:val="18"/>
                <w:szCs w:val="18"/>
              </w:rPr>
              <w:t>Decision BC-13/2</w:t>
            </w:r>
            <w:r w:rsidRPr="00326C19">
              <w:rPr>
                <w:sz w:val="18"/>
                <w:szCs w:val="18"/>
              </w:rPr>
              <w:br/>
            </w:r>
            <w:r w:rsidRPr="00326C19">
              <w:rPr>
                <w:sz w:val="18"/>
                <w:szCs w:val="18"/>
              </w:rPr>
              <w:br/>
            </w:r>
            <w:r w:rsidRPr="00326C19">
              <w:rPr>
                <w:sz w:val="18"/>
                <w:szCs w:val="18"/>
              </w:rPr>
              <w:br/>
            </w:r>
            <w:r w:rsidRPr="00326C19">
              <w:rPr>
                <w:sz w:val="18"/>
                <w:szCs w:val="18"/>
              </w:rPr>
              <w:br/>
              <w:t>Decision BC-13/17</w:t>
            </w:r>
          </w:p>
        </w:tc>
        <w:tc>
          <w:tcPr>
            <w:tcW w:w="992" w:type="dxa"/>
            <w:tcBorders>
              <w:top w:val="single" w:sz="4" w:space="0" w:color="auto"/>
              <w:left w:val="single" w:sz="4" w:space="0" w:color="auto"/>
              <w:right w:val="single" w:sz="4" w:space="0" w:color="auto"/>
            </w:tcBorders>
          </w:tcPr>
          <w:p w:rsidR="00E469BD" w:rsidRPr="00326C19" w:rsidDel="00FB45D8" w:rsidRDefault="00E469BD" w:rsidP="004F05D7">
            <w:pPr>
              <w:widowControl w:val="0"/>
              <w:tabs>
                <w:tab w:val="left" w:pos="4082"/>
              </w:tabs>
              <w:spacing w:before="60" w:after="60"/>
              <w:rPr>
                <w:sz w:val="18"/>
                <w:szCs w:val="18"/>
              </w:rPr>
            </w:pPr>
            <w:r w:rsidRPr="00326C19">
              <w:rPr>
                <w:sz w:val="18"/>
                <w:szCs w:val="18"/>
              </w:rPr>
              <w:t>High</w:t>
            </w:r>
            <w:r w:rsidRPr="00326C19">
              <w:rPr>
                <w:sz w:val="18"/>
                <w:szCs w:val="18"/>
              </w:rPr>
              <w:br/>
            </w:r>
            <w:r w:rsidRPr="00326C19">
              <w:rPr>
                <w:sz w:val="18"/>
                <w:szCs w:val="18"/>
              </w:rPr>
              <w:br/>
            </w:r>
            <w:r w:rsidRPr="00326C19">
              <w:rPr>
                <w:sz w:val="18"/>
                <w:szCs w:val="18"/>
              </w:rPr>
              <w:br/>
            </w:r>
            <w:r w:rsidRPr="00326C19">
              <w:rPr>
                <w:sz w:val="18"/>
                <w:szCs w:val="18"/>
              </w:rPr>
              <w:br/>
              <w:t>Medium</w:t>
            </w:r>
          </w:p>
        </w:tc>
      </w:tr>
      <w:tr w:rsidR="00E469BD" w:rsidRPr="00326C19" w:rsidTr="004F05D7">
        <w:trPr>
          <w:cantSplit/>
          <w:trHeight w:val="20"/>
        </w:trPr>
        <w:tc>
          <w:tcPr>
            <w:tcW w:w="8960" w:type="dxa"/>
            <w:gridSpan w:val="4"/>
            <w:tcBorders>
              <w:top w:val="single" w:sz="4" w:space="0" w:color="auto"/>
              <w:left w:val="single" w:sz="4" w:space="0" w:color="auto"/>
              <w:bottom w:val="single" w:sz="4" w:space="0" w:color="auto"/>
              <w:right w:val="single" w:sz="4" w:space="0" w:color="auto"/>
            </w:tcBorders>
          </w:tcPr>
          <w:p w:rsidR="00E469BD" w:rsidRPr="00326C19" w:rsidRDefault="00E469BD" w:rsidP="004F05D7">
            <w:pPr>
              <w:keepNext/>
              <w:keepLines/>
              <w:widowControl w:val="0"/>
              <w:tabs>
                <w:tab w:val="left" w:pos="540"/>
                <w:tab w:val="left" w:pos="4082"/>
              </w:tabs>
              <w:spacing w:before="60" w:after="60"/>
              <w:ind w:left="539" w:right="284" w:hanging="539"/>
              <w:rPr>
                <w:b/>
                <w:i/>
                <w:sz w:val="18"/>
                <w:szCs w:val="18"/>
              </w:rPr>
            </w:pPr>
            <w:r w:rsidRPr="00326C19">
              <w:rPr>
                <w:b/>
                <w:sz w:val="18"/>
                <w:szCs w:val="18"/>
              </w:rPr>
              <w:t>IV. International cooperation and coordination</w:t>
            </w:r>
          </w:p>
        </w:tc>
      </w:tr>
      <w:tr w:rsidR="00E469BD" w:rsidRPr="00326C19" w:rsidTr="004F05D7">
        <w:trPr>
          <w:cantSplit/>
          <w:trHeight w:val="1317"/>
        </w:trPr>
        <w:tc>
          <w:tcPr>
            <w:tcW w:w="2092" w:type="dxa"/>
            <w:tcBorders>
              <w:top w:val="single" w:sz="4" w:space="0" w:color="auto"/>
              <w:left w:val="single" w:sz="4" w:space="0" w:color="auto"/>
              <w:right w:val="single" w:sz="4" w:space="0" w:color="auto"/>
            </w:tcBorders>
          </w:tcPr>
          <w:p w:rsidR="00E469BD" w:rsidRPr="00326C19" w:rsidRDefault="00E469BD" w:rsidP="004F05D7">
            <w:pPr>
              <w:keepNext/>
              <w:keepLines/>
              <w:widowControl w:val="0"/>
              <w:tabs>
                <w:tab w:val="left" w:pos="4082"/>
              </w:tabs>
              <w:spacing w:before="60" w:after="60"/>
              <w:rPr>
                <w:sz w:val="18"/>
                <w:szCs w:val="18"/>
              </w:rPr>
            </w:pPr>
            <w:r w:rsidRPr="00326C19">
              <w:rPr>
                <w:sz w:val="18"/>
                <w:szCs w:val="18"/>
              </w:rPr>
              <w:t>A. Basel Convention Partnership Programme</w:t>
            </w:r>
          </w:p>
        </w:tc>
        <w:tc>
          <w:tcPr>
            <w:tcW w:w="3608" w:type="dxa"/>
            <w:tcBorders>
              <w:top w:val="single" w:sz="4" w:space="0" w:color="auto"/>
              <w:left w:val="single" w:sz="4" w:space="0" w:color="auto"/>
              <w:right w:val="single" w:sz="4" w:space="0" w:color="auto"/>
            </w:tcBorders>
          </w:tcPr>
          <w:p w:rsidR="00E469BD" w:rsidRPr="00326C19" w:rsidRDefault="00E469BD" w:rsidP="004F05D7">
            <w:pPr>
              <w:keepNext/>
              <w:keepLines/>
              <w:widowControl w:val="0"/>
              <w:tabs>
                <w:tab w:val="left" w:pos="4082"/>
              </w:tabs>
              <w:spacing w:after="120"/>
              <w:rPr>
                <w:sz w:val="18"/>
                <w:szCs w:val="18"/>
              </w:rPr>
            </w:pPr>
            <w:r w:rsidRPr="00326C19">
              <w:rPr>
                <w:sz w:val="18"/>
                <w:szCs w:val="18"/>
              </w:rPr>
              <w:t xml:space="preserve">1. Consider, as needed, a report from the Basel Convention regional and coordinating centres on the implementation of activities listed in the work programme set out in the concept note on a follow-up partnership to the Partnership for Action on Computing Equipment. </w:t>
            </w:r>
          </w:p>
          <w:p w:rsidR="00E469BD" w:rsidRPr="00326C19" w:rsidRDefault="00E469BD" w:rsidP="004F05D7">
            <w:pPr>
              <w:keepNext/>
              <w:keepLines/>
              <w:widowControl w:val="0"/>
              <w:tabs>
                <w:tab w:val="left" w:pos="4082"/>
              </w:tabs>
              <w:spacing w:after="120"/>
              <w:rPr>
                <w:sz w:val="18"/>
                <w:szCs w:val="18"/>
              </w:rPr>
            </w:pPr>
            <w:r w:rsidRPr="00326C19">
              <w:rPr>
                <w:sz w:val="18"/>
                <w:szCs w:val="18"/>
              </w:rPr>
              <w:t xml:space="preserve">2. Consider progress made with, and provide guidance on the implementation of, the </w:t>
            </w:r>
            <w:proofErr w:type="spellStart"/>
            <w:r w:rsidRPr="00326C19">
              <w:rPr>
                <w:sz w:val="18"/>
                <w:szCs w:val="18"/>
              </w:rPr>
              <w:t>workplan</w:t>
            </w:r>
            <w:proofErr w:type="spellEnd"/>
            <w:r w:rsidRPr="00326C19">
              <w:rPr>
                <w:sz w:val="18"/>
                <w:szCs w:val="18"/>
              </w:rPr>
              <w:t xml:space="preserve"> of the working group of the household waste partnership established by the Conference of the Parties at its thirteenth meeting.</w:t>
            </w:r>
          </w:p>
        </w:tc>
        <w:tc>
          <w:tcPr>
            <w:tcW w:w="2268" w:type="dxa"/>
            <w:tcBorders>
              <w:top w:val="single" w:sz="4" w:space="0" w:color="auto"/>
              <w:left w:val="single" w:sz="4" w:space="0" w:color="auto"/>
              <w:right w:val="single" w:sz="4" w:space="0" w:color="auto"/>
            </w:tcBorders>
          </w:tcPr>
          <w:p w:rsidR="00E469BD" w:rsidRPr="00326C19" w:rsidRDefault="00E469BD" w:rsidP="004F05D7">
            <w:pPr>
              <w:keepNext/>
              <w:keepLines/>
              <w:widowControl w:val="0"/>
              <w:tabs>
                <w:tab w:val="left" w:pos="4082"/>
              </w:tabs>
              <w:rPr>
                <w:sz w:val="18"/>
                <w:szCs w:val="18"/>
              </w:rPr>
            </w:pPr>
            <w:r w:rsidRPr="00326C19">
              <w:rPr>
                <w:sz w:val="18"/>
                <w:szCs w:val="18"/>
              </w:rPr>
              <w:t>Decision BC-13/12</w:t>
            </w:r>
            <w:r w:rsidRPr="00326C19">
              <w:rPr>
                <w:sz w:val="18"/>
                <w:szCs w:val="18"/>
              </w:rPr>
              <w:br/>
            </w:r>
            <w:r w:rsidRPr="00326C19">
              <w:rPr>
                <w:sz w:val="18"/>
                <w:szCs w:val="18"/>
              </w:rPr>
              <w:br/>
            </w:r>
            <w:r w:rsidRPr="00326C19">
              <w:rPr>
                <w:sz w:val="18"/>
                <w:szCs w:val="18"/>
              </w:rPr>
              <w:br/>
            </w:r>
            <w:r w:rsidRPr="00326C19">
              <w:rPr>
                <w:sz w:val="18"/>
                <w:szCs w:val="18"/>
              </w:rPr>
              <w:br/>
            </w:r>
            <w:r w:rsidRPr="00326C19">
              <w:rPr>
                <w:sz w:val="18"/>
                <w:szCs w:val="18"/>
              </w:rPr>
              <w:br/>
            </w:r>
            <w:r w:rsidRPr="00326C19">
              <w:rPr>
                <w:sz w:val="18"/>
                <w:szCs w:val="18"/>
              </w:rPr>
              <w:br/>
            </w:r>
            <w:r w:rsidRPr="00326C19">
              <w:rPr>
                <w:sz w:val="18"/>
                <w:szCs w:val="18"/>
              </w:rPr>
              <w:br/>
            </w:r>
            <w:r w:rsidRPr="00326C19">
              <w:rPr>
                <w:sz w:val="18"/>
                <w:szCs w:val="18"/>
              </w:rPr>
              <w:br/>
              <w:t>Decision BC-13/14</w:t>
            </w:r>
          </w:p>
        </w:tc>
        <w:tc>
          <w:tcPr>
            <w:tcW w:w="992" w:type="dxa"/>
            <w:tcBorders>
              <w:top w:val="single" w:sz="4" w:space="0" w:color="auto"/>
              <w:left w:val="single" w:sz="4" w:space="0" w:color="auto"/>
              <w:right w:val="single" w:sz="4" w:space="0" w:color="auto"/>
            </w:tcBorders>
          </w:tcPr>
          <w:p w:rsidR="00E469BD" w:rsidRPr="00326C19" w:rsidRDefault="00E469BD" w:rsidP="004F05D7">
            <w:pPr>
              <w:keepNext/>
              <w:keepLines/>
              <w:widowControl w:val="0"/>
              <w:tabs>
                <w:tab w:val="left" w:pos="4082"/>
              </w:tabs>
              <w:rPr>
                <w:sz w:val="18"/>
                <w:szCs w:val="18"/>
              </w:rPr>
            </w:pPr>
            <w:r w:rsidRPr="00326C19">
              <w:rPr>
                <w:sz w:val="18"/>
                <w:szCs w:val="18"/>
              </w:rPr>
              <w:t>Medium</w:t>
            </w:r>
            <w:r w:rsidRPr="00326C19">
              <w:rPr>
                <w:sz w:val="18"/>
                <w:szCs w:val="18"/>
              </w:rPr>
              <w:br/>
            </w:r>
            <w:r w:rsidRPr="00326C19">
              <w:rPr>
                <w:sz w:val="18"/>
                <w:szCs w:val="18"/>
              </w:rPr>
              <w:br/>
            </w:r>
            <w:r w:rsidRPr="00326C19">
              <w:rPr>
                <w:sz w:val="18"/>
                <w:szCs w:val="18"/>
              </w:rPr>
              <w:br/>
            </w:r>
            <w:r w:rsidRPr="00326C19">
              <w:rPr>
                <w:sz w:val="18"/>
                <w:szCs w:val="18"/>
              </w:rPr>
              <w:br/>
            </w:r>
            <w:r w:rsidRPr="00326C19">
              <w:rPr>
                <w:sz w:val="18"/>
                <w:szCs w:val="18"/>
              </w:rPr>
              <w:br/>
            </w:r>
            <w:r w:rsidRPr="00326C19">
              <w:rPr>
                <w:sz w:val="18"/>
                <w:szCs w:val="18"/>
              </w:rPr>
              <w:br/>
            </w:r>
            <w:r w:rsidRPr="00B34477">
              <w:rPr>
                <w:sz w:val="18"/>
                <w:szCs w:val="18"/>
              </w:rPr>
              <w:br/>
            </w:r>
            <w:r w:rsidRPr="00326C19">
              <w:rPr>
                <w:sz w:val="18"/>
                <w:szCs w:val="18"/>
              </w:rPr>
              <w:br/>
              <w:t>High</w:t>
            </w:r>
          </w:p>
        </w:tc>
      </w:tr>
      <w:tr w:rsidR="00E469BD" w:rsidRPr="00326C19" w:rsidTr="004F05D7">
        <w:trPr>
          <w:cantSplit/>
          <w:trHeight w:val="271"/>
        </w:trPr>
        <w:tc>
          <w:tcPr>
            <w:tcW w:w="2092" w:type="dxa"/>
            <w:tcBorders>
              <w:left w:val="single" w:sz="4" w:space="0" w:color="auto"/>
              <w:right w:val="single" w:sz="4" w:space="0" w:color="auto"/>
            </w:tcBorders>
          </w:tcPr>
          <w:p w:rsidR="00E469BD" w:rsidRPr="00326C19" w:rsidRDefault="00E469BD" w:rsidP="004F05D7">
            <w:pPr>
              <w:widowControl w:val="0"/>
              <w:tabs>
                <w:tab w:val="left" w:pos="4082"/>
              </w:tabs>
              <w:spacing w:before="60" w:after="60"/>
              <w:rPr>
                <w:sz w:val="18"/>
                <w:szCs w:val="18"/>
              </w:rPr>
            </w:pPr>
            <w:r w:rsidRPr="00326C19">
              <w:rPr>
                <w:sz w:val="18"/>
                <w:szCs w:val="18"/>
              </w:rPr>
              <w:t>B. Cooperation with the World Customs Organization on the Harmonized Commodity Description and Coding System</w:t>
            </w:r>
          </w:p>
        </w:tc>
        <w:tc>
          <w:tcPr>
            <w:tcW w:w="3608"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widowControl w:val="0"/>
              <w:tabs>
                <w:tab w:val="left" w:pos="4082"/>
              </w:tabs>
              <w:spacing w:before="60"/>
              <w:rPr>
                <w:sz w:val="18"/>
                <w:szCs w:val="18"/>
              </w:rPr>
            </w:pPr>
            <w:r w:rsidRPr="00326C19">
              <w:rPr>
                <w:sz w:val="18"/>
                <w:szCs w:val="18"/>
              </w:rPr>
              <w:t>Consider progress achieved with regard to the inclusion of Basel Convention wastes in the World Customs Organization Harmonized Commodity Description and Coding System.</w:t>
            </w:r>
          </w:p>
        </w:tc>
        <w:tc>
          <w:tcPr>
            <w:tcW w:w="2268"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widowControl w:val="0"/>
              <w:tabs>
                <w:tab w:val="left" w:pos="4082"/>
              </w:tabs>
              <w:spacing w:before="60" w:after="60"/>
              <w:rPr>
                <w:sz w:val="18"/>
                <w:szCs w:val="18"/>
              </w:rPr>
            </w:pPr>
            <w:r w:rsidRPr="00326C19">
              <w:rPr>
                <w:sz w:val="18"/>
                <w:szCs w:val="18"/>
              </w:rPr>
              <w:t>Decision BC-13/7</w:t>
            </w:r>
          </w:p>
        </w:tc>
        <w:tc>
          <w:tcPr>
            <w:tcW w:w="992"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widowControl w:val="0"/>
              <w:tabs>
                <w:tab w:val="left" w:pos="4082"/>
              </w:tabs>
              <w:spacing w:before="60" w:after="60"/>
              <w:rPr>
                <w:sz w:val="18"/>
                <w:szCs w:val="18"/>
              </w:rPr>
            </w:pPr>
            <w:r w:rsidRPr="00326C19">
              <w:rPr>
                <w:sz w:val="18"/>
                <w:szCs w:val="18"/>
              </w:rPr>
              <w:t>Medium</w:t>
            </w:r>
          </w:p>
        </w:tc>
      </w:tr>
      <w:tr w:rsidR="00E469BD" w:rsidRPr="00326C19" w:rsidTr="004F05D7">
        <w:trPr>
          <w:cantSplit/>
          <w:trHeight w:val="271"/>
        </w:trPr>
        <w:tc>
          <w:tcPr>
            <w:tcW w:w="8960" w:type="dxa"/>
            <w:gridSpan w:val="4"/>
            <w:tcBorders>
              <w:left w:val="single" w:sz="4" w:space="0" w:color="auto"/>
              <w:right w:val="single" w:sz="4" w:space="0" w:color="auto"/>
            </w:tcBorders>
          </w:tcPr>
          <w:p w:rsidR="00E469BD" w:rsidRPr="00326C19" w:rsidRDefault="00E469BD" w:rsidP="004F05D7">
            <w:pPr>
              <w:widowControl w:val="0"/>
              <w:tabs>
                <w:tab w:val="left" w:pos="4082"/>
              </w:tabs>
              <w:spacing w:before="60" w:after="60"/>
              <w:rPr>
                <w:b/>
                <w:sz w:val="18"/>
                <w:szCs w:val="18"/>
              </w:rPr>
            </w:pPr>
            <w:r w:rsidRPr="00326C19">
              <w:rPr>
                <w:b/>
                <w:sz w:val="18"/>
                <w:szCs w:val="18"/>
              </w:rPr>
              <w:t>V. Programme of work and budget</w:t>
            </w:r>
          </w:p>
        </w:tc>
      </w:tr>
      <w:tr w:rsidR="00E469BD" w:rsidRPr="00326C19" w:rsidTr="004F05D7">
        <w:trPr>
          <w:cantSplit/>
          <w:trHeight w:val="923"/>
        </w:trPr>
        <w:tc>
          <w:tcPr>
            <w:tcW w:w="2092" w:type="dxa"/>
            <w:tcBorders>
              <w:left w:val="single" w:sz="4" w:space="0" w:color="auto"/>
              <w:bottom w:val="single" w:sz="4" w:space="0" w:color="auto"/>
              <w:right w:val="single" w:sz="4" w:space="0" w:color="auto"/>
            </w:tcBorders>
          </w:tcPr>
          <w:p w:rsidR="00E469BD" w:rsidRPr="00326C19" w:rsidRDefault="00E469BD" w:rsidP="004F05D7">
            <w:pPr>
              <w:widowControl w:val="0"/>
              <w:tabs>
                <w:tab w:val="left" w:pos="4082"/>
              </w:tabs>
              <w:spacing w:before="60" w:after="60"/>
              <w:rPr>
                <w:sz w:val="18"/>
                <w:szCs w:val="18"/>
              </w:rPr>
            </w:pPr>
            <w:r w:rsidRPr="00326C19">
              <w:rPr>
                <w:sz w:val="18"/>
                <w:szCs w:val="18"/>
              </w:rPr>
              <w:t xml:space="preserve">Financing and budget for the biennium </w:t>
            </w:r>
            <w:r w:rsidRPr="00326C19">
              <w:rPr>
                <w:sz w:val="18"/>
                <w:szCs w:val="18"/>
              </w:rPr>
              <w:br/>
              <w:t>2018–2019</w:t>
            </w:r>
          </w:p>
        </w:tc>
        <w:tc>
          <w:tcPr>
            <w:tcW w:w="3608"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widowControl w:val="0"/>
              <w:tabs>
                <w:tab w:val="left" w:pos="4082"/>
              </w:tabs>
              <w:spacing w:before="60"/>
              <w:rPr>
                <w:sz w:val="18"/>
                <w:szCs w:val="18"/>
              </w:rPr>
            </w:pPr>
            <w:r w:rsidRPr="00326C19">
              <w:rPr>
                <w:sz w:val="18"/>
                <w:szCs w:val="18"/>
              </w:rPr>
              <w:t>Consider the report by the Secretariat on the status of the implementation of decision BC</w:t>
            </w:r>
            <w:r w:rsidRPr="00326C19">
              <w:rPr>
                <w:sz w:val="18"/>
                <w:szCs w:val="18"/>
              </w:rPr>
              <w:noBreakHyphen/>
              <w:t xml:space="preserve">13/24 on the programme of work and proposed budget for the Basel Convention for the biennium 2018–2019. </w:t>
            </w:r>
          </w:p>
        </w:tc>
        <w:tc>
          <w:tcPr>
            <w:tcW w:w="2268"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widowControl w:val="0"/>
              <w:tabs>
                <w:tab w:val="left" w:pos="4082"/>
              </w:tabs>
              <w:spacing w:before="60" w:after="60"/>
              <w:rPr>
                <w:sz w:val="18"/>
                <w:szCs w:val="18"/>
              </w:rPr>
            </w:pPr>
            <w:r w:rsidRPr="00326C19">
              <w:rPr>
                <w:sz w:val="18"/>
                <w:szCs w:val="18"/>
              </w:rPr>
              <w:t>Decision BC-13/24</w:t>
            </w:r>
          </w:p>
        </w:tc>
        <w:tc>
          <w:tcPr>
            <w:tcW w:w="992" w:type="dxa"/>
            <w:tcBorders>
              <w:top w:val="single" w:sz="4" w:space="0" w:color="auto"/>
              <w:left w:val="single" w:sz="4" w:space="0" w:color="auto"/>
              <w:bottom w:val="single" w:sz="4" w:space="0" w:color="auto"/>
              <w:right w:val="single" w:sz="4" w:space="0" w:color="auto"/>
            </w:tcBorders>
          </w:tcPr>
          <w:p w:rsidR="00E469BD" w:rsidRPr="00326C19" w:rsidRDefault="00E469BD" w:rsidP="004F05D7">
            <w:pPr>
              <w:widowControl w:val="0"/>
              <w:tabs>
                <w:tab w:val="left" w:pos="4082"/>
              </w:tabs>
              <w:spacing w:before="60" w:after="60"/>
              <w:rPr>
                <w:sz w:val="18"/>
                <w:szCs w:val="18"/>
              </w:rPr>
            </w:pPr>
            <w:r w:rsidRPr="00326C19">
              <w:rPr>
                <w:sz w:val="18"/>
                <w:szCs w:val="18"/>
              </w:rPr>
              <w:t>Medium</w:t>
            </w:r>
          </w:p>
        </w:tc>
      </w:tr>
    </w:tbl>
    <w:p w:rsidR="00E469BD" w:rsidRDefault="00E469BD" w:rsidP="00E469BD">
      <w:pPr>
        <w:pStyle w:val="Normal-pool"/>
      </w:pPr>
    </w:p>
    <w:p w:rsidR="00041356" w:rsidRDefault="00041356"/>
    <w:sectPr w:rsidR="00041356" w:rsidSect="000413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5F9A" w:rsidRDefault="00B55F9A" w:rsidP="00E469BD">
      <w:r>
        <w:separator/>
      </w:r>
    </w:p>
  </w:endnote>
  <w:endnote w:type="continuationSeparator" w:id="0">
    <w:p w:rsidR="00B55F9A" w:rsidRDefault="00B55F9A" w:rsidP="00E469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5F9A" w:rsidRDefault="00B55F9A" w:rsidP="00E469BD">
      <w:r>
        <w:separator/>
      </w:r>
    </w:p>
  </w:footnote>
  <w:footnote w:type="continuationSeparator" w:id="0">
    <w:p w:rsidR="00B55F9A" w:rsidRDefault="00B55F9A" w:rsidP="00E469BD">
      <w:r>
        <w:continuationSeparator/>
      </w:r>
    </w:p>
  </w:footnote>
  <w:footnote w:id="1">
    <w:p w:rsidR="00E469BD" w:rsidRPr="00B34477" w:rsidRDefault="00E469BD" w:rsidP="00E469BD">
      <w:pPr>
        <w:pStyle w:val="NormalNonumber"/>
        <w:tabs>
          <w:tab w:val="left" w:pos="624"/>
        </w:tabs>
        <w:spacing w:before="20" w:after="40"/>
        <w:ind w:right="57"/>
        <w:rPr>
          <w:sz w:val="18"/>
          <w:szCs w:val="18"/>
          <w:lang w:val="en-US"/>
        </w:rPr>
      </w:pPr>
      <w:r w:rsidRPr="00B34477">
        <w:rPr>
          <w:rStyle w:val="FootnoteReference"/>
          <w:sz w:val="18"/>
        </w:rPr>
        <w:footnoteRef/>
      </w:r>
      <w:r w:rsidRPr="00B34477">
        <w:rPr>
          <w:sz w:val="18"/>
          <w:szCs w:val="18"/>
        </w:rPr>
        <w:t xml:space="preserve"> </w:t>
      </w:r>
      <w:proofErr w:type="gramStart"/>
      <w:r w:rsidRPr="00B34477">
        <w:rPr>
          <w:sz w:val="18"/>
          <w:szCs w:val="18"/>
        </w:rPr>
        <w:t>UNEP/CHW/CC.12/11/Add.2, annex; UNEP/CHW.13/9.</w:t>
      </w:r>
      <w:proofErr w:type="gramEnd"/>
    </w:p>
  </w:footnote>
  <w:footnote w:id="2">
    <w:p w:rsidR="00E469BD" w:rsidRPr="00B34477" w:rsidRDefault="00E469BD" w:rsidP="00E469BD">
      <w:pPr>
        <w:pStyle w:val="NormalNonumber"/>
        <w:tabs>
          <w:tab w:val="left" w:pos="624"/>
        </w:tabs>
        <w:spacing w:before="20" w:after="40"/>
        <w:ind w:right="57"/>
        <w:rPr>
          <w:sz w:val="18"/>
          <w:szCs w:val="18"/>
          <w:lang w:val="en-US"/>
        </w:rPr>
      </w:pPr>
      <w:r w:rsidRPr="00B34477">
        <w:rPr>
          <w:rStyle w:val="FootnoteReference"/>
          <w:sz w:val="18"/>
        </w:rPr>
        <w:footnoteRef/>
      </w:r>
      <w:r w:rsidRPr="00B34477">
        <w:rPr>
          <w:sz w:val="18"/>
          <w:szCs w:val="18"/>
        </w:rPr>
        <w:t xml:space="preserve"> </w:t>
      </w:r>
      <w:r w:rsidRPr="00B34477">
        <w:rPr>
          <w:sz w:val="18"/>
          <w:szCs w:val="18"/>
          <w:lang w:val="en-US"/>
        </w:rPr>
        <w:t>UNEP/CHW.13/9.</w:t>
      </w:r>
    </w:p>
  </w:footnote>
  <w:footnote w:id="3">
    <w:p w:rsidR="00E469BD" w:rsidRPr="00B34477" w:rsidRDefault="00E469BD" w:rsidP="00E469BD">
      <w:pPr>
        <w:pStyle w:val="NormalNonumber"/>
        <w:tabs>
          <w:tab w:val="left" w:pos="624"/>
        </w:tabs>
        <w:spacing w:before="20" w:after="40"/>
        <w:ind w:right="57"/>
        <w:rPr>
          <w:sz w:val="18"/>
          <w:szCs w:val="18"/>
          <w:lang w:val="en-US"/>
        </w:rPr>
      </w:pPr>
      <w:r w:rsidRPr="00B34477">
        <w:rPr>
          <w:rStyle w:val="FootnoteReference"/>
          <w:sz w:val="18"/>
        </w:rPr>
        <w:footnoteRef/>
      </w:r>
      <w:r w:rsidRPr="00B34477">
        <w:rPr>
          <w:sz w:val="18"/>
          <w:szCs w:val="18"/>
        </w:rPr>
        <w:t xml:space="preserve"> UNEP/CHW/CC.12/11/Add.2.</w:t>
      </w:r>
    </w:p>
  </w:footnote>
  <w:footnote w:id="4">
    <w:p w:rsidR="00E469BD" w:rsidRPr="00B34477" w:rsidRDefault="00E469BD" w:rsidP="00E469BD">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rPr>
        <w:t xml:space="preserve"> </w:t>
      </w:r>
      <w:proofErr w:type="gramStart"/>
      <w:r w:rsidRPr="00B34477">
        <w:rPr>
          <w:color w:val="000000"/>
          <w:sz w:val="18"/>
          <w:szCs w:val="18"/>
        </w:rPr>
        <w:t>UNEP/CHW.13/INF/42, annex.</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4683D"/>
    <w:multiLevelType w:val="multilevel"/>
    <w:tmpl w:val="909A0D5E"/>
    <w:lvl w:ilvl="0">
      <w:start w:val="1"/>
      <w:numFmt w:val="decimal"/>
      <w:lvlText w:val="%1."/>
      <w:lvlJc w:val="left"/>
      <w:pPr>
        <w:tabs>
          <w:tab w:val="num" w:pos="567"/>
        </w:tabs>
        <w:ind w:left="1247" w:firstLine="0"/>
      </w:pPr>
      <w:rPr>
        <w:rFonts w:hint="default"/>
        <w:i w:val="0"/>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1">
    <w:nsid w:val="6ED1194C"/>
    <w:multiLevelType w:val="hybridMultilevel"/>
    <w:tmpl w:val="9B548E76"/>
    <w:lvl w:ilvl="0" w:tplc="FD846644">
      <w:start w:val="1"/>
      <w:numFmt w:val="lowerLetter"/>
      <w:lvlText w:val="(%1)"/>
      <w:lvlJc w:val="left"/>
      <w:pPr>
        <w:ind w:left="720" w:hanging="360"/>
      </w:pPr>
      <w:rPr>
        <w:rFonts w:cs="Times New Roman" w:hint="default"/>
      </w:rPr>
    </w:lvl>
    <w:lvl w:ilvl="1" w:tplc="471689C2" w:tentative="1">
      <w:start w:val="1"/>
      <w:numFmt w:val="lowerLetter"/>
      <w:lvlText w:val="%2."/>
      <w:lvlJc w:val="left"/>
      <w:pPr>
        <w:ind w:left="1440" w:hanging="360"/>
      </w:pPr>
    </w:lvl>
    <w:lvl w:ilvl="2" w:tplc="040C0017"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469BD"/>
    <w:rsid w:val="00041356"/>
    <w:rsid w:val="00B55F9A"/>
    <w:rsid w:val="00E46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9BD"/>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
    <w:uiPriority w:val="99"/>
    <w:rsid w:val="00E469BD"/>
    <w:rPr>
      <w:rFonts w:ascii="Times New Roman" w:hAnsi="Times New Roman"/>
      <w:color w:val="auto"/>
      <w:sz w:val="20"/>
      <w:szCs w:val="18"/>
      <w:vertAlign w:val="superscript"/>
    </w:rPr>
  </w:style>
  <w:style w:type="paragraph" w:customStyle="1" w:styleId="Normal-pool">
    <w:name w:val="Normal-pool"/>
    <w:link w:val="Normal-poolChar"/>
    <w:rsid w:val="00E469BD"/>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rPr>
  </w:style>
  <w:style w:type="paragraph" w:customStyle="1" w:styleId="BBTitle">
    <w:name w:val="BB_Title"/>
    <w:basedOn w:val="Normal-pool"/>
    <w:rsid w:val="00E469BD"/>
    <w:pPr>
      <w:keepNext/>
      <w:keepLines/>
      <w:suppressAutoHyphens/>
      <w:spacing w:before="320" w:after="240"/>
      <w:ind w:left="1247" w:right="567"/>
    </w:pPr>
    <w:rPr>
      <w:b/>
      <w:sz w:val="28"/>
      <w:szCs w:val="28"/>
    </w:rPr>
  </w:style>
  <w:style w:type="paragraph" w:customStyle="1" w:styleId="NormalNonumber">
    <w:name w:val="Normal_No_number"/>
    <w:basedOn w:val="Normal-pool"/>
    <w:link w:val="NormalNonumberChar"/>
    <w:rsid w:val="00E469BD"/>
    <w:pPr>
      <w:spacing w:after="120"/>
      <w:ind w:left="1247"/>
    </w:pPr>
  </w:style>
  <w:style w:type="character" w:customStyle="1" w:styleId="Normal-poolChar">
    <w:name w:val="Normal-pool Char"/>
    <w:link w:val="Normal-pool"/>
    <w:rsid w:val="00E469BD"/>
    <w:rPr>
      <w:rFonts w:ascii="Times New Roman" w:eastAsia="Times New Roman" w:hAnsi="Times New Roman" w:cs="Times New Roman"/>
      <w:sz w:val="20"/>
      <w:szCs w:val="20"/>
      <w:lang w:val="en-GB"/>
    </w:rPr>
  </w:style>
  <w:style w:type="character" w:customStyle="1" w:styleId="NormalNonumberChar">
    <w:name w:val="Normal_No_number Char"/>
    <w:link w:val="NormalNonumber"/>
    <w:rsid w:val="00E469BD"/>
    <w:rPr>
      <w:rFonts w:ascii="Times New Roman" w:eastAsia="Times New Roman" w:hAnsi="Times New Roman" w:cs="Times New Roman"/>
      <w:sz w:val="20"/>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1430</Words>
  <Characters>8152</Characters>
  <Application>Microsoft Office Word</Application>
  <DocSecurity>0</DocSecurity>
  <Lines>67</Lines>
  <Paragraphs>19</Paragraphs>
  <ScaleCrop>false</ScaleCrop>
  <Company>BRS</Company>
  <LinksUpToDate>false</LinksUpToDate>
  <CharactersWithSpaces>9563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achakwera</dc:creator>
  <cp:lastModifiedBy>achakwera</cp:lastModifiedBy>
  <cp:revision>1</cp:revision>
  <dcterms:created xsi:type="dcterms:W3CDTF">2018-01-08T09:40:00Z</dcterms:created>
  <dcterms:modified xsi:type="dcterms:W3CDTF">2018-01-08T09:41:00Z</dcterms:modified>
</cp:coreProperties>
</file>