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6490C" w14:textId="2736E085" w:rsidR="002820AE" w:rsidRPr="00F5756E" w:rsidRDefault="002820AE" w:rsidP="002820AE">
      <w:pPr>
        <w:pStyle w:val="CH1"/>
        <w:rPr>
          <w:lang w:val="es-ES_tradnl"/>
        </w:rPr>
      </w:pPr>
      <w:r>
        <w:rPr>
          <w:bCs/>
          <w:lang w:val="es-ES_tradnl"/>
        </w:rPr>
        <w:tab/>
      </w:r>
      <w:r>
        <w:rPr>
          <w:bCs/>
          <w:lang w:val="es-ES_tradnl"/>
        </w:rPr>
        <w:tab/>
      </w:r>
      <w:bookmarkStart w:id="0" w:name="_GoBack"/>
      <w:bookmarkEnd w:id="0"/>
      <w:r w:rsidRPr="00F5756E">
        <w:rPr>
          <w:bCs/>
          <w:lang w:val="es-ES_tradnl"/>
        </w:rPr>
        <w:t>BC-14/2: Tratamiento de la entrada en vigor de la Enmienda sobre la Prohibición</w:t>
      </w:r>
      <w:r w:rsidRPr="00F5756E">
        <w:rPr>
          <w:lang w:val="es-ES_tradnl"/>
        </w:rPr>
        <w:t xml:space="preserve"> </w:t>
      </w:r>
    </w:p>
    <w:p w14:paraId="0DFD420E" w14:textId="77777777" w:rsidR="002820AE" w:rsidRPr="00F5756E" w:rsidRDefault="002820AE" w:rsidP="002820AE">
      <w:pPr>
        <w:pStyle w:val="Normal-pool"/>
        <w:tabs>
          <w:tab w:val="clear" w:pos="1247"/>
          <w:tab w:val="clear" w:pos="1814"/>
          <w:tab w:val="clear" w:pos="2381"/>
          <w:tab w:val="clear" w:pos="2948"/>
          <w:tab w:val="clear" w:pos="3515"/>
          <w:tab w:val="clear" w:pos="4082"/>
          <w:tab w:val="left" w:pos="624"/>
        </w:tabs>
        <w:spacing w:after="120"/>
        <w:ind w:left="1247" w:firstLine="624"/>
        <w:rPr>
          <w:i/>
          <w:iCs/>
          <w:lang w:val="es-ES_tradnl"/>
        </w:rPr>
      </w:pPr>
      <w:r w:rsidRPr="00F5756E">
        <w:rPr>
          <w:i/>
          <w:iCs/>
          <w:lang w:val="es-ES_tradnl"/>
        </w:rPr>
        <w:t>La Conferencia de las Partes,</w:t>
      </w:r>
    </w:p>
    <w:p w14:paraId="47DBCDC1" w14:textId="77777777" w:rsidR="002820AE" w:rsidRPr="00F5756E" w:rsidRDefault="002820AE" w:rsidP="002820AE">
      <w:pPr>
        <w:pStyle w:val="Normal-pool"/>
        <w:tabs>
          <w:tab w:val="clear" w:pos="1247"/>
          <w:tab w:val="clear" w:pos="1814"/>
          <w:tab w:val="clear" w:pos="2381"/>
          <w:tab w:val="clear" w:pos="2948"/>
          <w:tab w:val="clear" w:pos="3515"/>
          <w:tab w:val="clear" w:pos="4082"/>
          <w:tab w:val="left" w:pos="624"/>
        </w:tabs>
        <w:spacing w:after="120"/>
        <w:ind w:left="1247" w:firstLine="624"/>
        <w:rPr>
          <w:lang w:val="es-ES_tradnl"/>
        </w:rPr>
      </w:pPr>
      <w:r w:rsidRPr="00F5756E">
        <w:rPr>
          <w:i/>
          <w:iCs/>
          <w:lang w:val="es-ES_tradnl"/>
        </w:rPr>
        <w:t>Tomando nota</w:t>
      </w:r>
      <w:r w:rsidRPr="00F5756E">
        <w:rPr>
          <w:lang w:val="es-ES_tradnl"/>
        </w:rPr>
        <w:t xml:space="preserve"> de la información relativa al estado de ratificación del Convenio de Basilea sobre el Control de los Movimientos Transfronterizos de los Desechos Peligrosos y su Eliminación y su enmienda que figura en la decisión III/1, conocida como “Enmienda sobre la Prohibición”</w:t>
      </w:r>
      <w:r w:rsidRPr="00F5756E">
        <w:rPr>
          <w:szCs w:val="18"/>
          <w:vertAlign w:val="superscript"/>
          <w:lang w:val="es-ES_tradnl"/>
        </w:rPr>
        <w:footnoteReference w:id="1"/>
      </w:r>
      <w:r w:rsidRPr="00F5756E">
        <w:rPr>
          <w:lang w:val="es-ES_tradnl"/>
        </w:rPr>
        <w:t>;</w:t>
      </w:r>
    </w:p>
    <w:p w14:paraId="56714791" w14:textId="77777777" w:rsidR="002820AE" w:rsidRPr="00F5756E" w:rsidRDefault="002820AE" w:rsidP="002820AE">
      <w:pPr>
        <w:pStyle w:val="Normal-pool"/>
        <w:numPr>
          <w:ilvl w:val="0"/>
          <w:numId w:val="3"/>
        </w:numPr>
        <w:tabs>
          <w:tab w:val="clear" w:pos="1247"/>
          <w:tab w:val="clear" w:pos="1814"/>
          <w:tab w:val="clear" w:pos="2381"/>
          <w:tab w:val="clear" w:pos="2855"/>
          <w:tab w:val="clear" w:pos="2948"/>
          <w:tab w:val="clear" w:pos="3515"/>
          <w:tab w:val="clear" w:pos="4082"/>
        </w:tabs>
        <w:spacing w:after="120"/>
        <w:ind w:left="1247" w:firstLine="624"/>
        <w:rPr>
          <w:lang w:val="es-ES_tradnl"/>
        </w:rPr>
      </w:pPr>
      <w:r w:rsidRPr="00F5756E">
        <w:rPr>
          <w:i/>
          <w:iCs/>
          <w:lang w:val="es-ES_tradnl"/>
        </w:rPr>
        <w:t>Acoge con beneplácito</w:t>
      </w:r>
      <w:r w:rsidRPr="00F5756E">
        <w:rPr>
          <w:lang w:val="es-ES_tradnl"/>
        </w:rPr>
        <w:t xml:space="preserve"> la ratificación o aceptación por otras Partes en el Convenio de Basilea de la Enmienda sobre la Prohibición; </w:t>
      </w:r>
    </w:p>
    <w:p w14:paraId="52D37970" w14:textId="77777777" w:rsidR="002820AE" w:rsidRPr="00F5756E" w:rsidRDefault="002820AE" w:rsidP="002820AE">
      <w:pPr>
        <w:pStyle w:val="Normal-pool"/>
        <w:numPr>
          <w:ilvl w:val="0"/>
          <w:numId w:val="3"/>
        </w:numPr>
        <w:tabs>
          <w:tab w:val="clear" w:pos="1247"/>
          <w:tab w:val="clear" w:pos="1814"/>
          <w:tab w:val="clear" w:pos="2381"/>
          <w:tab w:val="clear" w:pos="2855"/>
          <w:tab w:val="clear" w:pos="2948"/>
          <w:tab w:val="clear" w:pos="3515"/>
          <w:tab w:val="clear" w:pos="4082"/>
          <w:tab w:val="left" w:pos="624"/>
        </w:tabs>
        <w:spacing w:after="120"/>
        <w:ind w:left="1247" w:firstLine="624"/>
        <w:rPr>
          <w:lang w:val="es-ES_tradnl"/>
        </w:rPr>
      </w:pPr>
      <w:r w:rsidRPr="00F5756E">
        <w:rPr>
          <w:i/>
          <w:iCs/>
          <w:lang w:val="es-ES_tradnl"/>
        </w:rPr>
        <w:t>Exhorta</w:t>
      </w:r>
      <w:r w:rsidRPr="00F5756E">
        <w:rPr>
          <w:lang w:val="es-ES_tradnl"/>
        </w:rPr>
        <w:t xml:space="preserve"> a las Partes que aún no lo hayan hecho a que ratifiquen la Enmienda sobre la Prohibición, señalando que los países que eran Partes en el Convenio en el momento de la aprobación de la enmienda solamente deben depositar dos nuevos instrumentos de ratificación, aprobación o aceptación a fin de que esta entre en vigor;</w:t>
      </w:r>
    </w:p>
    <w:p w14:paraId="15E6AFE2" w14:textId="77777777" w:rsidR="002820AE" w:rsidRPr="00F5756E" w:rsidRDefault="002820AE" w:rsidP="002820AE">
      <w:pPr>
        <w:pStyle w:val="Normal-pool"/>
        <w:numPr>
          <w:ilvl w:val="0"/>
          <w:numId w:val="3"/>
        </w:numPr>
        <w:tabs>
          <w:tab w:val="clear" w:pos="1247"/>
          <w:tab w:val="clear" w:pos="1814"/>
          <w:tab w:val="clear" w:pos="2381"/>
          <w:tab w:val="clear" w:pos="2855"/>
          <w:tab w:val="clear" w:pos="2948"/>
          <w:tab w:val="clear" w:pos="3515"/>
          <w:tab w:val="clear" w:pos="4082"/>
          <w:tab w:val="left" w:pos="624"/>
        </w:tabs>
        <w:spacing w:after="120"/>
        <w:ind w:left="1247" w:firstLine="624"/>
        <w:rPr>
          <w:lang w:val="es-ES_tradnl"/>
        </w:rPr>
      </w:pPr>
      <w:r w:rsidRPr="00F5756E">
        <w:rPr>
          <w:i/>
          <w:iCs/>
          <w:lang w:val="es-ES_tradnl"/>
        </w:rPr>
        <w:t>Invita</w:t>
      </w:r>
      <w:r w:rsidRPr="00F5756E">
        <w:rPr>
          <w:lang w:val="es-ES_tradnl"/>
        </w:rPr>
        <w:t xml:space="preserve"> a las Partes a que sigan adoptando medidas para alentar y ayudar a otras Partes a ratificar la Enmienda sobre la Prohibición;</w:t>
      </w:r>
    </w:p>
    <w:p w14:paraId="4DF61DAF" w14:textId="77777777" w:rsidR="002820AE" w:rsidRPr="00F5756E" w:rsidRDefault="002820AE" w:rsidP="002820AE">
      <w:pPr>
        <w:pStyle w:val="Normal-pool"/>
        <w:numPr>
          <w:ilvl w:val="0"/>
          <w:numId w:val="3"/>
        </w:numPr>
        <w:tabs>
          <w:tab w:val="clear" w:pos="1247"/>
          <w:tab w:val="clear" w:pos="1814"/>
          <w:tab w:val="clear" w:pos="2381"/>
          <w:tab w:val="clear" w:pos="2855"/>
          <w:tab w:val="clear" w:pos="2948"/>
          <w:tab w:val="clear" w:pos="3515"/>
          <w:tab w:val="clear" w:pos="4082"/>
          <w:tab w:val="left" w:pos="624"/>
        </w:tabs>
        <w:spacing w:after="120"/>
        <w:ind w:left="1247" w:firstLine="624"/>
        <w:rPr>
          <w:lang w:val="es-ES_tradnl"/>
        </w:rPr>
      </w:pPr>
      <w:r w:rsidRPr="00F5756E">
        <w:rPr>
          <w:i/>
          <w:iCs/>
          <w:lang w:val="es-ES_tradnl"/>
        </w:rPr>
        <w:t xml:space="preserve">Solicita </w:t>
      </w:r>
      <w:r w:rsidRPr="00F5756E">
        <w:rPr>
          <w:lang w:val="es-ES_tradnl"/>
        </w:rPr>
        <w:t xml:space="preserve">a la Secretaría que, con sujeción a la disponibilidad de recursos y previa solicitud de los interesados, continúe prestando asistencia a las Partes que estén teniendo dificultades para ratificar la Enmienda sobre la Prohibición. </w:t>
      </w:r>
    </w:p>
    <w:p w14:paraId="364080BE" w14:textId="77777777" w:rsidR="00F935A6" w:rsidRPr="002820AE" w:rsidRDefault="00F935A6" w:rsidP="002820AE">
      <w:pPr>
        <w:rPr>
          <w:lang w:val="es-ES_tradnl"/>
        </w:rPr>
      </w:pPr>
    </w:p>
    <w:sectPr w:rsidR="00F935A6" w:rsidRPr="002820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B1BE5" w14:textId="77777777" w:rsidR="0012496C" w:rsidRDefault="0012496C" w:rsidP="0095504A">
      <w:pPr>
        <w:spacing w:after="0" w:line="240" w:lineRule="auto"/>
      </w:pPr>
      <w:r>
        <w:separator/>
      </w:r>
    </w:p>
  </w:endnote>
  <w:endnote w:type="continuationSeparator" w:id="0">
    <w:p w14:paraId="6E913B5D" w14:textId="77777777" w:rsidR="0012496C" w:rsidRDefault="0012496C" w:rsidP="00955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C53C2" w14:textId="77777777" w:rsidR="0012496C" w:rsidRDefault="0012496C" w:rsidP="0095504A">
      <w:pPr>
        <w:spacing w:after="0" w:line="240" w:lineRule="auto"/>
      </w:pPr>
      <w:r>
        <w:separator/>
      </w:r>
    </w:p>
  </w:footnote>
  <w:footnote w:type="continuationSeparator" w:id="0">
    <w:p w14:paraId="5E197EF2" w14:textId="77777777" w:rsidR="0012496C" w:rsidRDefault="0012496C" w:rsidP="0095504A">
      <w:pPr>
        <w:spacing w:after="0" w:line="240" w:lineRule="auto"/>
      </w:pPr>
      <w:r>
        <w:continuationSeparator/>
      </w:r>
    </w:p>
  </w:footnote>
  <w:footnote w:id="1">
    <w:p w14:paraId="75DD9F55" w14:textId="77777777" w:rsidR="002820AE" w:rsidRPr="0097503C" w:rsidRDefault="002820AE" w:rsidP="002820AE">
      <w:pPr>
        <w:pStyle w:val="FootnoteText"/>
        <w:tabs>
          <w:tab w:val="left" w:pos="624"/>
        </w:tabs>
        <w:ind w:right="57"/>
        <w:rPr>
          <w:szCs w:val="18"/>
          <w:lang w:val="en-US"/>
        </w:rPr>
      </w:pPr>
      <w:r w:rsidRPr="00D72107">
        <w:rPr>
          <w:rStyle w:val="FootnoteReference"/>
          <w:lang w:val="es-ES_tradnl"/>
        </w:rPr>
        <w:footnoteRef/>
      </w:r>
      <w:r w:rsidRPr="0097503C">
        <w:rPr>
          <w:szCs w:val="18"/>
          <w:lang w:val="en-US"/>
        </w:rPr>
        <w:t xml:space="preserve"> UNEP/CHW.14/4.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113A7"/>
    <w:multiLevelType w:val="multilevel"/>
    <w:tmpl w:val="714CE63A"/>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1" w15:restartNumberingAfterBreak="0">
    <w:nsid w:val="6311576F"/>
    <w:multiLevelType w:val="hybridMultilevel"/>
    <w:tmpl w:val="00C2650C"/>
    <w:lvl w:ilvl="0" w:tplc="F45AB6C6">
      <w:start w:val="1"/>
      <w:numFmt w:val="decimal"/>
      <w:lvlText w:val="%1."/>
      <w:lvlJc w:val="left"/>
      <w:pPr>
        <w:tabs>
          <w:tab w:val="num" w:pos="2855"/>
        </w:tabs>
        <w:ind w:left="2855" w:hanging="360"/>
      </w:pPr>
      <w:rPr>
        <w:i w:val="0"/>
        <w:lang w:val="en-GB"/>
      </w:rPr>
    </w:lvl>
    <w:lvl w:ilvl="1" w:tplc="04090019">
      <w:start w:val="1"/>
      <w:numFmt w:val="lowerLetter"/>
      <w:lvlText w:val="%2."/>
      <w:lvlJc w:val="left"/>
      <w:pPr>
        <w:tabs>
          <w:tab w:val="num" w:pos="3575"/>
        </w:tabs>
        <w:ind w:left="3575" w:hanging="360"/>
      </w:pPr>
    </w:lvl>
    <w:lvl w:ilvl="2" w:tplc="0409001B" w:tentative="1">
      <w:start w:val="1"/>
      <w:numFmt w:val="lowerRoman"/>
      <w:lvlText w:val="%3."/>
      <w:lvlJc w:val="right"/>
      <w:pPr>
        <w:tabs>
          <w:tab w:val="num" w:pos="4295"/>
        </w:tabs>
        <w:ind w:left="4295" w:hanging="180"/>
      </w:pPr>
    </w:lvl>
    <w:lvl w:ilvl="3" w:tplc="0409000F" w:tentative="1">
      <w:start w:val="1"/>
      <w:numFmt w:val="decimal"/>
      <w:lvlText w:val="%4."/>
      <w:lvlJc w:val="left"/>
      <w:pPr>
        <w:tabs>
          <w:tab w:val="num" w:pos="5015"/>
        </w:tabs>
        <w:ind w:left="5015" w:hanging="360"/>
      </w:pPr>
    </w:lvl>
    <w:lvl w:ilvl="4" w:tplc="04090019" w:tentative="1">
      <w:start w:val="1"/>
      <w:numFmt w:val="lowerLetter"/>
      <w:lvlText w:val="%5."/>
      <w:lvlJc w:val="left"/>
      <w:pPr>
        <w:tabs>
          <w:tab w:val="num" w:pos="5735"/>
        </w:tabs>
        <w:ind w:left="5735" w:hanging="360"/>
      </w:pPr>
    </w:lvl>
    <w:lvl w:ilvl="5" w:tplc="0409001B" w:tentative="1">
      <w:start w:val="1"/>
      <w:numFmt w:val="lowerRoman"/>
      <w:lvlText w:val="%6."/>
      <w:lvlJc w:val="right"/>
      <w:pPr>
        <w:tabs>
          <w:tab w:val="num" w:pos="6455"/>
        </w:tabs>
        <w:ind w:left="6455" w:hanging="180"/>
      </w:pPr>
    </w:lvl>
    <w:lvl w:ilvl="6" w:tplc="0409000F" w:tentative="1">
      <w:start w:val="1"/>
      <w:numFmt w:val="decimal"/>
      <w:lvlText w:val="%7."/>
      <w:lvlJc w:val="left"/>
      <w:pPr>
        <w:tabs>
          <w:tab w:val="num" w:pos="7175"/>
        </w:tabs>
        <w:ind w:left="7175" w:hanging="360"/>
      </w:pPr>
    </w:lvl>
    <w:lvl w:ilvl="7" w:tplc="04090019" w:tentative="1">
      <w:start w:val="1"/>
      <w:numFmt w:val="lowerLetter"/>
      <w:lvlText w:val="%8."/>
      <w:lvlJc w:val="left"/>
      <w:pPr>
        <w:tabs>
          <w:tab w:val="num" w:pos="7895"/>
        </w:tabs>
        <w:ind w:left="7895" w:hanging="360"/>
      </w:pPr>
    </w:lvl>
    <w:lvl w:ilvl="8" w:tplc="0409001B" w:tentative="1">
      <w:start w:val="1"/>
      <w:numFmt w:val="lowerRoman"/>
      <w:lvlText w:val="%9."/>
      <w:lvlJc w:val="right"/>
      <w:pPr>
        <w:tabs>
          <w:tab w:val="num" w:pos="8615"/>
        </w:tabs>
        <w:ind w:left="8615" w:hanging="180"/>
      </w:pPr>
    </w:lvl>
  </w:abstractNum>
  <w:abstractNum w:abstractNumId="2" w15:restartNumberingAfterBreak="0">
    <w:nsid w:val="6F7C4406"/>
    <w:multiLevelType w:val="hybridMultilevel"/>
    <w:tmpl w:val="00C2650C"/>
    <w:lvl w:ilvl="0" w:tplc="F45AB6C6">
      <w:start w:val="1"/>
      <w:numFmt w:val="decimal"/>
      <w:lvlText w:val="%1."/>
      <w:lvlJc w:val="left"/>
      <w:pPr>
        <w:tabs>
          <w:tab w:val="num" w:pos="3215"/>
        </w:tabs>
        <w:ind w:left="3215" w:hanging="360"/>
      </w:pPr>
      <w:rPr>
        <w:i w:val="0"/>
        <w:lang w:val="en-GB"/>
      </w:rPr>
    </w:lvl>
    <w:lvl w:ilvl="1" w:tplc="04090019">
      <w:start w:val="1"/>
      <w:numFmt w:val="lowerLetter"/>
      <w:lvlText w:val="%2."/>
      <w:lvlJc w:val="left"/>
      <w:pPr>
        <w:tabs>
          <w:tab w:val="num" w:pos="3935"/>
        </w:tabs>
        <w:ind w:left="3935" w:hanging="360"/>
      </w:pPr>
    </w:lvl>
    <w:lvl w:ilvl="2" w:tplc="0409001B" w:tentative="1">
      <w:start w:val="1"/>
      <w:numFmt w:val="lowerRoman"/>
      <w:lvlText w:val="%3."/>
      <w:lvlJc w:val="right"/>
      <w:pPr>
        <w:tabs>
          <w:tab w:val="num" w:pos="4655"/>
        </w:tabs>
        <w:ind w:left="4655" w:hanging="180"/>
      </w:pPr>
    </w:lvl>
    <w:lvl w:ilvl="3" w:tplc="0409000F" w:tentative="1">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num w:numId="1">
    <w:abstractNumId w:val="2"/>
    <w:lvlOverride w:ilvl="0">
      <w:lvl w:ilvl="0" w:tplc="F45AB6C6">
        <w:start w:val="1"/>
        <w:numFmt w:val="decimal"/>
        <w:lvlText w:val="%1."/>
        <w:lvlJc w:val="left"/>
        <w:pPr>
          <w:tabs>
            <w:tab w:val="num" w:pos="3215"/>
          </w:tabs>
          <w:ind w:left="3215" w:hanging="360"/>
        </w:pPr>
        <w:rPr>
          <w:i w:val="0"/>
          <w:lang w:val="en-GB"/>
        </w:rPr>
      </w:lvl>
    </w:lvlOverride>
  </w:num>
  <w:num w:numId="2">
    <w:abstractNumId w:val="0"/>
    <w:lvlOverride w:ilvl="0">
      <w:lvl w:ilvl="0">
        <w:start w:val="1"/>
        <w:numFmt w:val="decimal"/>
        <w:lvlText w:val="%1."/>
        <w:lvlJc w:val="left"/>
        <w:pPr>
          <w:tabs>
            <w:tab w:val="num" w:pos="567"/>
          </w:tabs>
          <w:ind w:left="1247" w:firstLine="0"/>
        </w:pPr>
        <w:rPr>
          <w:rFonts w:ascii="Times New Roman" w:hAnsi="Times New Roman" w:hint="default"/>
          <w:b w:val="0"/>
          <w:bCs w:val="0"/>
          <w:i w:val="0"/>
          <w:iCs w:val="0"/>
          <w:caps w:val="0"/>
          <w:smallCaps w:val="0"/>
          <w:strike w:val="0"/>
          <w:dstrike w:val="0"/>
          <w:outline w:val="0"/>
          <w:shadow w:val="0"/>
          <w:emboss w:val="0"/>
          <w:imprint w:val="0"/>
          <w:color w:val="auto"/>
          <w:spacing w:val="0"/>
          <w:w w:val="100"/>
          <w:kern w:val="0"/>
          <w:position w:val="0"/>
          <w:sz w:val="20"/>
          <w:szCs w:val="20"/>
          <w:u w:val="none"/>
          <w:effect w:val="none"/>
          <w:bdr w:val="none" w:sz="0" w:space="0" w:color="auto"/>
          <w:shd w:val="clear" w:color="auto" w:fill="auto"/>
          <w:em w:val="none"/>
        </w:rPr>
      </w:lvl>
    </w:lvlOverride>
    <w:lvlOverride w:ilvl="1">
      <w:lvl w:ilvl="1">
        <w:start w:val="1"/>
        <w:numFmt w:val="lowerLetter"/>
        <w:lvlText w:val="%2)"/>
        <w:lvlJc w:val="left"/>
        <w:pPr>
          <w:tabs>
            <w:tab w:val="num" w:pos="567"/>
          </w:tabs>
          <w:ind w:left="1247" w:firstLine="567"/>
        </w:pPr>
        <w:rPr>
          <w:rFonts w:hint="default"/>
        </w:rPr>
      </w:lvl>
    </w:lvlOverride>
  </w:num>
  <w:num w:numId="3">
    <w:abstractNumId w:val="1"/>
    <w:lvlOverride w:ilvl="0">
      <w:lvl w:ilvl="0" w:tplc="F45AB6C6">
        <w:start w:val="1"/>
        <w:numFmt w:val="decimal"/>
        <w:lvlText w:val="%1."/>
        <w:lvlJc w:val="left"/>
        <w:pPr>
          <w:tabs>
            <w:tab w:val="num" w:pos="2855"/>
          </w:tabs>
          <w:ind w:left="2855" w:hanging="360"/>
        </w:pPr>
        <w:rPr>
          <w:i w:val="0"/>
          <w:lang w:val="en-GB"/>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4A"/>
    <w:rsid w:val="0012496C"/>
    <w:rsid w:val="002820AE"/>
    <w:rsid w:val="0095504A"/>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3686"/>
  <w15:chartTrackingRefBased/>
  <w15:docId w15:val="{F2DD7D35-8967-42B0-8653-431B96C4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95504A"/>
    <w:pPr>
      <w:keepNext/>
      <w:keepLines/>
      <w:tabs>
        <w:tab w:val="right" w:pos="851"/>
        <w:tab w:val="left" w:pos="1247"/>
        <w:tab w:val="left" w:pos="1814"/>
        <w:tab w:val="left" w:pos="2381"/>
        <w:tab w:val="left" w:pos="2948"/>
        <w:tab w:val="left" w:pos="3515"/>
        <w:tab w:val="left" w:pos="4082"/>
      </w:tabs>
      <w:suppressAutoHyphens/>
      <w:spacing w:before="240" w:after="120" w:line="240" w:lineRule="auto"/>
      <w:ind w:left="1247" w:right="284" w:hanging="1247"/>
    </w:pPr>
    <w:rPr>
      <w:rFonts w:ascii="Times New Roman" w:eastAsia="Times New Roman" w:hAnsi="Times New Roman" w:cs="Times New Roman"/>
      <w:b/>
      <w:sz w:val="28"/>
      <w:szCs w:val="28"/>
      <w:lang w:val="en-GB" w:eastAsia="en-US"/>
    </w:rPr>
  </w:style>
  <w:style w:type="paragraph" w:customStyle="1" w:styleId="Normal-pool">
    <w:name w:val="Normal-pool"/>
    <w:link w:val="Normal-poolChar"/>
    <w:qFormat/>
    <w:rsid w:val="0095504A"/>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Text"/>
    <w:basedOn w:val="DefaultParagraphFont"/>
    <w:link w:val="BVIfnrCharCharCharChar"/>
    <w:uiPriority w:val="99"/>
    <w:qFormat/>
    <w:rsid w:val="0095504A"/>
    <w:rPr>
      <w:rFonts w:ascii="Times New Roman" w:hAnsi="Times New Roman"/>
      <w:sz w:val="20"/>
      <w:szCs w:val="18"/>
      <w:vertAlign w:val="superscript"/>
    </w:rPr>
  </w:style>
  <w:style w:type="paragraph" w:styleId="FootnoteText">
    <w:name w:val="footnote text"/>
    <w:aliases w:val="Geneva 9,Font: Geneva 9,Boston 10,93,single space,Footnote Text Rail EIS,ft,Char,footnote3,Footnotes,Footnote ak,fn cafc,Footnotes Char Char,Footnote Text Char Char,fn Char Char,footnote text,footnote text Char Char Char Ch,DNV-FT,f,fn,Ch"/>
    <w:basedOn w:val="Normal"/>
    <w:link w:val="FootnoteTextChar"/>
    <w:uiPriority w:val="99"/>
    <w:qFormat/>
    <w:rsid w:val="0095504A"/>
    <w:pPr>
      <w:tabs>
        <w:tab w:val="left" w:pos="1247"/>
        <w:tab w:val="left" w:pos="1814"/>
        <w:tab w:val="left" w:pos="2381"/>
        <w:tab w:val="left" w:pos="2948"/>
        <w:tab w:val="left" w:pos="3515"/>
        <w:tab w:val="left" w:pos="4082"/>
      </w:tabs>
      <w:spacing w:before="20" w:after="40" w:line="240" w:lineRule="auto"/>
      <w:ind w:left="1247"/>
    </w:pPr>
    <w:rPr>
      <w:rFonts w:ascii="Times New Roman" w:eastAsia="Times New Roman" w:hAnsi="Times New Roman" w:cs="Times New Roman"/>
      <w:sz w:val="18"/>
      <w:szCs w:val="20"/>
      <w:lang w:val="fr-FR" w:eastAsia="en-US"/>
    </w:rPr>
  </w:style>
  <w:style w:type="character" w:customStyle="1" w:styleId="FootnoteTextChar">
    <w:name w:val="Footnote Text Char"/>
    <w:aliases w:val="Geneva 9 Char,Font: Geneva 9 Char,Boston 10 Char,93 Char,single space Char,Footnote Text Rail EIS Char,ft Char,Char Char,footnote3 Char,Footnotes Char,Footnote ak Char,fn cafc Char,Footnotes Char Char Char,Footnote Text Char Char Char"/>
    <w:basedOn w:val="DefaultParagraphFont"/>
    <w:link w:val="FootnoteText"/>
    <w:uiPriority w:val="99"/>
    <w:rsid w:val="0095504A"/>
    <w:rPr>
      <w:rFonts w:ascii="Times New Roman" w:eastAsia="Times New Roman" w:hAnsi="Times New Roman" w:cs="Times New Roman"/>
      <w:sz w:val="18"/>
      <w:szCs w:val="20"/>
      <w:lang w:val="fr-FR" w:eastAsia="en-US"/>
    </w:rPr>
  </w:style>
  <w:style w:type="character" w:customStyle="1" w:styleId="NormalnumberChar">
    <w:name w:val="Normal_number Char"/>
    <w:link w:val="Normalnumber"/>
    <w:rsid w:val="0095504A"/>
    <w:rPr>
      <w:lang w:eastAsia="en-US"/>
    </w:rPr>
  </w:style>
  <w:style w:type="character" w:customStyle="1" w:styleId="Normal-poolChar">
    <w:name w:val="Normal-pool Char"/>
    <w:link w:val="Normal-pool"/>
    <w:rsid w:val="0095504A"/>
    <w:rPr>
      <w:rFonts w:ascii="Times New Roman" w:eastAsia="Times New Roman" w:hAnsi="Times New Roman" w:cs="Times New Roman"/>
      <w:sz w:val="20"/>
      <w:szCs w:val="20"/>
      <w:lang w:val="en-GB" w:eastAsia="en-US"/>
    </w:rPr>
  </w:style>
  <w:style w:type="paragraph" w:customStyle="1" w:styleId="Normalnumber">
    <w:name w:val="Normal_number"/>
    <w:basedOn w:val="Normal"/>
    <w:link w:val="NormalnumberChar"/>
    <w:qFormat/>
    <w:rsid w:val="0095504A"/>
    <w:pPr>
      <w:tabs>
        <w:tab w:val="left" w:pos="624"/>
      </w:tabs>
      <w:spacing w:after="120" w:line="240" w:lineRule="auto"/>
    </w:pPr>
    <w:rPr>
      <w:lang w:eastAsia="en-US"/>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uiPriority w:val="99"/>
    <w:rsid w:val="0095504A"/>
    <w:pPr>
      <w:spacing w:before="120" w:line="240" w:lineRule="exact"/>
    </w:pPr>
    <w:rPr>
      <w:rFonts w:ascii="Times New Roman" w:hAnsi="Times New Roman"/>
      <w:sz w:val="20"/>
      <w:szCs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2</cp:revision>
  <dcterms:created xsi:type="dcterms:W3CDTF">2020-02-01T16:47:00Z</dcterms:created>
  <dcterms:modified xsi:type="dcterms:W3CDTF">2020-02-01T16:47:00Z</dcterms:modified>
</cp:coreProperties>
</file>