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ABA" w:rsidRPr="00D722C4" w:rsidRDefault="00356ABA" w:rsidP="00356ABA">
      <w:pPr>
        <w:pStyle w:val="CH1"/>
      </w:pPr>
      <w:r w:rsidRPr="00D722C4">
        <w:tab/>
      </w:r>
      <w:r w:rsidRPr="00D722C4">
        <w:tab/>
        <w:t xml:space="preserve">BC-14/23: Clearing house mechanism for information exchange </w:t>
      </w:r>
    </w:p>
    <w:p w:rsidR="00356ABA" w:rsidRPr="00D722C4" w:rsidRDefault="00356ABA" w:rsidP="00356ABA">
      <w:pPr>
        <w:tabs>
          <w:tab w:val="left" w:pos="624"/>
        </w:tabs>
        <w:autoSpaceDE w:val="0"/>
        <w:autoSpaceDN w:val="0"/>
        <w:adjustRightInd w:val="0"/>
        <w:spacing w:after="120"/>
        <w:ind w:left="1247" w:firstLine="624"/>
        <w:rPr>
          <w:i/>
          <w:iCs/>
          <w:lang w:val="en-GB"/>
        </w:rPr>
      </w:pPr>
      <w:r w:rsidRPr="00D722C4">
        <w:rPr>
          <w:i/>
          <w:iCs/>
          <w:lang w:val="en-GB"/>
        </w:rPr>
        <w:t>The Conference of the Parties</w:t>
      </w:r>
    </w:p>
    <w:p w:rsidR="00356ABA" w:rsidRPr="00D722C4" w:rsidRDefault="00356ABA" w:rsidP="00356ABA">
      <w:pPr>
        <w:numPr>
          <w:ilvl w:val="0"/>
          <w:numId w:val="5"/>
        </w:numPr>
        <w:tabs>
          <w:tab w:val="clear" w:pos="1247"/>
          <w:tab w:val="clear" w:pos="1814"/>
          <w:tab w:val="clear" w:pos="2381"/>
          <w:tab w:val="clear" w:pos="2948"/>
          <w:tab w:val="clear" w:pos="3215"/>
          <w:tab w:val="clear" w:pos="3515"/>
        </w:tabs>
        <w:autoSpaceDE w:val="0"/>
        <w:autoSpaceDN w:val="0"/>
        <w:adjustRightInd w:val="0"/>
        <w:spacing w:after="120"/>
        <w:ind w:left="1247" w:firstLine="624"/>
        <w:rPr>
          <w:lang w:val="en-GB"/>
        </w:rPr>
      </w:pPr>
      <w:r w:rsidRPr="00D722C4">
        <w:rPr>
          <w:i/>
          <w:lang w:val="en-GB"/>
        </w:rPr>
        <w:t xml:space="preserve">Welcomes </w:t>
      </w:r>
      <w:r w:rsidRPr="00D722C4">
        <w:rPr>
          <w:lang w:val="en-GB"/>
        </w:rPr>
        <w:t>the progress made in the implementation of the joint clearing house mechanism;</w:t>
      </w:r>
    </w:p>
    <w:p w:rsidR="00356ABA" w:rsidRPr="00D722C4" w:rsidRDefault="00356ABA" w:rsidP="00356ABA">
      <w:pPr>
        <w:numPr>
          <w:ilvl w:val="0"/>
          <w:numId w:val="5"/>
        </w:numPr>
        <w:tabs>
          <w:tab w:val="clear" w:pos="1247"/>
          <w:tab w:val="clear" w:pos="1814"/>
          <w:tab w:val="clear" w:pos="2381"/>
          <w:tab w:val="clear" w:pos="2948"/>
          <w:tab w:val="clear" w:pos="3215"/>
          <w:tab w:val="clear" w:pos="3515"/>
        </w:tabs>
        <w:autoSpaceDE w:val="0"/>
        <w:autoSpaceDN w:val="0"/>
        <w:adjustRightInd w:val="0"/>
        <w:spacing w:after="120"/>
        <w:ind w:left="1247" w:firstLine="624"/>
        <w:rPr>
          <w:lang w:val="en-GB"/>
        </w:rPr>
      </w:pPr>
      <w:r w:rsidRPr="00D722C4">
        <w:rPr>
          <w:i/>
          <w:lang w:val="en-GB"/>
        </w:rPr>
        <w:t>Also welcomes</w:t>
      </w:r>
      <w:r w:rsidRPr="00D722C4">
        <w:rPr>
          <w:lang w:val="en-GB"/>
        </w:rPr>
        <w:t xml:space="preserve"> the work of the Secretariat in preparing a draft workplan for the implementation of the joint clearing house mechanism for the biennium 2020–2021;</w:t>
      </w:r>
      <w:r w:rsidRPr="0026065D">
        <w:rPr>
          <w:vertAlign w:val="superscript"/>
          <w:lang w:val="en-GB"/>
        </w:rPr>
        <w:footnoteReference w:id="1"/>
      </w:r>
    </w:p>
    <w:p w:rsidR="00356ABA" w:rsidRPr="00D722C4" w:rsidRDefault="00356ABA" w:rsidP="00356ABA">
      <w:pPr>
        <w:numPr>
          <w:ilvl w:val="0"/>
          <w:numId w:val="5"/>
        </w:numPr>
        <w:tabs>
          <w:tab w:val="clear" w:pos="1247"/>
          <w:tab w:val="clear" w:pos="1814"/>
          <w:tab w:val="clear" w:pos="2381"/>
          <w:tab w:val="clear" w:pos="2948"/>
          <w:tab w:val="clear" w:pos="3215"/>
          <w:tab w:val="clear" w:pos="3515"/>
        </w:tabs>
        <w:autoSpaceDE w:val="0"/>
        <w:autoSpaceDN w:val="0"/>
        <w:adjustRightInd w:val="0"/>
        <w:spacing w:after="120"/>
        <w:ind w:left="1247" w:firstLine="624"/>
        <w:rPr>
          <w:lang w:val="en-GB"/>
        </w:rPr>
      </w:pPr>
      <w:r w:rsidRPr="00D722C4">
        <w:rPr>
          <w:i/>
          <w:lang w:val="en-GB"/>
        </w:rPr>
        <w:t>Requests</w:t>
      </w:r>
      <w:r w:rsidRPr="00D722C4">
        <w:rPr>
          <w:lang w:val="en-GB"/>
        </w:rPr>
        <w:t xml:space="preserve"> the Secretariat:</w:t>
      </w:r>
    </w:p>
    <w:p w:rsidR="00356ABA" w:rsidRPr="00D722C4" w:rsidRDefault="00356ABA" w:rsidP="00356ABA">
      <w:pPr>
        <w:numPr>
          <w:ilvl w:val="0"/>
          <w:numId w:val="7"/>
        </w:numPr>
        <w:tabs>
          <w:tab w:val="clear" w:pos="1247"/>
          <w:tab w:val="clear" w:pos="1814"/>
          <w:tab w:val="clear" w:pos="2381"/>
          <w:tab w:val="clear" w:pos="2948"/>
          <w:tab w:val="clear" w:pos="3515"/>
        </w:tabs>
        <w:spacing w:after="120"/>
        <w:ind w:left="1247" w:firstLine="624"/>
        <w:rPr>
          <w:lang w:val="en-GB"/>
        </w:rPr>
      </w:pPr>
      <w:r w:rsidRPr="00D722C4">
        <w:rPr>
          <w:lang w:val="en-GB"/>
        </w:rPr>
        <w:t>To continue the work to implement the strategy of the joint clearing house mechanism</w:t>
      </w:r>
      <w:r w:rsidRPr="0026065D">
        <w:rPr>
          <w:vertAlign w:val="superscript"/>
          <w:lang w:val="en-GB"/>
        </w:rPr>
        <w:footnoteReference w:id="2"/>
      </w:r>
      <w:r w:rsidRPr="00D722C4">
        <w:rPr>
          <w:lang w:val="en-GB"/>
        </w:rPr>
        <w:t xml:space="preserve"> in a gradual and cost</w:t>
      </w:r>
      <w:r w:rsidRPr="00D722C4">
        <w:rPr>
          <w:lang w:val="en-GB"/>
        </w:rPr>
        <w:noBreakHyphen/>
        <w:t>effective manner;</w:t>
      </w:r>
    </w:p>
    <w:p w:rsidR="00356ABA" w:rsidRPr="00D722C4" w:rsidRDefault="00356ABA" w:rsidP="00356ABA">
      <w:pPr>
        <w:numPr>
          <w:ilvl w:val="0"/>
          <w:numId w:val="7"/>
        </w:numPr>
        <w:tabs>
          <w:tab w:val="clear" w:pos="1247"/>
          <w:tab w:val="clear" w:pos="1814"/>
          <w:tab w:val="clear" w:pos="2381"/>
          <w:tab w:val="clear" w:pos="2948"/>
          <w:tab w:val="clear" w:pos="3515"/>
        </w:tabs>
        <w:spacing w:after="120"/>
        <w:ind w:left="1247" w:firstLine="624"/>
        <w:rPr>
          <w:lang w:val="en-GB"/>
        </w:rPr>
      </w:pPr>
      <w:r w:rsidRPr="00D722C4">
        <w:rPr>
          <w:lang w:val="en-GB"/>
        </w:rPr>
        <w:t xml:space="preserve">To implement the maintenance activities of the clearing house mechanism workplan for the biennium 2020–2021 mentioned in paragraph 2 of the present decision in accordance with the programme of work and budget for the Basel Convention on the Control of Transboundary Movements of Hazardous Wastes and Their Disposal for the biennium, while prioritizing recurring activities, in particular with respect to the maintenance of existing systems; </w:t>
      </w:r>
    </w:p>
    <w:p w:rsidR="00356ABA" w:rsidRPr="00D722C4" w:rsidRDefault="00356ABA" w:rsidP="00356ABA">
      <w:pPr>
        <w:numPr>
          <w:ilvl w:val="0"/>
          <w:numId w:val="7"/>
        </w:numPr>
        <w:tabs>
          <w:tab w:val="clear" w:pos="1247"/>
          <w:tab w:val="clear" w:pos="1814"/>
          <w:tab w:val="clear" w:pos="2381"/>
          <w:tab w:val="clear" w:pos="2948"/>
          <w:tab w:val="clear" w:pos="3515"/>
        </w:tabs>
        <w:spacing w:after="120"/>
        <w:ind w:left="1247" w:firstLine="624"/>
        <w:rPr>
          <w:lang w:val="en-GB"/>
        </w:rPr>
      </w:pPr>
      <w:r w:rsidRPr="00D722C4">
        <w:rPr>
          <w:lang w:val="en-GB"/>
        </w:rPr>
        <w:t>To implement, subject to the availability of resources, the new activities of the clearing house mechanism workplan for the biennium 2020–2021 mentioned in paragraph 2 of the present decision in accordance with the programme of work and budget for the Basel Convention for the biennium;</w:t>
      </w:r>
    </w:p>
    <w:p w:rsidR="00356ABA" w:rsidRPr="00D722C4" w:rsidRDefault="00356ABA" w:rsidP="00356ABA">
      <w:pPr>
        <w:numPr>
          <w:ilvl w:val="0"/>
          <w:numId w:val="5"/>
        </w:numPr>
        <w:tabs>
          <w:tab w:val="clear" w:pos="1247"/>
          <w:tab w:val="clear" w:pos="1814"/>
          <w:tab w:val="clear" w:pos="2381"/>
          <w:tab w:val="clear" w:pos="2948"/>
          <w:tab w:val="clear" w:pos="3215"/>
          <w:tab w:val="clear" w:pos="3515"/>
        </w:tabs>
        <w:autoSpaceDE w:val="0"/>
        <w:autoSpaceDN w:val="0"/>
        <w:adjustRightInd w:val="0"/>
        <w:spacing w:after="120"/>
        <w:ind w:left="1247" w:firstLine="624"/>
        <w:rPr>
          <w:lang w:val="en-GB"/>
        </w:rPr>
      </w:pPr>
      <w:r w:rsidRPr="00D722C4">
        <w:rPr>
          <w:i/>
          <w:lang w:val="en-GB"/>
        </w:rPr>
        <w:t>Also requests</w:t>
      </w:r>
      <w:r w:rsidRPr="00D722C4">
        <w:rPr>
          <w:lang w:val="en-GB"/>
        </w:rPr>
        <w:t xml:space="preserve"> the Secretariat:</w:t>
      </w:r>
    </w:p>
    <w:p w:rsidR="00356ABA" w:rsidRPr="00D722C4" w:rsidRDefault="00356ABA" w:rsidP="00356ABA">
      <w:pPr>
        <w:numPr>
          <w:ilvl w:val="0"/>
          <w:numId w:val="6"/>
        </w:numPr>
        <w:tabs>
          <w:tab w:val="clear" w:pos="1247"/>
          <w:tab w:val="clear" w:pos="1814"/>
          <w:tab w:val="clear" w:pos="2381"/>
          <w:tab w:val="clear" w:pos="2948"/>
          <w:tab w:val="clear" w:pos="3515"/>
          <w:tab w:val="left" w:pos="624"/>
        </w:tabs>
        <w:spacing w:after="120"/>
        <w:ind w:left="1247" w:firstLine="624"/>
        <w:rPr>
          <w:lang w:val="en-GB"/>
        </w:rPr>
      </w:pPr>
      <w:r w:rsidRPr="00D722C4">
        <w:rPr>
          <w:lang w:val="en-GB"/>
        </w:rPr>
        <w:t>To ensure that activities undertaken in the development of the clearing house mechanism are cost-effective, proportionate and balanced and in line with the capacity and resources of the Secretariat;</w:t>
      </w:r>
    </w:p>
    <w:p w:rsidR="00356ABA" w:rsidRPr="00D722C4" w:rsidRDefault="00356ABA" w:rsidP="00356ABA">
      <w:pPr>
        <w:numPr>
          <w:ilvl w:val="0"/>
          <w:numId w:val="6"/>
        </w:numPr>
        <w:tabs>
          <w:tab w:val="clear" w:pos="1247"/>
          <w:tab w:val="clear" w:pos="1814"/>
          <w:tab w:val="clear" w:pos="2381"/>
          <w:tab w:val="clear" w:pos="2948"/>
          <w:tab w:val="clear" w:pos="3515"/>
          <w:tab w:val="left" w:pos="624"/>
        </w:tabs>
        <w:spacing w:after="120"/>
        <w:ind w:left="1247" w:firstLine="624"/>
        <w:rPr>
          <w:lang w:val="en-GB"/>
        </w:rPr>
      </w:pPr>
      <w:r w:rsidRPr="00D722C4">
        <w:rPr>
          <w:lang w:val="en-GB"/>
        </w:rPr>
        <w:t>To participate in meetings by electronic means where possible and to use translations that are already available in the six official languages of the United Nations;</w:t>
      </w:r>
    </w:p>
    <w:p w:rsidR="00356ABA" w:rsidRPr="00D722C4" w:rsidRDefault="00356ABA" w:rsidP="00356ABA">
      <w:pPr>
        <w:numPr>
          <w:ilvl w:val="0"/>
          <w:numId w:val="6"/>
        </w:numPr>
        <w:tabs>
          <w:tab w:val="clear" w:pos="1247"/>
          <w:tab w:val="clear" w:pos="1814"/>
          <w:tab w:val="clear" w:pos="2381"/>
          <w:tab w:val="clear" w:pos="2948"/>
          <w:tab w:val="clear" w:pos="3515"/>
          <w:tab w:val="left" w:pos="624"/>
        </w:tabs>
        <w:spacing w:after="120"/>
        <w:ind w:left="1247" w:firstLine="624"/>
        <w:rPr>
          <w:lang w:val="en-GB"/>
        </w:rPr>
      </w:pPr>
      <w:r w:rsidRPr="00D722C4">
        <w:rPr>
          <w:lang w:val="en-GB"/>
        </w:rPr>
        <w:t xml:space="preserve">To utilize the clearing house mechanism to gather information about regional and national initiatives related to waste management, including those on plastic waste, </w:t>
      </w:r>
      <w:proofErr w:type="gramStart"/>
      <w:r w:rsidRPr="00D722C4">
        <w:rPr>
          <w:lang w:val="en-GB"/>
        </w:rPr>
        <w:t>taking into account</w:t>
      </w:r>
      <w:proofErr w:type="gramEnd"/>
      <w:r w:rsidRPr="00D722C4">
        <w:rPr>
          <w:lang w:val="en-GB"/>
        </w:rPr>
        <w:t xml:space="preserve"> and in cooperation with other initiatives;</w:t>
      </w:r>
    </w:p>
    <w:p w:rsidR="00356ABA" w:rsidRPr="00D722C4" w:rsidRDefault="00356ABA" w:rsidP="00356ABA">
      <w:pPr>
        <w:numPr>
          <w:ilvl w:val="0"/>
          <w:numId w:val="6"/>
        </w:numPr>
        <w:tabs>
          <w:tab w:val="clear" w:pos="1247"/>
          <w:tab w:val="clear" w:pos="1814"/>
          <w:tab w:val="clear" w:pos="2381"/>
          <w:tab w:val="clear" w:pos="2948"/>
          <w:tab w:val="clear" w:pos="3515"/>
          <w:tab w:val="left" w:pos="624"/>
        </w:tabs>
        <w:spacing w:after="120"/>
        <w:ind w:left="1247" w:firstLine="624"/>
        <w:rPr>
          <w:lang w:val="en-GB"/>
        </w:rPr>
      </w:pPr>
      <w:r w:rsidRPr="00D722C4">
        <w:rPr>
          <w:lang w:val="en-GB"/>
        </w:rPr>
        <w:t>To continue to enhance cooperation and coordination activities with existing partners in the area of information exchange, to explore possible cooperative activities with new partners, as appropriate, and to ensure complementarity and avoid duplication with existing and future activities, tools and mechanisms;</w:t>
      </w:r>
    </w:p>
    <w:p w:rsidR="00356ABA" w:rsidRPr="00D722C4" w:rsidRDefault="00356ABA" w:rsidP="00356ABA">
      <w:pPr>
        <w:numPr>
          <w:ilvl w:val="0"/>
          <w:numId w:val="6"/>
        </w:numPr>
        <w:tabs>
          <w:tab w:val="clear" w:pos="1247"/>
          <w:tab w:val="clear" w:pos="1814"/>
          <w:tab w:val="clear" w:pos="2381"/>
          <w:tab w:val="clear" w:pos="2948"/>
          <w:tab w:val="clear" w:pos="3515"/>
          <w:tab w:val="left" w:pos="624"/>
        </w:tabs>
        <w:spacing w:after="120"/>
        <w:ind w:left="1247" w:firstLine="624"/>
        <w:rPr>
          <w:lang w:val="en-GB"/>
        </w:rPr>
      </w:pPr>
      <w:r w:rsidRPr="00D722C4">
        <w:rPr>
          <w:lang w:val="en-GB"/>
        </w:rPr>
        <w:t>To expand its collaboration with the secretariat of the Minamata Convention on Mercury to exchange information and share experiences and best practices regarding the use of existing clearing house mechanism systems;</w:t>
      </w:r>
    </w:p>
    <w:p w:rsidR="00356ABA" w:rsidRPr="00D722C4" w:rsidRDefault="00356ABA" w:rsidP="00356ABA">
      <w:pPr>
        <w:numPr>
          <w:ilvl w:val="0"/>
          <w:numId w:val="5"/>
        </w:numPr>
        <w:tabs>
          <w:tab w:val="clear" w:pos="1247"/>
          <w:tab w:val="clear" w:pos="1814"/>
          <w:tab w:val="clear" w:pos="2381"/>
          <w:tab w:val="clear" w:pos="2948"/>
          <w:tab w:val="clear" w:pos="3215"/>
          <w:tab w:val="clear" w:pos="3515"/>
        </w:tabs>
        <w:autoSpaceDE w:val="0"/>
        <w:autoSpaceDN w:val="0"/>
        <w:adjustRightInd w:val="0"/>
        <w:spacing w:after="120"/>
        <w:ind w:left="1247" w:firstLine="624"/>
        <w:rPr>
          <w:lang w:val="en-GB"/>
        </w:rPr>
      </w:pPr>
      <w:r w:rsidRPr="00D722C4">
        <w:rPr>
          <w:i/>
          <w:lang w:val="en-GB"/>
        </w:rPr>
        <w:t>Invites</w:t>
      </w:r>
      <w:r w:rsidRPr="00D722C4">
        <w:rPr>
          <w:lang w:val="en-GB"/>
        </w:rPr>
        <w:t xml:space="preserve"> Parties and observers to participate, as appropriate, in the development of the joint clearing house mechanism strategy and in relevant activities of the workplan in accordance with the present decision; </w:t>
      </w:r>
    </w:p>
    <w:p w:rsidR="00F935A6" w:rsidRPr="00356ABA" w:rsidRDefault="00356ABA" w:rsidP="00356ABA">
      <w:pPr>
        <w:numPr>
          <w:ilvl w:val="0"/>
          <w:numId w:val="5"/>
        </w:numPr>
        <w:tabs>
          <w:tab w:val="clear" w:pos="1247"/>
          <w:tab w:val="clear" w:pos="1814"/>
          <w:tab w:val="clear" w:pos="2381"/>
          <w:tab w:val="clear" w:pos="2948"/>
          <w:tab w:val="clear" w:pos="3215"/>
          <w:tab w:val="clear" w:pos="3515"/>
        </w:tabs>
        <w:autoSpaceDE w:val="0"/>
        <w:autoSpaceDN w:val="0"/>
        <w:adjustRightInd w:val="0"/>
        <w:spacing w:after="120"/>
        <w:ind w:left="1247" w:firstLine="624"/>
        <w:rPr>
          <w:lang w:val="en-GB"/>
        </w:rPr>
      </w:pPr>
      <w:r w:rsidRPr="00356ABA">
        <w:rPr>
          <w:i/>
          <w:lang w:val="en-GB"/>
        </w:rPr>
        <w:t xml:space="preserve">Requests </w:t>
      </w:r>
      <w:r w:rsidRPr="00356ABA">
        <w:rPr>
          <w:lang w:val="en-GB"/>
        </w:rPr>
        <w:t xml:space="preserve">the Secretariat to keep the strategy under regular review in order to </w:t>
      </w:r>
      <w:proofErr w:type="gramStart"/>
      <w:r w:rsidRPr="00356ABA">
        <w:rPr>
          <w:lang w:val="en-GB"/>
        </w:rPr>
        <w:t>take into account</w:t>
      </w:r>
      <w:proofErr w:type="gramEnd"/>
      <w:r w:rsidRPr="00356ABA">
        <w:rPr>
          <w:lang w:val="en-GB"/>
        </w:rPr>
        <w:t xml:space="preserve"> lessons learned and relevant developments with regard to matters such as the multisectoral and multi-stakeholder discussions on the sound management of chemicals and waste beyond 2020</w:t>
      </w:r>
      <w:r w:rsidRPr="00356ABA">
        <w:rPr>
          <w:iCs/>
          <w:lang w:val="en-GB"/>
        </w:rPr>
        <w:t>.</w:t>
      </w:r>
      <w:bookmarkStart w:id="0" w:name="_GoBack"/>
      <w:bookmarkEnd w:id="0"/>
    </w:p>
    <w:sectPr w:rsidR="00F935A6" w:rsidRPr="00356A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01C" w:rsidRDefault="00C0301C" w:rsidP="005174F0">
      <w:r>
        <w:separator/>
      </w:r>
    </w:p>
  </w:endnote>
  <w:endnote w:type="continuationSeparator" w:id="0">
    <w:p w:rsidR="00C0301C" w:rsidRDefault="00C0301C" w:rsidP="0051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01C" w:rsidRDefault="00C0301C" w:rsidP="005174F0">
      <w:r>
        <w:separator/>
      </w:r>
    </w:p>
  </w:footnote>
  <w:footnote w:type="continuationSeparator" w:id="0">
    <w:p w:rsidR="00C0301C" w:rsidRDefault="00C0301C" w:rsidP="005174F0">
      <w:r>
        <w:continuationSeparator/>
      </w:r>
    </w:p>
  </w:footnote>
  <w:footnote w:id="1">
    <w:p w:rsidR="00356ABA" w:rsidRPr="00750A35" w:rsidRDefault="00356ABA" w:rsidP="00356ABA">
      <w:pPr>
        <w:tabs>
          <w:tab w:val="clear" w:pos="1247"/>
          <w:tab w:val="clear" w:pos="1814"/>
          <w:tab w:val="clear" w:pos="2381"/>
          <w:tab w:val="clear" w:pos="2948"/>
          <w:tab w:val="clear" w:pos="3515"/>
          <w:tab w:val="left" w:pos="624"/>
        </w:tabs>
        <w:spacing w:before="20" w:after="40"/>
        <w:ind w:left="1247" w:right="57"/>
        <w:rPr>
          <w:sz w:val="18"/>
          <w:szCs w:val="18"/>
          <w:lang w:val="en-GB"/>
        </w:rPr>
      </w:pPr>
      <w:r w:rsidRPr="00750A35">
        <w:rPr>
          <w:color w:val="000000" w:themeColor="text1"/>
          <w:sz w:val="18"/>
          <w:szCs w:val="18"/>
          <w:vertAlign w:val="superscript"/>
          <w:lang w:val="en-GB"/>
        </w:rPr>
        <w:footnoteRef/>
      </w:r>
      <w:r w:rsidRPr="00750A35">
        <w:rPr>
          <w:sz w:val="18"/>
          <w:szCs w:val="18"/>
          <w:vertAlign w:val="superscript"/>
          <w:lang w:val="en-GB"/>
        </w:rPr>
        <w:t xml:space="preserve"> </w:t>
      </w:r>
      <w:r w:rsidRPr="00750A35">
        <w:rPr>
          <w:sz w:val="18"/>
          <w:szCs w:val="18"/>
          <w:lang w:val="en-GB"/>
        </w:rPr>
        <w:t>UNEP/CHW.14/INF/39–UNEP/FAO/RC/COP.9/INF/32–UNEP/POPS/COP.9/INF/41.</w:t>
      </w:r>
    </w:p>
  </w:footnote>
  <w:footnote w:id="2">
    <w:p w:rsidR="00356ABA" w:rsidRPr="00750A35" w:rsidRDefault="00356ABA" w:rsidP="00356ABA">
      <w:pPr>
        <w:tabs>
          <w:tab w:val="clear" w:pos="1247"/>
          <w:tab w:val="clear" w:pos="1814"/>
          <w:tab w:val="clear" w:pos="2381"/>
          <w:tab w:val="clear" w:pos="2948"/>
          <w:tab w:val="clear" w:pos="3515"/>
          <w:tab w:val="left" w:pos="624"/>
        </w:tabs>
        <w:spacing w:before="20" w:after="40"/>
        <w:ind w:left="1247" w:right="57"/>
        <w:rPr>
          <w:sz w:val="18"/>
          <w:szCs w:val="18"/>
          <w:lang w:val="en-GB"/>
        </w:rPr>
      </w:pPr>
      <w:r w:rsidRPr="00750A35">
        <w:rPr>
          <w:color w:val="000000" w:themeColor="text1"/>
          <w:sz w:val="18"/>
          <w:szCs w:val="18"/>
          <w:vertAlign w:val="superscript"/>
          <w:lang w:val="en-GB"/>
        </w:rPr>
        <w:footnoteRef/>
      </w:r>
      <w:r w:rsidRPr="00750A35">
        <w:rPr>
          <w:sz w:val="18"/>
          <w:szCs w:val="18"/>
          <w:vertAlign w:val="superscript"/>
          <w:lang w:val="en-GB"/>
        </w:rPr>
        <w:t xml:space="preserve"> </w:t>
      </w:r>
      <w:r w:rsidRPr="00750A35">
        <w:rPr>
          <w:sz w:val="18"/>
          <w:szCs w:val="18"/>
          <w:lang w:val="en-GB"/>
        </w:rPr>
        <w:t>UNEP/CHW.13/INF/47–UNEP/FAO/RC/COP.8/INF/33–UNEP/POPS/COP.8/INF/50.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6A4D"/>
    <w:multiLevelType w:val="hybridMultilevel"/>
    <w:tmpl w:val="D1762344"/>
    <w:lvl w:ilvl="0" w:tplc="4BC8A4B8">
      <w:start w:val="1"/>
      <w:numFmt w:val="lowerLetter"/>
      <w:lvlText w:val="(%1)"/>
      <w:lvlJc w:val="left"/>
      <w:pPr>
        <w:ind w:left="720" w:hanging="360"/>
      </w:pPr>
      <w:rPr>
        <w:rFonts w:ascii="Times New Roman" w:eastAsiaTheme="minorEastAsia" w:hAnsi="Times New Roman"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75583A"/>
    <w:multiLevelType w:val="multilevel"/>
    <w:tmpl w:val="D07A6E4C"/>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2" w15:restartNumberingAfterBreak="0">
    <w:nsid w:val="4B1E02F0"/>
    <w:multiLevelType w:val="hybridMultilevel"/>
    <w:tmpl w:val="DB723F7A"/>
    <w:lvl w:ilvl="0" w:tplc="0409000F">
      <w:start w:val="1"/>
      <w:numFmt w:val="decimal"/>
      <w:lvlText w:val="%1."/>
      <w:lvlJc w:val="left"/>
      <w:pPr>
        <w:tabs>
          <w:tab w:val="num" w:pos="3215"/>
        </w:tabs>
        <w:ind w:left="3215" w:hanging="360"/>
      </w:pPr>
    </w:lvl>
    <w:lvl w:ilvl="1" w:tplc="04090019">
      <w:start w:val="1"/>
      <w:numFmt w:val="lowerLetter"/>
      <w:lvlText w:val="%2."/>
      <w:lvlJc w:val="left"/>
      <w:pPr>
        <w:tabs>
          <w:tab w:val="num" w:pos="3935"/>
        </w:tabs>
        <w:ind w:left="3935" w:hanging="360"/>
      </w:pPr>
    </w:lvl>
    <w:lvl w:ilvl="2" w:tplc="0409001B">
      <w:start w:val="1"/>
      <w:numFmt w:val="lowerRoman"/>
      <w:lvlText w:val="%3."/>
      <w:lvlJc w:val="right"/>
      <w:pPr>
        <w:tabs>
          <w:tab w:val="num" w:pos="4655"/>
        </w:tabs>
        <w:ind w:left="4655" w:hanging="180"/>
      </w:pPr>
    </w:lvl>
    <w:lvl w:ilvl="3" w:tplc="0409000F">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3" w15:restartNumberingAfterBreak="0">
    <w:nsid w:val="4BFD5D50"/>
    <w:multiLevelType w:val="hybridMultilevel"/>
    <w:tmpl w:val="D1762344"/>
    <w:lvl w:ilvl="0" w:tplc="4BC8A4B8">
      <w:start w:val="1"/>
      <w:numFmt w:val="lowerLetter"/>
      <w:lvlText w:val="(%1)"/>
      <w:lvlJc w:val="left"/>
      <w:pPr>
        <w:ind w:left="720" w:hanging="360"/>
      </w:pPr>
      <w:rPr>
        <w:rFonts w:ascii="Times New Roman" w:eastAsiaTheme="minorEastAsia" w:hAnsi="Times New Roman"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4336FF"/>
    <w:multiLevelType w:val="hybridMultilevel"/>
    <w:tmpl w:val="DA8E18EA"/>
    <w:lvl w:ilvl="0" w:tplc="4BC8A4B8">
      <w:start w:val="1"/>
      <w:numFmt w:val="lowerLetter"/>
      <w:lvlText w:val="(%1)"/>
      <w:lvlJc w:val="left"/>
      <w:pPr>
        <w:ind w:left="720" w:hanging="360"/>
      </w:pPr>
      <w:rPr>
        <w:rFonts w:ascii="Times New Roman" w:eastAsiaTheme="minorEastAsia" w:hAnsi="Times New Roman"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5D659D"/>
    <w:multiLevelType w:val="hybridMultilevel"/>
    <w:tmpl w:val="84321050"/>
    <w:lvl w:ilvl="0" w:tplc="0809000F">
      <w:start w:val="1"/>
      <w:numFmt w:val="decimal"/>
      <w:lvlText w:val="%1."/>
      <w:lvlJc w:val="left"/>
      <w:pPr>
        <w:ind w:left="2591" w:hanging="360"/>
      </w:pPr>
    </w:lvl>
    <w:lvl w:ilvl="1" w:tplc="AE846BE4">
      <w:start w:val="1"/>
      <w:numFmt w:val="lowerLetter"/>
      <w:lvlText w:val="(%2)"/>
      <w:lvlJc w:val="left"/>
      <w:pPr>
        <w:ind w:left="3311" w:hanging="360"/>
      </w:pPr>
      <w:rPr>
        <w:rFonts w:eastAsiaTheme="minorHAnsi" w:hint="default"/>
      </w:rPr>
    </w:lvl>
    <w:lvl w:ilvl="2" w:tplc="0809001B" w:tentative="1">
      <w:start w:val="1"/>
      <w:numFmt w:val="lowerRoman"/>
      <w:lvlText w:val="%3."/>
      <w:lvlJc w:val="right"/>
      <w:pPr>
        <w:ind w:left="4031" w:hanging="180"/>
      </w:pPr>
    </w:lvl>
    <w:lvl w:ilvl="3" w:tplc="0809000F" w:tentative="1">
      <w:start w:val="1"/>
      <w:numFmt w:val="decimal"/>
      <w:lvlText w:val="%4."/>
      <w:lvlJc w:val="left"/>
      <w:pPr>
        <w:ind w:left="4751" w:hanging="360"/>
      </w:pPr>
    </w:lvl>
    <w:lvl w:ilvl="4" w:tplc="08090019" w:tentative="1">
      <w:start w:val="1"/>
      <w:numFmt w:val="lowerLetter"/>
      <w:lvlText w:val="%5."/>
      <w:lvlJc w:val="left"/>
      <w:pPr>
        <w:ind w:left="5471" w:hanging="360"/>
      </w:pPr>
    </w:lvl>
    <w:lvl w:ilvl="5" w:tplc="0809001B" w:tentative="1">
      <w:start w:val="1"/>
      <w:numFmt w:val="lowerRoman"/>
      <w:lvlText w:val="%6."/>
      <w:lvlJc w:val="right"/>
      <w:pPr>
        <w:ind w:left="6191" w:hanging="180"/>
      </w:pPr>
    </w:lvl>
    <w:lvl w:ilvl="6" w:tplc="0809000F" w:tentative="1">
      <w:start w:val="1"/>
      <w:numFmt w:val="decimal"/>
      <w:lvlText w:val="%7."/>
      <w:lvlJc w:val="left"/>
      <w:pPr>
        <w:ind w:left="6911" w:hanging="360"/>
      </w:pPr>
    </w:lvl>
    <w:lvl w:ilvl="7" w:tplc="08090019" w:tentative="1">
      <w:start w:val="1"/>
      <w:numFmt w:val="lowerLetter"/>
      <w:lvlText w:val="%8."/>
      <w:lvlJc w:val="left"/>
      <w:pPr>
        <w:ind w:left="7631" w:hanging="360"/>
      </w:pPr>
    </w:lvl>
    <w:lvl w:ilvl="8" w:tplc="0809001B" w:tentative="1">
      <w:start w:val="1"/>
      <w:numFmt w:val="lowerRoman"/>
      <w:lvlText w:val="%9."/>
      <w:lvlJc w:val="right"/>
      <w:pPr>
        <w:ind w:left="8351" w:hanging="180"/>
      </w:pPr>
    </w:lvl>
  </w:abstractNum>
  <w:abstractNum w:abstractNumId="6" w15:restartNumberingAfterBreak="0">
    <w:nsid w:val="7ADC11C1"/>
    <w:multiLevelType w:val="hybridMultilevel"/>
    <w:tmpl w:val="57F00248"/>
    <w:lvl w:ilvl="0" w:tplc="E9DC57A4">
      <w:start w:val="1"/>
      <w:numFmt w:val="decimal"/>
      <w:lvlText w:val="%1."/>
      <w:lvlJc w:val="left"/>
      <w:pPr>
        <w:tabs>
          <w:tab w:val="num" w:pos="3215"/>
        </w:tabs>
        <w:ind w:left="3215" w:hanging="360"/>
      </w:pPr>
      <w:rPr>
        <w:b w:val="0"/>
        <w:sz w:val="20"/>
        <w:szCs w:val="20"/>
      </w:r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num w:numId="1">
    <w:abstractNumId w:val="1"/>
    <w:lvlOverride w:ilvl="0">
      <w:lvl w:ilvl="0">
        <w:start w:val="1"/>
        <w:numFmt w:val="decimal"/>
        <w:pStyle w:val="Normalnumber"/>
        <w:lvlText w:val="%1."/>
        <w:lvlJc w:val="left"/>
        <w:pPr>
          <w:tabs>
            <w:tab w:val="num" w:pos="1134"/>
          </w:tabs>
          <w:ind w:left="1247" w:firstLine="0"/>
        </w:pPr>
        <w:rPr>
          <w:rFonts w:hint="default"/>
        </w:rPr>
      </w:lvl>
    </w:lvlOverride>
    <w:lvlOverride w:ilvl="1">
      <w:lvl w:ilvl="1">
        <w:start w:val="1"/>
        <w:numFmt w:val="lowerLetter"/>
        <w:lvlText w:val="(%2)"/>
        <w:lvlJc w:val="left"/>
        <w:pPr>
          <w:tabs>
            <w:tab w:val="num" w:pos="1134"/>
          </w:tabs>
          <w:ind w:left="1247" w:firstLine="567"/>
        </w:pPr>
        <w:rPr>
          <w:rFonts w:hint="default"/>
        </w:rPr>
      </w:lvl>
    </w:lvlOverride>
    <w:lvlOverride w:ilvl="2">
      <w:lvl w:ilvl="2">
        <w:start w:val="1"/>
        <w:numFmt w:val="lowerRoman"/>
        <w:lvlText w:val="(%3)"/>
        <w:lvlJc w:val="left"/>
        <w:pPr>
          <w:tabs>
            <w:tab w:val="num" w:pos="1134"/>
          </w:tabs>
          <w:ind w:left="2948" w:hanging="567"/>
        </w:pPr>
        <w:rPr>
          <w:rFonts w:hint="default"/>
        </w:rPr>
      </w:lvl>
    </w:lvlOverride>
    <w:lvlOverride w:ilvl="3">
      <w:lvl w:ilvl="3">
        <w:start w:val="1"/>
        <w:numFmt w:val="lowerLetter"/>
        <w:lvlText w:val="%4."/>
        <w:lvlJc w:val="left"/>
        <w:pPr>
          <w:tabs>
            <w:tab w:val="num" w:pos="1134"/>
          </w:tabs>
          <w:ind w:left="3515" w:hanging="567"/>
        </w:pPr>
        <w:rPr>
          <w:rFonts w:hint="default"/>
        </w:rPr>
      </w:lvl>
    </w:lvlOverride>
    <w:lvlOverride w:ilvl="4">
      <w:lvl w:ilvl="4">
        <w:start w:val="1"/>
        <w:numFmt w:val="lowerRoman"/>
        <w:lvlText w:val="%5."/>
        <w:lvlJc w:val="left"/>
        <w:pPr>
          <w:tabs>
            <w:tab w:val="num" w:pos="1134"/>
          </w:tabs>
          <w:ind w:left="4082" w:hanging="567"/>
        </w:pPr>
        <w:rPr>
          <w:rFonts w:hint="default"/>
        </w:rPr>
      </w:lvl>
    </w:lvlOverride>
    <w:lvlOverride w:ilvl="5">
      <w:lvl w:ilvl="5">
        <w:start w:val="1"/>
        <w:numFmt w:val="lowerRoman"/>
        <w:lvlText w:val="%6."/>
        <w:lvlJc w:val="right"/>
        <w:pPr>
          <w:tabs>
            <w:tab w:val="num" w:pos="7835"/>
          </w:tabs>
          <w:ind w:left="7835" w:hanging="180"/>
        </w:pPr>
        <w:rPr>
          <w:rFonts w:hint="default"/>
        </w:rPr>
      </w:lvl>
    </w:lvlOverride>
    <w:lvlOverride w:ilvl="6">
      <w:lvl w:ilvl="6">
        <w:start w:val="1"/>
        <w:numFmt w:val="decimal"/>
        <w:lvlText w:val="%7."/>
        <w:lvlJc w:val="left"/>
        <w:pPr>
          <w:tabs>
            <w:tab w:val="num" w:pos="8555"/>
          </w:tabs>
          <w:ind w:left="8555" w:hanging="360"/>
        </w:pPr>
        <w:rPr>
          <w:rFonts w:hint="default"/>
        </w:rPr>
      </w:lvl>
    </w:lvlOverride>
    <w:lvlOverride w:ilvl="7">
      <w:lvl w:ilvl="7">
        <w:start w:val="1"/>
        <w:numFmt w:val="lowerLetter"/>
        <w:lvlText w:val="%8."/>
        <w:lvlJc w:val="left"/>
        <w:pPr>
          <w:tabs>
            <w:tab w:val="num" w:pos="9275"/>
          </w:tabs>
          <w:ind w:left="9275" w:hanging="360"/>
        </w:pPr>
        <w:rPr>
          <w:rFonts w:hint="default"/>
        </w:rPr>
      </w:lvl>
    </w:lvlOverride>
    <w:lvlOverride w:ilvl="8">
      <w:lvl w:ilvl="8">
        <w:start w:val="1"/>
        <w:numFmt w:val="lowerRoman"/>
        <w:lvlText w:val="%9."/>
        <w:lvlJc w:val="right"/>
        <w:pPr>
          <w:tabs>
            <w:tab w:val="num" w:pos="9995"/>
          </w:tabs>
          <w:ind w:left="9995" w:hanging="180"/>
        </w:pPr>
        <w:rPr>
          <w:rFonts w:hint="default"/>
        </w:rPr>
      </w:lvl>
    </w:lvlOverride>
  </w:num>
  <w:num w:numId="2">
    <w:abstractNumId w:val="5"/>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F0"/>
    <w:rsid w:val="002631B2"/>
    <w:rsid w:val="00356ABA"/>
    <w:rsid w:val="005174F0"/>
    <w:rsid w:val="00C0301C"/>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FB25"/>
  <w15:chartTrackingRefBased/>
  <w15:docId w15:val="{5DE33EDF-A42D-45A4-ACB0-100CF2A7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4F0"/>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5174F0"/>
    <w:pPr>
      <w:keepNext/>
      <w:keepLines/>
      <w:tabs>
        <w:tab w:val="right" w:pos="851"/>
        <w:tab w:val="left" w:pos="4082"/>
      </w:tabs>
      <w:suppressAutoHyphens/>
      <w:spacing w:before="240" w:after="120"/>
      <w:ind w:left="1247" w:right="284" w:hanging="1247"/>
    </w:pPr>
    <w:rPr>
      <w:b/>
      <w:sz w:val="28"/>
      <w:szCs w:val="28"/>
      <w:lang w:val="en-GB"/>
    </w:rPr>
  </w:style>
  <w:style w:type="character" w:customStyle="1" w:styleId="NormalnumberChar">
    <w:name w:val="Normal_number Char"/>
    <w:link w:val="Normalnumber"/>
    <w:rsid w:val="005174F0"/>
    <w:rPr>
      <w:lang w:eastAsia="en-US"/>
    </w:rPr>
  </w:style>
  <w:style w:type="paragraph" w:customStyle="1" w:styleId="NormalNonumber">
    <w:name w:val="Normal_No_number"/>
    <w:basedOn w:val="Normal"/>
    <w:link w:val="NormalNonumberChar"/>
    <w:qFormat/>
    <w:rsid w:val="005174F0"/>
    <w:pPr>
      <w:tabs>
        <w:tab w:val="left" w:pos="4082"/>
      </w:tabs>
      <w:spacing w:after="120"/>
      <w:ind w:left="1247"/>
    </w:pPr>
    <w:rPr>
      <w:lang w:val="en-GB"/>
    </w:rPr>
  </w:style>
  <w:style w:type="paragraph" w:customStyle="1" w:styleId="Normalnumber">
    <w:name w:val="Normal_number"/>
    <w:basedOn w:val="Normal"/>
    <w:link w:val="NormalnumberChar"/>
    <w:qFormat/>
    <w:rsid w:val="005174F0"/>
    <w:pPr>
      <w:numPr>
        <w:numId w:val="1"/>
      </w:numPr>
      <w:tabs>
        <w:tab w:val="clear" w:pos="1247"/>
        <w:tab w:val="clear" w:pos="1814"/>
        <w:tab w:val="clear" w:pos="2381"/>
        <w:tab w:val="clear" w:pos="2948"/>
        <w:tab w:val="clear" w:pos="3515"/>
        <w:tab w:val="left" w:pos="624"/>
      </w:tabs>
      <w:spacing w:after="120"/>
    </w:pPr>
    <w:rPr>
      <w:rFonts w:asciiTheme="minorHAnsi" w:eastAsiaTheme="minorEastAsia" w:hAnsiTheme="minorHAnsi" w:cstheme="minorBidi"/>
      <w:sz w:val="22"/>
      <w:szCs w:val="22"/>
      <w:lang w:val="en-US"/>
    </w:rPr>
  </w:style>
  <w:style w:type="character" w:customStyle="1" w:styleId="NormalNonumberChar">
    <w:name w:val="Normal_No_number Char"/>
    <w:link w:val="NormalNonumber"/>
    <w:locked/>
    <w:rsid w:val="005174F0"/>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2020-01-21T10:30:00Z</dcterms:created>
  <dcterms:modified xsi:type="dcterms:W3CDTF">2020-01-21T10:30:00Z</dcterms:modified>
</cp:coreProperties>
</file>