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E5D" w:rsidRPr="00D722C4" w:rsidRDefault="00821E5D" w:rsidP="00821E5D">
      <w:pPr>
        <w:pStyle w:val="CH1"/>
      </w:pPr>
      <w:r w:rsidRPr="00D722C4">
        <w:tab/>
      </w:r>
      <w:r w:rsidRPr="00D722C4">
        <w:tab/>
        <w:t>BC-14/16: Providing further legal clarity</w:t>
      </w:r>
    </w:p>
    <w:p w:rsidR="00821E5D" w:rsidRPr="00D722C4" w:rsidRDefault="00821E5D" w:rsidP="00821E5D">
      <w:pPr>
        <w:tabs>
          <w:tab w:val="left" w:pos="624"/>
        </w:tabs>
        <w:spacing w:after="120"/>
        <w:ind w:left="1247" w:firstLine="624"/>
        <w:rPr>
          <w:rFonts w:asciiTheme="majorBidi" w:hAnsiTheme="majorBidi" w:cstheme="majorBidi"/>
          <w:i/>
          <w:iCs/>
          <w:lang w:val="en-GB"/>
        </w:rPr>
      </w:pPr>
      <w:r w:rsidRPr="00D722C4">
        <w:rPr>
          <w:rFonts w:asciiTheme="majorBidi" w:hAnsiTheme="majorBidi" w:cstheme="majorBidi"/>
          <w:i/>
          <w:iCs/>
          <w:lang w:val="en-GB"/>
        </w:rPr>
        <w:t>The Conference of the Parties</w:t>
      </w:r>
    </w:p>
    <w:p w:rsidR="00821E5D" w:rsidRPr="00D722C4" w:rsidRDefault="00821E5D" w:rsidP="00821E5D">
      <w:pPr>
        <w:tabs>
          <w:tab w:val="clear" w:pos="1247"/>
          <w:tab w:val="clear" w:pos="1814"/>
          <w:tab w:val="clear" w:pos="2381"/>
          <w:tab w:val="clear" w:pos="2948"/>
          <w:tab w:val="clear" w:pos="3515"/>
        </w:tabs>
        <w:spacing w:after="120"/>
        <w:ind w:left="1247" w:firstLine="624"/>
        <w:rPr>
          <w:rFonts w:asciiTheme="majorBidi" w:hAnsiTheme="majorBidi" w:cstheme="majorBidi"/>
          <w:lang w:val="en-GB"/>
        </w:rPr>
      </w:pPr>
      <w:r w:rsidRPr="00D722C4">
        <w:rPr>
          <w:rFonts w:asciiTheme="majorBidi" w:hAnsiTheme="majorBidi" w:cstheme="majorBidi"/>
          <w:lang w:val="en-GB"/>
        </w:rPr>
        <w:t>1.</w:t>
      </w:r>
      <w:r w:rsidRPr="00D722C4">
        <w:rPr>
          <w:rFonts w:asciiTheme="majorBidi" w:hAnsiTheme="majorBidi" w:cstheme="majorBidi"/>
          <w:lang w:val="en-GB"/>
        </w:rPr>
        <w:tab/>
      </w:r>
      <w:r w:rsidRPr="00D722C4">
        <w:rPr>
          <w:rFonts w:asciiTheme="majorBidi" w:hAnsiTheme="majorBidi" w:cstheme="majorBidi"/>
          <w:i/>
          <w:iCs/>
          <w:lang w:val="en-GB"/>
        </w:rPr>
        <w:t>Welcomes</w:t>
      </w:r>
      <w:r w:rsidRPr="00D722C4">
        <w:rPr>
          <w:rFonts w:asciiTheme="majorBidi" w:hAnsiTheme="majorBidi" w:cstheme="majorBidi"/>
          <w:lang w:val="en-GB"/>
        </w:rPr>
        <w:t xml:space="preserve"> the work undertaken by the expert working group </w:t>
      </w:r>
      <w:bookmarkStart w:id="0" w:name="_Hlk20480326"/>
      <w:r w:rsidRPr="00D722C4">
        <w:rPr>
          <w:rFonts w:asciiTheme="majorBidi" w:hAnsiTheme="majorBidi" w:cstheme="majorBidi"/>
          <w:lang w:val="en-GB"/>
        </w:rPr>
        <w:t xml:space="preserve">on the review of Annexes I, III and IV and related aspects of Annex IX </w:t>
      </w:r>
      <w:bookmarkEnd w:id="0"/>
      <w:r w:rsidRPr="00D722C4">
        <w:rPr>
          <w:rFonts w:asciiTheme="majorBidi" w:hAnsiTheme="majorBidi" w:cstheme="majorBidi"/>
          <w:lang w:val="en-GB"/>
        </w:rPr>
        <w:t>to the Basel Convention</w:t>
      </w:r>
      <w:r w:rsidRPr="00D722C4">
        <w:rPr>
          <w:rFonts w:asciiTheme="majorBidi" w:eastAsia="Calibri" w:hAnsiTheme="majorBidi" w:cstheme="majorBidi"/>
          <w:lang w:val="en-GB"/>
        </w:rPr>
        <w:t xml:space="preserve"> </w:t>
      </w:r>
      <w:r w:rsidRPr="00D722C4">
        <w:rPr>
          <w:rFonts w:asciiTheme="majorBidi" w:hAnsiTheme="majorBidi" w:cstheme="majorBidi"/>
          <w:lang w:val="en-GB"/>
        </w:rPr>
        <w:t>on the Control of Transboundary Movements of Hazardous Wastes and Their Disposal;</w:t>
      </w:r>
    </w:p>
    <w:p w:rsidR="00821E5D" w:rsidRPr="00D722C4" w:rsidRDefault="00821E5D" w:rsidP="00821E5D">
      <w:pPr>
        <w:tabs>
          <w:tab w:val="clear" w:pos="1247"/>
          <w:tab w:val="clear" w:pos="1814"/>
          <w:tab w:val="clear" w:pos="2381"/>
          <w:tab w:val="clear" w:pos="2948"/>
          <w:tab w:val="clear" w:pos="3515"/>
        </w:tabs>
        <w:spacing w:after="120"/>
        <w:ind w:left="1247" w:firstLine="624"/>
        <w:rPr>
          <w:rFonts w:asciiTheme="majorBidi" w:hAnsiTheme="majorBidi" w:cstheme="majorBidi"/>
          <w:lang w:val="en-GB"/>
        </w:rPr>
      </w:pPr>
      <w:r w:rsidRPr="00D722C4">
        <w:rPr>
          <w:rFonts w:asciiTheme="majorBidi" w:hAnsiTheme="majorBidi" w:cstheme="majorBidi"/>
          <w:lang w:val="en-GB"/>
        </w:rPr>
        <w:t>2.</w:t>
      </w:r>
      <w:r w:rsidRPr="00D722C4">
        <w:rPr>
          <w:rFonts w:asciiTheme="majorBidi" w:hAnsiTheme="majorBidi" w:cstheme="majorBidi"/>
          <w:lang w:val="en-GB"/>
        </w:rPr>
        <w:tab/>
      </w:r>
      <w:r w:rsidRPr="00D722C4">
        <w:rPr>
          <w:rFonts w:asciiTheme="majorBidi" w:hAnsiTheme="majorBidi" w:cstheme="majorBidi"/>
          <w:i/>
          <w:iCs/>
          <w:lang w:val="en-GB"/>
        </w:rPr>
        <w:t>Takes note</w:t>
      </w:r>
      <w:r w:rsidRPr="00D722C4">
        <w:rPr>
          <w:rFonts w:asciiTheme="majorBidi" w:hAnsiTheme="majorBidi" w:cstheme="majorBidi"/>
          <w:lang w:val="en-GB"/>
        </w:rPr>
        <w:t xml:space="preserve"> of the note by the co-chairs of the expert working group on the status of the work and recommendations on the way forward,</w:t>
      </w:r>
      <w:r w:rsidRPr="00D722C4">
        <w:rPr>
          <w:rFonts w:cstheme="majorBidi"/>
          <w:vertAlign w:val="superscript"/>
          <w:lang w:val="en-GB"/>
        </w:rPr>
        <w:footnoteReference w:id="1"/>
      </w:r>
      <w:r w:rsidRPr="00D722C4">
        <w:rPr>
          <w:rFonts w:asciiTheme="majorBidi" w:hAnsiTheme="majorBidi" w:cstheme="majorBidi"/>
          <w:lang w:val="en-GB"/>
        </w:rPr>
        <w:t xml:space="preserve"> the information on the work of the group,</w:t>
      </w:r>
      <w:r w:rsidRPr="00D722C4">
        <w:rPr>
          <w:rFonts w:cstheme="majorBidi"/>
          <w:vertAlign w:val="superscript"/>
          <w:lang w:val="en-GB"/>
        </w:rPr>
        <w:footnoteReference w:id="2"/>
      </w:r>
      <w:r w:rsidRPr="00D722C4">
        <w:rPr>
          <w:rFonts w:asciiTheme="majorBidi" w:hAnsiTheme="majorBidi" w:cstheme="majorBidi"/>
          <w:lang w:val="en-GB"/>
        </w:rPr>
        <w:t xml:space="preserve"> the recommendations for revisions to Annex IV and Annex IX (B1110) prepared by the expert working group</w:t>
      </w:r>
      <w:r w:rsidRPr="00D722C4">
        <w:rPr>
          <w:rFonts w:cstheme="majorBidi"/>
          <w:vertAlign w:val="superscript"/>
          <w:lang w:val="en-GB"/>
        </w:rPr>
        <w:footnoteReference w:id="3"/>
      </w:r>
      <w:r w:rsidRPr="00D722C4">
        <w:rPr>
          <w:rFonts w:asciiTheme="majorBidi" w:hAnsiTheme="majorBidi" w:cstheme="majorBidi"/>
          <w:lang w:val="en-GB"/>
        </w:rPr>
        <w:t xml:space="preserve"> and the comments from Parties and others received thereon;</w:t>
      </w:r>
      <w:r w:rsidRPr="00D722C4">
        <w:rPr>
          <w:rFonts w:cstheme="majorBidi"/>
          <w:vertAlign w:val="superscript"/>
          <w:lang w:val="en-GB"/>
        </w:rPr>
        <w:footnoteReference w:id="4"/>
      </w:r>
      <w:r w:rsidRPr="00D722C4">
        <w:rPr>
          <w:rFonts w:asciiTheme="majorBidi" w:hAnsiTheme="majorBidi" w:cstheme="majorBidi"/>
          <w:lang w:val="en-GB"/>
        </w:rPr>
        <w:t xml:space="preserve"> </w:t>
      </w:r>
    </w:p>
    <w:p w:rsidR="00821E5D" w:rsidRPr="00D722C4" w:rsidRDefault="00821E5D" w:rsidP="00821E5D">
      <w:pPr>
        <w:tabs>
          <w:tab w:val="clear" w:pos="1247"/>
          <w:tab w:val="clear" w:pos="1814"/>
          <w:tab w:val="clear" w:pos="2381"/>
          <w:tab w:val="clear" w:pos="2948"/>
          <w:tab w:val="clear" w:pos="3515"/>
        </w:tabs>
        <w:spacing w:after="120"/>
        <w:ind w:left="1247" w:firstLine="624"/>
        <w:rPr>
          <w:rFonts w:asciiTheme="majorBidi" w:hAnsiTheme="majorBidi" w:cstheme="majorBidi"/>
          <w:lang w:val="en-GB"/>
        </w:rPr>
      </w:pPr>
      <w:r w:rsidRPr="00D722C4">
        <w:rPr>
          <w:rFonts w:asciiTheme="majorBidi" w:hAnsiTheme="majorBidi" w:cstheme="majorBidi"/>
          <w:lang w:val="en-GB"/>
        </w:rPr>
        <w:t>3.</w:t>
      </w:r>
      <w:r w:rsidRPr="00D722C4">
        <w:rPr>
          <w:rFonts w:asciiTheme="majorBidi" w:hAnsiTheme="majorBidi" w:cstheme="majorBidi"/>
          <w:lang w:val="en-GB"/>
        </w:rPr>
        <w:tab/>
      </w:r>
      <w:r w:rsidRPr="00D722C4">
        <w:rPr>
          <w:rFonts w:asciiTheme="majorBidi" w:hAnsiTheme="majorBidi" w:cstheme="majorBidi"/>
          <w:i/>
          <w:iCs/>
          <w:lang w:val="en-GB"/>
        </w:rPr>
        <w:t>Invites</w:t>
      </w:r>
      <w:r w:rsidRPr="00D722C4">
        <w:rPr>
          <w:rFonts w:asciiTheme="majorBidi" w:hAnsiTheme="majorBidi" w:cstheme="majorBidi"/>
          <w:lang w:val="en-GB"/>
        </w:rPr>
        <w:t xml:space="preserve"> Parties and others to submit to the Secretariat by 15 July 2019 further views on the recommendations for revisions to Annex IV prepared by the expert working group;</w:t>
      </w:r>
      <w:r w:rsidRPr="00D722C4">
        <w:rPr>
          <w:rFonts w:cstheme="majorBidi"/>
          <w:vertAlign w:val="superscript"/>
          <w:lang w:val="en-GB"/>
        </w:rPr>
        <w:footnoteReference w:id="5"/>
      </w:r>
      <w:r w:rsidRPr="00D722C4">
        <w:rPr>
          <w:rFonts w:asciiTheme="majorBidi" w:hAnsiTheme="majorBidi" w:cstheme="majorBidi"/>
          <w:lang w:val="en-GB"/>
        </w:rPr>
        <w:t xml:space="preserve"> </w:t>
      </w:r>
    </w:p>
    <w:p w:rsidR="00821E5D" w:rsidRPr="00D722C4" w:rsidRDefault="00821E5D" w:rsidP="00821E5D">
      <w:pPr>
        <w:tabs>
          <w:tab w:val="clear" w:pos="1247"/>
          <w:tab w:val="clear" w:pos="1814"/>
          <w:tab w:val="clear" w:pos="2381"/>
          <w:tab w:val="clear" w:pos="2948"/>
          <w:tab w:val="clear" w:pos="3515"/>
        </w:tabs>
        <w:spacing w:after="120"/>
        <w:ind w:left="1247" w:firstLine="624"/>
        <w:rPr>
          <w:rFonts w:asciiTheme="majorBidi" w:hAnsiTheme="majorBidi" w:cstheme="majorBidi"/>
          <w:lang w:val="en-GB"/>
        </w:rPr>
      </w:pPr>
      <w:r w:rsidRPr="00D722C4">
        <w:rPr>
          <w:rFonts w:asciiTheme="majorBidi" w:hAnsiTheme="majorBidi" w:cstheme="majorBidi"/>
          <w:lang w:val="en-GB"/>
        </w:rPr>
        <w:t>4.</w:t>
      </w:r>
      <w:r w:rsidRPr="00D722C4">
        <w:rPr>
          <w:rFonts w:asciiTheme="majorBidi" w:hAnsiTheme="majorBidi" w:cstheme="majorBidi"/>
          <w:lang w:val="en-GB"/>
        </w:rPr>
        <w:tab/>
      </w:r>
      <w:r w:rsidRPr="00D722C4">
        <w:rPr>
          <w:rFonts w:asciiTheme="majorBidi" w:hAnsiTheme="majorBidi" w:cstheme="majorBidi"/>
          <w:i/>
          <w:iCs/>
          <w:lang w:val="en-GB"/>
        </w:rPr>
        <w:t>Extends</w:t>
      </w:r>
      <w:r w:rsidRPr="00D722C4">
        <w:rPr>
          <w:rFonts w:asciiTheme="majorBidi" w:hAnsiTheme="majorBidi" w:cstheme="majorBidi"/>
          <w:lang w:val="en-GB"/>
        </w:rPr>
        <w:t xml:space="preserve"> the mandate of the expert working group</w:t>
      </w:r>
      <w:r w:rsidRPr="00D722C4">
        <w:rPr>
          <w:rFonts w:cstheme="majorBidi"/>
          <w:vertAlign w:val="superscript"/>
          <w:lang w:val="en-GB"/>
        </w:rPr>
        <w:footnoteReference w:id="6"/>
      </w:r>
      <w:r w:rsidRPr="00D722C4">
        <w:rPr>
          <w:rFonts w:asciiTheme="majorBidi" w:hAnsiTheme="majorBidi" w:cstheme="majorBidi"/>
          <w:lang w:val="en-GB"/>
        </w:rPr>
        <w:t xml:space="preserve"> to also review entry B1110 in Annex IX and the mirror entry A1180 in Annex VIII, based on the work of the group on entry B1110 thus far;</w:t>
      </w:r>
    </w:p>
    <w:p w:rsidR="00821E5D" w:rsidRPr="00D722C4" w:rsidRDefault="00821E5D" w:rsidP="00821E5D">
      <w:pPr>
        <w:tabs>
          <w:tab w:val="clear" w:pos="1247"/>
          <w:tab w:val="clear" w:pos="1814"/>
          <w:tab w:val="clear" w:pos="2381"/>
          <w:tab w:val="clear" w:pos="2948"/>
          <w:tab w:val="clear" w:pos="3515"/>
        </w:tabs>
        <w:spacing w:after="120"/>
        <w:ind w:left="1247" w:firstLine="624"/>
        <w:rPr>
          <w:rFonts w:asciiTheme="majorBidi" w:hAnsiTheme="majorBidi" w:cstheme="majorBidi"/>
          <w:lang w:val="en-GB"/>
        </w:rPr>
      </w:pPr>
      <w:r w:rsidRPr="00D722C4">
        <w:rPr>
          <w:rFonts w:asciiTheme="majorBidi" w:hAnsiTheme="majorBidi" w:cstheme="majorBidi"/>
          <w:lang w:val="en-GB"/>
        </w:rPr>
        <w:t>5.</w:t>
      </w:r>
      <w:r w:rsidRPr="00D722C4">
        <w:rPr>
          <w:rFonts w:asciiTheme="majorBidi" w:hAnsiTheme="majorBidi" w:cstheme="majorBidi"/>
          <w:lang w:val="en-GB"/>
        </w:rPr>
        <w:tab/>
      </w:r>
      <w:r w:rsidRPr="00D722C4">
        <w:rPr>
          <w:rFonts w:asciiTheme="majorBidi" w:hAnsiTheme="majorBidi" w:cstheme="majorBidi"/>
          <w:i/>
          <w:iCs/>
          <w:lang w:val="en-GB"/>
        </w:rPr>
        <w:t>Requests</w:t>
      </w:r>
      <w:r w:rsidRPr="00D722C4">
        <w:rPr>
          <w:rFonts w:asciiTheme="majorBidi" w:hAnsiTheme="majorBidi" w:cstheme="majorBidi"/>
          <w:lang w:val="en-GB"/>
        </w:rPr>
        <w:t xml:space="preserve"> the expert working group to continue its work </w:t>
      </w:r>
      <w:proofErr w:type="gramStart"/>
      <w:r w:rsidRPr="00D722C4">
        <w:rPr>
          <w:rFonts w:asciiTheme="majorBidi" w:hAnsiTheme="majorBidi" w:cstheme="majorBidi"/>
          <w:lang w:val="en-GB"/>
        </w:rPr>
        <w:t>on the basis of</w:t>
      </w:r>
      <w:proofErr w:type="gramEnd"/>
      <w:r w:rsidRPr="00D722C4">
        <w:rPr>
          <w:rFonts w:asciiTheme="majorBidi" w:hAnsiTheme="majorBidi" w:cstheme="majorBidi"/>
          <w:lang w:val="en-GB"/>
        </w:rPr>
        <w:t xml:space="preserve"> the way forward set out in the annex to the present decision; </w:t>
      </w:r>
    </w:p>
    <w:p w:rsidR="00821E5D" w:rsidRPr="00D722C4" w:rsidRDefault="00821E5D" w:rsidP="00821E5D">
      <w:pPr>
        <w:tabs>
          <w:tab w:val="clear" w:pos="1247"/>
          <w:tab w:val="clear" w:pos="1814"/>
          <w:tab w:val="clear" w:pos="2381"/>
          <w:tab w:val="clear" w:pos="2948"/>
          <w:tab w:val="clear" w:pos="3515"/>
        </w:tabs>
        <w:spacing w:after="120"/>
        <w:ind w:left="1247" w:firstLine="624"/>
        <w:rPr>
          <w:rFonts w:asciiTheme="majorBidi" w:hAnsiTheme="majorBidi" w:cstheme="majorBidi"/>
          <w:lang w:val="en-GB"/>
        </w:rPr>
      </w:pPr>
      <w:r w:rsidRPr="00D722C4">
        <w:rPr>
          <w:rFonts w:asciiTheme="majorBidi" w:hAnsiTheme="majorBidi" w:cstheme="majorBidi"/>
          <w:lang w:val="en-GB"/>
        </w:rPr>
        <w:t>6.</w:t>
      </w:r>
      <w:r w:rsidRPr="00D722C4">
        <w:rPr>
          <w:rFonts w:asciiTheme="majorBidi" w:hAnsiTheme="majorBidi" w:cstheme="majorBidi"/>
          <w:lang w:val="en-GB"/>
        </w:rPr>
        <w:tab/>
      </w:r>
      <w:r w:rsidRPr="00D722C4">
        <w:rPr>
          <w:rFonts w:asciiTheme="majorBidi" w:hAnsiTheme="majorBidi" w:cstheme="majorBidi"/>
          <w:i/>
          <w:iCs/>
          <w:lang w:val="en-GB"/>
        </w:rPr>
        <w:t>Extends</w:t>
      </w:r>
      <w:r w:rsidRPr="00D722C4">
        <w:rPr>
          <w:rFonts w:asciiTheme="majorBidi" w:hAnsiTheme="majorBidi" w:cstheme="majorBidi"/>
          <w:lang w:val="en-GB"/>
        </w:rPr>
        <w:t xml:space="preserve"> the mandate of the expert working group</w:t>
      </w:r>
      <w:r w:rsidRPr="00750A35">
        <w:rPr>
          <w:rFonts w:cstheme="majorBidi"/>
          <w:vertAlign w:val="superscript"/>
          <w:lang w:val="en-GB"/>
        </w:rPr>
        <w:footnoteReference w:id="7"/>
      </w:r>
      <w:r w:rsidRPr="00D722C4">
        <w:rPr>
          <w:rFonts w:asciiTheme="majorBidi" w:hAnsiTheme="majorBidi" w:cstheme="majorBidi"/>
          <w:lang w:val="en-GB"/>
        </w:rPr>
        <w:t xml:space="preserve"> to also review the consequential implications of the review of Annexes I, III and IV for other annexes of the Convention and for relevant decisions of the Conference of the Parties, inter alia, for the notification and movement documents and the reporting format; </w:t>
      </w:r>
    </w:p>
    <w:p w:rsidR="00821E5D" w:rsidRPr="00D722C4" w:rsidRDefault="00821E5D" w:rsidP="00821E5D">
      <w:pPr>
        <w:tabs>
          <w:tab w:val="clear" w:pos="1247"/>
          <w:tab w:val="clear" w:pos="1814"/>
          <w:tab w:val="clear" w:pos="2381"/>
          <w:tab w:val="clear" w:pos="2948"/>
          <w:tab w:val="clear" w:pos="3515"/>
        </w:tabs>
        <w:spacing w:after="120"/>
        <w:ind w:left="1247" w:firstLine="624"/>
        <w:rPr>
          <w:rFonts w:asciiTheme="majorBidi" w:hAnsiTheme="majorBidi" w:cstheme="majorBidi"/>
          <w:lang w:val="en-GB"/>
        </w:rPr>
      </w:pPr>
      <w:r w:rsidRPr="00D722C4">
        <w:rPr>
          <w:rFonts w:asciiTheme="majorBidi" w:hAnsiTheme="majorBidi" w:cstheme="majorBidi"/>
          <w:lang w:val="en-GB"/>
        </w:rPr>
        <w:t>7.</w:t>
      </w:r>
      <w:r w:rsidRPr="00D722C4">
        <w:rPr>
          <w:rFonts w:asciiTheme="majorBidi" w:hAnsiTheme="majorBidi" w:cstheme="majorBidi"/>
          <w:lang w:val="en-GB"/>
        </w:rPr>
        <w:tab/>
      </w:r>
      <w:r w:rsidRPr="00D722C4">
        <w:rPr>
          <w:rFonts w:asciiTheme="majorBidi" w:hAnsiTheme="majorBidi" w:cstheme="majorBidi"/>
          <w:i/>
          <w:iCs/>
          <w:lang w:val="en-GB"/>
        </w:rPr>
        <w:t>Requests</w:t>
      </w:r>
      <w:r w:rsidRPr="00D722C4">
        <w:rPr>
          <w:rFonts w:asciiTheme="majorBidi" w:hAnsiTheme="majorBidi" w:cstheme="majorBidi"/>
          <w:lang w:val="en-GB"/>
        </w:rPr>
        <w:t xml:space="preserve"> the Secretariat, subject to the availability of resources, to prepare an analysis of the possible consequential implications of the review of Annexes I, III and IV for other annexes of the Convention and for relevant decisions of the Conference of the Parties, inter alia, for the notification and movement documents and the reporting format, for the consideration of the expert working group; </w:t>
      </w:r>
    </w:p>
    <w:p w:rsidR="00821E5D" w:rsidRPr="00D722C4" w:rsidRDefault="00821E5D" w:rsidP="00821E5D">
      <w:pPr>
        <w:tabs>
          <w:tab w:val="clear" w:pos="1247"/>
          <w:tab w:val="clear" w:pos="1814"/>
          <w:tab w:val="clear" w:pos="2381"/>
          <w:tab w:val="clear" w:pos="2948"/>
          <w:tab w:val="clear" w:pos="3515"/>
        </w:tabs>
        <w:spacing w:after="120"/>
        <w:ind w:left="1247" w:firstLine="624"/>
        <w:rPr>
          <w:rFonts w:asciiTheme="majorBidi" w:hAnsiTheme="majorBidi" w:cstheme="majorBidi"/>
          <w:lang w:val="en-GB"/>
        </w:rPr>
      </w:pPr>
      <w:r w:rsidRPr="00D722C4">
        <w:rPr>
          <w:rFonts w:asciiTheme="majorBidi" w:hAnsiTheme="majorBidi" w:cstheme="majorBidi"/>
          <w:lang w:val="en-GB"/>
        </w:rPr>
        <w:t>8.</w:t>
      </w:r>
      <w:r w:rsidRPr="00D722C4">
        <w:rPr>
          <w:rFonts w:asciiTheme="majorBidi" w:hAnsiTheme="majorBidi" w:cstheme="majorBidi"/>
          <w:lang w:val="en-GB"/>
        </w:rPr>
        <w:tab/>
      </w:r>
      <w:r w:rsidRPr="00D722C4">
        <w:rPr>
          <w:rFonts w:asciiTheme="majorBidi" w:hAnsiTheme="majorBidi" w:cstheme="majorBidi"/>
          <w:i/>
          <w:iCs/>
          <w:lang w:val="en-GB"/>
        </w:rPr>
        <w:t>Requests</w:t>
      </w:r>
      <w:r w:rsidRPr="00D722C4">
        <w:rPr>
          <w:rFonts w:asciiTheme="majorBidi" w:hAnsiTheme="majorBidi" w:cstheme="majorBidi"/>
          <w:lang w:val="en-GB"/>
        </w:rPr>
        <w:t xml:space="preserve"> the expert working group to report on its findings on the possible consequential implications of the review of Annex IV for other annexes of the Convention and for relevant decisions of the Conference of the Parties, inter alia, for the notification and movement documents and the reporting format, following its own consideration of the matter, to the Open</w:t>
      </w:r>
      <w:r w:rsidRPr="00D722C4">
        <w:rPr>
          <w:rFonts w:asciiTheme="majorBidi" w:hAnsiTheme="majorBidi" w:cstheme="majorBidi"/>
          <w:lang w:val="en-GB"/>
        </w:rPr>
        <w:noBreakHyphen/>
        <w:t>ended Working Group at its twelfth meeting;</w:t>
      </w:r>
    </w:p>
    <w:p w:rsidR="00821E5D" w:rsidRPr="00D722C4" w:rsidRDefault="00821E5D" w:rsidP="00821E5D">
      <w:pPr>
        <w:tabs>
          <w:tab w:val="clear" w:pos="1247"/>
          <w:tab w:val="clear" w:pos="1814"/>
          <w:tab w:val="clear" w:pos="2381"/>
          <w:tab w:val="clear" w:pos="2948"/>
          <w:tab w:val="clear" w:pos="3515"/>
        </w:tabs>
        <w:spacing w:after="120"/>
        <w:ind w:left="1247" w:firstLine="624"/>
        <w:rPr>
          <w:rFonts w:asciiTheme="majorBidi" w:hAnsiTheme="majorBidi" w:cstheme="majorBidi"/>
          <w:lang w:val="en-GB"/>
        </w:rPr>
      </w:pPr>
      <w:r w:rsidRPr="00D722C4">
        <w:rPr>
          <w:rFonts w:asciiTheme="majorBidi" w:hAnsiTheme="majorBidi" w:cstheme="majorBidi"/>
          <w:lang w:val="en-GB"/>
        </w:rPr>
        <w:t>9.</w:t>
      </w:r>
      <w:r w:rsidRPr="00D722C4">
        <w:rPr>
          <w:rFonts w:asciiTheme="majorBidi" w:hAnsiTheme="majorBidi" w:cstheme="majorBidi"/>
          <w:lang w:val="en-GB"/>
        </w:rPr>
        <w:tab/>
      </w:r>
      <w:r w:rsidRPr="00D722C4">
        <w:rPr>
          <w:rFonts w:asciiTheme="majorBidi" w:hAnsiTheme="majorBidi" w:cstheme="majorBidi"/>
          <w:i/>
          <w:iCs/>
          <w:lang w:val="en-GB"/>
        </w:rPr>
        <w:t>Requests</w:t>
      </w:r>
      <w:r w:rsidRPr="00D722C4">
        <w:rPr>
          <w:rFonts w:asciiTheme="majorBidi" w:hAnsiTheme="majorBidi" w:cstheme="majorBidi"/>
          <w:lang w:val="en-GB"/>
        </w:rPr>
        <w:t xml:space="preserve"> the regional groups that have not yet nominated 10 experts with relevant expertise to serve as members of the expert working group to nominate the remaining experts by 31 July 2019 through their Bureau representatives, and requests the Secretariat to facilitate the nomination process;</w:t>
      </w:r>
    </w:p>
    <w:p w:rsidR="00821E5D" w:rsidRPr="00D722C4" w:rsidRDefault="00821E5D" w:rsidP="00821E5D">
      <w:pPr>
        <w:tabs>
          <w:tab w:val="clear" w:pos="1247"/>
          <w:tab w:val="clear" w:pos="1814"/>
          <w:tab w:val="clear" w:pos="2381"/>
          <w:tab w:val="clear" w:pos="2948"/>
          <w:tab w:val="clear" w:pos="3515"/>
        </w:tabs>
        <w:spacing w:after="120"/>
        <w:ind w:left="1247" w:firstLine="624"/>
        <w:rPr>
          <w:rFonts w:asciiTheme="majorBidi" w:hAnsiTheme="majorBidi" w:cstheme="majorBidi"/>
          <w:lang w:val="en-GB"/>
        </w:rPr>
      </w:pPr>
      <w:r w:rsidRPr="00D722C4">
        <w:rPr>
          <w:rFonts w:asciiTheme="majorBidi" w:hAnsiTheme="majorBidi" w:cstheme="majorBidi"/>
          <w:lang w:val="en-GB"/>
        </w:rPr>
        <w:t>10.</w:t>
      </w:r>
      <w:r w:rsidRPr="00D722C4">
        <w:rPr>
          <w:rFonts w:asciiTheme="majorBidi" w:hAnsiTheme="majorBidi" w:cstheme="majorBidi"/>
          <w:lang w:val="en-GB"/>
        </w:rPr>
        <w:tab/>
      </w:r>
      <w:r w:rsidRPr="00D722C4">
        <w:rPr>
          <w:rFonts w:asciiTheme="majorBidi" w:hAnsiTheme="majorBidi" w:cstheme="majorBidi"/>
          <w:i/>
          <w:iCs/>
          <w:lang w:val="en-GB"/>
        </w:rPr>
        <w:t>Requests</w:t>
      </w:r>
      <w:r w:rsidRPr="00D722C4">
        <w:rPr>
          <w:rFonts w:asciiTheme="majorBidi" w:hAnsiTheme="majorBidi" w:cstheme="majorBidi"/>
          <w:lang w:val="en-GB"/>
        </w:rPr>
        <w:t xml:space="preserve"> the Secretariat to report on the implementation of the present decision to the Open</w:t>
      </w:r>
      <w:r w:rsidRPr="00D722C4">
        <w:rPr>
          <w:rFonts w:asciiTheme="majorBidi" w:hAnsiTheme="majorBidi" w:cstheme="majorBidi"/>
          <w:lang w:val="en-GB"/>
        </w:rPr>
        <w:noBreakHyphen/>
        <w:t>ended Working Group at its twelfth meeting and to the Conference of the Parties at its fifteenth meeting.</w:t>
      </w:r>
    </w:p>
    <w:p w:rsidR="00821E5D" w:rsidRPr="00D722C4" w:rsidRDefault="00821E5D" w:rsidP="00821E5D">
      <w:pPr>
        <w:pStyle w:val="CH1"/>
      </w:pPr>
      <w:r w:rsidRPr="00D722C4">
        <w:lastRenderedPageBreak/>
        <w:tab/>
      </w:r>
      <w:r w:rsidRPr="00D722C4">
        <w:tab/>
        <w:t>Annex to decision BC-14/16</w:t>
      </w:r>
    </w:p>
    <w:p w:rsidR="00821E5D" w:rsidRPr="00D722C4" w:rsidRDefault="00821E5D" w:rsidP="00821E5D">
      <w:pPr>
        <w:pStyle w:val="CH1"/>
      </w:pPr>
      <w:r w:rsidRPr="00D722C4">
        <w:rPr>
          <w:color w:val="000000"/>
        </w:rPr>
        <w:tab/>
      </w:r>
      <w:r w:rsidRPr="00D722C4">
        <w:rPr>
          <w:color w:val="000000"/>
        </w:rPr>
        <w:tab/>
        <w:t>W</w:t>
      </w:r>
      <w:r w:rsidRPr="00D722C4">
        <w:t>ay forward to the fifteenth and sixteenth meetings of the Conference of the Parties to the Basel Convention</w:t>
      </w:r>
    </w:p>
    <w:p w:rsidR="00821E5D" w:rsidRPr="00D722C4" w:rsidRDefault="00821E5D" w:rsidP="00821E5D">
      <w:pPr>
        <w:keepNext/>
        <w:keepLines/>
        <w:autoSpaceDE w:val="0"/>
        <w:autoSpaceDN w:val="0"/>
        <w:adjustRightInd w:val="0"/>
        <w:spacing w:before="120" w:after="120"/>
        <w:jc w:val="center"/>
        <w:rPr>
          <w:b/>
          <w:iCs/>
          <w:sz w:val="24"/>
          <w:szCs w:val="24"/>
          <w:lang w:val="en-GB"/>
        </w:rPr>
      </w:pPr>
      <w:r w:rsidRPr="00D722C4">
        <w:rPr>
          <w:sz w:val="24"/>
          <w:szCs w:val="24"/>
          <w:lang w:val="en-GB"/>
        </w:rPr>
        <w:tab/>
      </w:r>
      <w:r w:rsidRPr="00D722C4">
        <w:rPr>
          <w:b/>
          <w:sz w:val="24"/>
          <w:szCs w:val="24"/>
          <w:lang w:val="en-GB"/>
        </w:rPr>
        <w:t xml:space="preserve">COP 15 </w:t>
      </w:r>
    </w:p>
    <w:tbl>
      <w:tblPr>
        <w:tblW w:w="8307" w:type="dxa"/>
        <w:jc w:val="right"/>
        <w:shd w:val="clear" w:color="auto" w:fill="FFFFFF" w:themeFill="background1"/>
        <w:tblLook w:val="04A0" w:firstRow="1" w:lastRow="0" w:firstColumn="1" w:lastColumn="0" w:noHBand="0" w:noVBand="1"/>
      </w:tblPr>
      <w:tblGrid>
        <w:gridCol w:w="4051"/>
        <w:gridCol w:w="4256"/>
      </w:tblGrid>
      <w:tr w:rsidR="00821E5D" w:rsidRPr="00D722C4" w:rsidTr="00934B71">
        <w:trPr>
          <w:trHeight w:val="285"/>
          <w:jc w:val="right"/>
        </w:trPr>
        <w:tc>
          <w:tcPr>
            <w:tcW w:w="7230" w:type="dxa"/>
            <w:tcBorders>
              <w:top w:val="single" w:sz="4" w:space="0" w:color="auto"/>
              <w:bottom w:val="single" w:sz="4" w:space="0" w:color="auto"/>
            </w:tcBorders>
            <w:shd w:val="clear" w:color="auto" w:fill="FFFFFF" w:themeFill="background1"/>
          </w:tcPr>
          <w:p w:rsidR="00821E5D" w:rsidRPr="00D722C4" w:rsidRDefault="00821E5D" w:rsidP="00934B71">
            <w:pPr>
              <w:keepNext/>
              <w:keepLines/>
              <w:autoSpaceDE w:val="0"/>
              <w:autoSpaceDN w:val="0"/>
              <w:adjustRightInd w:val="0"/>
              <w:spacing w:before="40" w:after="40"/>
              <w:jc w:val="center"/>
              <w:rPr>
                <w:b/>
                <w:iCs/>
                <w:smallCaps/>
                <w:sz w:val="18"/>
                <w:szCs w:val="18"/>
                <w:lang w:val="en-GB"/>
              </w:rPr>
            </w:pPr>
            <w:r w:rsidRPr="00D722C4">
              <w:rPr>
                <w:b/>
                <w:iCs/>
                <w:smallCaps/>
                <w:sz w:val="18"/>
                <w:szCs w:val="18"/>
                <w:lang w:val="en-GB"/>
              </w:rPr>
              <w:t>OEWG-12</w:t>
            </w:r>
          </w:p>
        </w:tc>
        <w:tc>
          <w:tcPr>
            <w:tcW w:w="7655" w:type="dxa"/>
            <w:tcBorders>
              <w:top w:val="single" w:sz="4" w:space="0" w:color="auto"/>
              <w:bottom w:val="single" w:sz="4" w:space="0" w:color="auto"/>
            </w:tcBorders>
            <w:shd w:val="clear" w:color="auto" w:fill="FFFFFF" w:themeFill="background1"/>
          </w:tcPr>
          <w:p w:rsidR="00821E5D" w:rsidRPr="00D722C4" w:rsidRDefault="00821E5D" w:rsidP="00934B71">
            <w:pPr>
              <w:keepNext/>
              <w:keepLines/>
              <w:autoSpaceDE w:val="0"/>
              <w:autoSpaceDN w:val="0"/>
              <w:adjustRightInd w:val="0"/>
              <w:spacing w:before="40" w:after="40"/>
              <w:jc w:val="center"/>
              <w:rPr>
                <w:b/>
                <w:iCs/>
                <w:smallCaps/>
                <w:sz w:val="18"/>
                <w:szCs w:val="18"/>
                <w:lang w:val="en-GB"/>
              </w:rPr>
            </w:pPr>
            <w:r w:rsidRPr="00D722C4">
              <w:rPr>
                <w:b/>
                <w:iCs/>
                <w:smallCaps/>
                <w:sz w:val="18"/>
                <w:szCs w:val="18"/>
                <w:lang w:val="en-GB"/>
              </w:rPr>
              <w:t>COP 15</w:t>
            </w:r>
          </w:p>
        </w:tc>
      </w:tr>
      <w:tr w:rsidR="00821E5D" w:rsidRPr="00D722C4" w:rsidTr="00934B71">
        <w:trPr>
          <w:trHeight w:val="277"/>
          <w:jc w:val="right"/>
        </w:trPr>
        <w:tc>
          <w:tcPr>
            <w:tcW w:w="7230" w:type="dxa"/>
            <w:tcBorders>
              <w:top w:val="single" w:sz="4" w:space="0" w:color="auto"/>
              <w:bottom w:val="single" w:sz="12" w:space="0" w:color="auto"/>
            </w:tcBorders>
            <w:shd w:val="clear" w:color="auto" w:fill="FFFFFF" w:themeFill="background1"/>
          </w:tcPr>
          <w:p w:rsidR="00821E5D" w:rsidRPr="00D722C4" w:rsidRDefault="00821E5D" w:rsidP="00934B71">
            <w:pPr>
              <w:autoSpaceDE w:val="0"/>
              <w:autoSpaceDN w:val="0"/>
              <w:adjustRightInd w:val="0"/>
              <w:spacing w:before="40" w:after="40"/>
              <w:jc w:val="center"/>
              <w:rPr>
                <w:b/>
                <w:iCs/>
                <w:sz w:val="18"/>
                <w:szCs w:val="18"/>
                <w:lang w:val="en-GB"/>
              </w:rPr>
            </w:pPr>
            <w:r w:rsidRPr="00D722C4">
              <w:rPr>
                <w:b/>
                <w:iCs/>
                <w:sz w:val="18"/>
                <w:szCs w:val="18"/>
                <w:lang w:val="en-GB"/>
              </w:rPr>
              <w:t>2020</w:t>
            </w:r>
          </w:p>
        </w:tc>
        <w:tc>
          <w:tcPr>
            <w:tcW w:w="7655" w:type="dxa"/>
            <w:tcBorders>
              <w:top w:val="single" w:sz="4" w:space="0" w:color="auto"/>
              <w:bottom w:val="single" w:sz="12" w:space="0" w:color="auto"/>
            </w:tcBorders>
            <w:shd w:val="clear" w:color="auto" w:fill="FFFFFF" w:themeFill="background1"/>
          </w:tcPr>
          <w:p w:rsidR="00821E5D" w:rsidRPr="00D722C4" w:rsidRDefault="00821E5D" w:rsidP="00934B71">
            <w:pPr>
              <w:autoSpaceDE w:val="0"/>
              <w:autoSpaceDN w:val="0"/>
              <w:adjustRightInd w:val="0"/>
              <w:spacing w:before="40" w:after="40"/>
              <w:jc w:val="center"/>
              <w:rPr>
                <w:b/>
                <w:iCs/>
                <w:sz w:val="18"/>
                <w:szCs w:val="18"/>
                <w:lang w:val="en-GB"/>
              </w:rPr>
            </w:pPr>
            <w:r w:rsidRPr="00D722C4">
              <w:rPr>
                <w:b/>
                <w:iCs/>
                <w:sz w:val="18"/>
                <w:szCs w:val="18"/>
                <w:lang w:val="en-GB"/>
              </w:rPr>
              <w:t>2021</w:t>
            </w:r>
          </w:p>
        </w:tc>
      </w:tr>
      <w:tr w:rsidR="00821E5D" w:rsidRPr="00821E5D" w:rsidTr="00934B71">
        <w:trPr>
          <w:jc w:val="right"/>
        </w:trPr>
        <w:tc>
          <w:tcPr>
            <w:tcW w:w="7230" w:type="dxa"/>
            <w:tcBorders>
              <w:top w:val="single" w:sz="12" w:space="0" w:color="auto"/>
            </w:tcBorders>
            <w:shd w:val="clear" w:color="auto" w:fill="FFFFFF" w:themeFill="background1"/>
          </w:tcPr>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 xml:space="preserve">Annex IV: </w:t>
            </w:r>
          </w:p>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Amendment proposals are presented and discussed</w:t>
            </w:r>
          </w:p>
        </w:tc>
        <w:tc>
          <w:tcPr>
            <w:tcW w:w="7655" w:type="dxa"/>
            <w:tcBorders>
              <w:top w:val="single" w:sz="12" w:space="0" w:color="auto"/>
            </w:tcBorders>
            <w:shd w:val="clear" w:color="auto" w:fill="FFFFFF" w:themeFill="background1"/>
          </w:tcPr>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 xml:space="preserve">Annex IV: </w:t>
            </w:r>
          </w:p>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Amendment proposals are negotiated and possibly adopted</w:t>
            </w:r>
          </w:p>
        </w:tc>
      </w:tr>
      <w:tr w:rsidR="00821E5D" w:rsidRPr="00821E5D" w:rsidTr="00934B71">
        <w:trPr>
          <w:jc w:val="right"/>
        </w:trPr>
        <w:tc>
          <w:tcPr>
            <w:tcW w:w="7230" w:type="dxa"/>
            <w:shd w:val="clear" w:color="auto" w:fill="FFFFFF" w:themeFill="background1"/>
          </w:tcPr>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 xml:space="preserve">Annex VIII (A1180): </w:t>
            </w:r>
          </w:p>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Amendment proposals are presented and discussed</w:t>
            </w:r>
          </w:p>
        </w:tc>
        <w:tc>
          <w:tcPr>
            <w:tcW w:w="7655" w:type="dxa"/>
            <w:shd w:val="clear" w:color="auto" w:fill="FFFFFF" w:themeFill="background1"/>
          </w:tcPr>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 xml:space="preserve">Annex VIII (A1180): </w:t>
            </w:r>
          </w:p>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Amendment proposals are negotiated and possibly adopted</w:t>
            </w:r>
          </w:p>
        </w:tc>
      </w:tr>
      <w:tr w:rsidR="00821E5D" w:rsidRPr="00821E5D" w:rsidTr="00934B71">
        <w:trPr>
          <w:jc w:val="right"/>
        </w:trPr>
        <w:tc>
          <w:tcPr>
            <w:tcW w:w="7230" w:type="dxa"/>
            <w:tcBorders>
              <w:bottom w:val="single" w:sz="12" w:space="0" w:color="auto"/>
            </w:tcBorders>
            <w:shd w:val="clear" w:color="auto" w:fill="FFFFFF" w:themeFill="background1"/>
          </w:tcPr>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 xml:space="preserve">Annex IX (B1110): </w:t>
            </w:r>
          </w:p>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Amendment proposals are presented and discussed</w:t>
            </w:r>
          </w:p>
        </w:tc>
        <w:tc>
          <w:tcPr>
            <w:tcW w:w="7655" w:type="dxa"/>
            <w:tcBorders>
              <w:bottom w:val="single" w:sz="12" w:space="0" w:color="auto"/>
            </w:tcBorders>
            <w:shd w:val="clear" w:color="auto" w:fill="FFFFFF" w:themeFill="background1"/>
          </w:tcPr>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 xml:space="preserve">Annex IX (B1110): </w:t>
            </w:r>
          </w:p>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Amendment proposals are negotiated and possibly adopted</w:t>
            </w:r>
          </w:p>
        </w:tc>
      </w:tr>
    </w:tbl>
    <w:p w:rsidR="00821E5D" w:rsidRPr="00D722C4" w:rsidRDefault="00821E5D" w:rsidP="00821E5D">
      <w:pPr>
        <w:autoSpaceDE w:val="0"/>
        <w:autoSpaceDN w:val="0"/>
        <w:adjustRightInd w:val="0"/>
        <w:spacing w:before="120" w:after="120"/>
        <w:jc w:val="center"/>
        <w:rPr>
          <w:b/>
          <w:iCs/>
          <w:smallCaps/>
          <w:sz w:val="24"/>
          <w:szCs w:val="24"/>
          <w:u w:val="single"/>
          <w:lang w:val="en-GB"/>
        </w:rPr>
      </w:pPr>
      <w:r w:rsidRPr="00D722C4">
        <w:rPr>
          <w:b/>
          <w:iCs/>
          <w:sz w:val="24"/>
          <w:szCs w:val="24"/>
          <w:lang w:val="en-GB"/>
        </w:rPr>
        <w:tab/>
        <w:t xml:space="preserve">COP 16 </w:t>
      </w:r>
    </w:p>
    <w:tbl>
      <w:tblPr>
        <w:tblW w:w="8307" w:type="dxa"/>
        <w:jc w:val="right"/>
        <w:tblLook w:val="04A0" w:firstRow="1" w:lastRow="0" w:firstColumn="1" w:lastColumn="0" w:noHBand="0" w:noVBand="1"/>
      </w:tblPr>
      <w:tblGrid>
        <w:gridCol w:w="4051"/>
        <w:gridCol w:w="4256"/>
      </w:tblGrid>
      <w:tr w:rsidR="00821E5D" w:rsidRPr="00D722C4" w:rsidTr="00934B71">
        <w:trPr>
          <w:jc w:val="right"/>
        </w:trPr>
        <w:tc>
          <w:tcPr>
            <w:tcW w:w="7230" w:type="dxa"/>
            <w:tcBorders>
              <w:top w:val="single" w:sz="4" w:space="0" w:color="auto"/>
              <w:bottom w:val="single" w:sz="4" w:space="0" w:color="auto"/>
            </w:tcBorders>
            <w:shd w:val="clear" w:color="auto" w:fill="auto"/>
          </w:tcPr>
          <w:p w:rsidR="00821E5D" w:rsidRPr="00D722C4" w:rsidRDefault="00821E5D" w:rsidP="00934B71">
            <w:pPr>
              <w:autoSpaceDE w:val="0"/>
              <w:autoSpaceDN w:val="0"/>
              <w:adjustRightInd w:val="0"/>
              <w:spacing w:before="40" w:after="40"/>
              <w:jc w:val="center"/>
              <w:rPr>
                <w:b/>
                <w:iCs/>
                <w:smallCaps/>
                <w:sz w:val="18"/>
                <w:szCs w:val="18"/>
                <w:lang w:val="en-GB"/>
              </w:rPr>
            </w:pPr>
            <w:r w:rsidRPr="00D722C4">
              <w:rPr>
                <w:b/>
                <w:iCs/>
                <w:smallCaps/>
                <w:sz w:val="18"/>
                <w:szCs w:val="18"/>
                <w:lang w:val="en-GB"/>
              </w:rPr>
              <w:t>OEWG-13</w:t>
            </w:r>
          </w:p>
        </w:tc>
        <w:tc>
          <w:tcPr>
            <w:tcW w:w="7655" w:type="dxa"/>
            <w:tcBorders>
              <w:top w:val="single" w:sz="4" w:space="0" w:color="auto"/>
              <w:bottom w:val="single" w:sz="4" w:space="0" w:color="auto"/>
            </w:tcBorders>
            <w:shd w:val="clear" w:color="auto" w:fill="auto"/>
          </w:tcPr>
          <w:p w:rsidR="00821E5D" w:rsidRPr="00D722C4" w:rsidRDefault="00821E5D" w:rsidP="00934B71">
            <w:pPr>
              <w:autoSpaceDE w:val="0"/>
              <w:autoSpaceDN w:val="0"/>
              <w:adjustRightInd w:val="0"/>
              <w:spacing w:before="40" w:after="40"/>
              <w:jc w:val="center"/>
              <w:rPr>
                <w:b/>
                <w:iCs/>
                <w:smallCaps/>
                <w:sz w:val="18"/>
                <w:szCs w:val="18"/>
                <w:lang w:val="en-GB"/>
              </w:rPr>
            </w:pPr>
            <w:r w:rsidRPr="00D722C4">
              <w:rPr>
                <w:b/>
                <w:iCs/>
                <w:smallCaps/>
                <w:sz w:val="18"/>
                <w:szCs w:val="18"/>
                <w:lang w:val="en-GB"/>
              </w:rPr>
              <w:t>COP 16</w:t>
            </w:r>
          </w:p>
        </w:tc>
      </w:tr>
      <w:tr w:rsidR="00821E5D" w:rsidRPr="00D722C4" w:rsidTr="00934B71">
        <w:trPr>
          <w:jc w:val="right"/>
        </w:trPr>
        <w:tc>
          <w:tcPr>
            <w:tcW w:w="7230" w:type="dxa"/>
            <w:tcBorders>
              <w:top w:val="single" w:sz="4" w:space="0" w:color="auto"/>
              <w:bottom w:val="single" w:sz="12" w:space="0" w:color="auto"/>
            </w:tcBorders>
            <w:shd w:val="clear" w:color="auto" w:fill="auto"/>
          </w:tcPr>
          <w:p w:rsidR="00821E5D" w:rsidRPr="00D722C4" w:rsidRDefault="00821E5D" w:rsidP="00934B71">
            <w:pPr>
              <w:autoSpaceDE w:val="0"/>
              <w:autoSpaceDN w:val="0"/>
              <w:adjustRightInd w:val="0"/>
              <w:spacing w:before="40" w:after="40"/>
              <w:jc w:val="center"/>
              <w:rPr>
                <w:b/>
                <w:iCs/>
                <w:sz w:val="18"/>
                <w:szCs w:val="18"/>
                <w:lang w:val="en-GB"/>
              </w:rPr>
            </w:pPr>
            <w:r w:rsidRPr="00D722C4">
              <w:rPr>
                <w:b/>
                <w:iCs/>
                <w:sz w:val="18"/>
                <w:szCs w:val="18"/>
                <w:lang w:val="en-GB"/>
              </w:rPr>
              <w:t>2022</w:t>
            </w:r>
          </w:p>
        </w:tc>
        <w:tc>
          <w:tcPr>
            <w:tcW w:w="7655" w:type="dxa"/>
            <w:tcBorders>
              <w:top w:val="single" w:sz="4" w:space="0" w:color="auto"/>
              <w:bottom w:val="single" w:sz="12" w:space="0" w:color="auto"/>
            </w:tcBorders>
            <w:shd w:val="clear" w:color="auto" w:fill="auto"/>
          </w:tcPr>
          <w:p w:rsidR="00821E5D" w:rsidRPr="00D722C4" w:rsidRDefault="00821E5D" w:rsidP="00934B71">
            <w:pPr>
              <w:autoSpaceDE w:val="0"/>
              <w:autoSpaceDN w:val="0"/>
              <w:adjustRightInd w:val="0"/>
              <w:spacing w:before="40" w:after="40"/>
              <w:jc w:val="center"/>
              <w:rPr>
                <w:b/>
                <w:iCs/>
                <w:sz w:val="18"/>
                <w:szCs w:val="18"/>
                <w:lang w:val="en-GB"/>
              </w:rPr>
            </w:pPr>
            <w:r w:rsidRPr="00D722C4">
              <w:rPr>
                <w:b/>
                <w:iCs/>
                <w:sz w:val="18"/>
                <w:szCs w:val="18"/>
                <w:lang w:val="en-GB"/>
              </w:rPr>
              <w:t>2023</w:t>
            </w:r>
          </w:p>
        </w:tc>
      </w:tr>
      <w:tr w:rsidR="00821E5D" w:rsidRPr="00821E5D" w:rsidTr="00934B71">
        <w:trPr>
          <w:jc w:val="right"/>
        </w:trPr>
        <w:tc>
          <w:tcPr>
            <w:tcW w:w="7230" w:type="dxa"/>
            <w:tcBorders>
              <w:top w:val="single" w:sz="12" w:space="0" w:color="auto"/>
            </w:tcBorders>
            <w:shd w:val="clear" w:color="auto" w:fill="auto"/>
          </w:tcPr>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Annex I:</w:t>
            </w:r>
          </w:p>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Amendment proposals are presented and discussed</w:t>
            </w:r>
          </w:p>
        </w:tc>
        <w:tc>
          <w:tcPr>
            <w:tcW w:w="7655" w:type="dxa"/>
            <w:tcBorders>
              <w:top w:val="single" w:sz="12" w:space="0" w:color="auto"/>
            </w:tcBorders>
            <w:shd w:val="clear" w:color="auto" w:fill="auto"/>
          </w:tcPr>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Annex I:</w:t>
            </w:r>
          </w:p>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 xml:space="preserve">Amendment proposals are negotiated and possibly adopted </w:t>
            </w:r>
          </w:p>
        </w:tc>
      </w:tr>
      <w:tr w:rsidR="00821E5D" w:rsidRPr="00821E5D" w:rsidTr="00934B71">
        <w:trPr>
          <w:jc w:val="right"/>
        </w:trPr>
        <w:tc>
          <w:tcPr>
            <w:tcW w:w="7230" w:type="dxa"/>
            <w:tcBorders>
              <w:bottom w:val="single" w:sz="12" w:space="0" w:color="auto"/>
            </w:tcBorders>
            <w:shd w:val="clear" w:color="auto" w:fill="auto"/>
          </w:tcPr>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Annex III:</w:t>
            </w:r>
          </w:p>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Amendment proposals are presented and discussed</w:t>
            </w:r>
          </w:p>
        </w:tc>
        <w:tc>
          <w:tcPr>
            <w:tcW w:w="7655" w:type="dxa"/>
            <w:tcBorders>
              <w:bottom w:val="single" w:sz="12" w:space="0" w:color="auto"/>
            </w:tcBorders>
            <w:shd w:val="clear" w:color="auto" w:fill="auto"/>
          </w:tcPr>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Annex III:</w:t>
            </w:r>
          </w:p>
          <w:p w:rsidR="00821E5D" w:rsidRPr="00D722C4" w:rsidRDefault="00821E5D" w:rsidP="00934B71">
            <w:pPr>
              <w:autoSpaceDE w:val="0"/>
              <w:autoSpaceDN w:val="0"/>
              <w:adjustRightInd w:val="0"/>
              <w:spacing w:before="40" w:after="40"/>
              <w:rPr>
                <w:iCs/>
                <w:sz w:val="18"/>
                <w:szCs w:val="18"/>
                <w:lang w:val="en-GB"/>
              </w:rPr>
            </w:pPr>
            <w:r w:rsidRPr="00D722C4">
              <w:rPr>
                <w:iCs/>
                <w:sz w:val="18"/>
                <w:szCs w:val="18"/>
                <w:lang w:val="en-GB"/>
              </w:rPr>
              <w:t xml:space="preserve">Amendment proposals are negotiated and possibly adopted </w:t>
            </w:r>
          </w:p>
        </w:tc>
      </w:tr>
    </w:tbl>
    <w:p w:rsidR="00F935A6" w:rsidRPr="00821E5D" w:rsidRDefault="00F935A6" w:rsidP="00821E5D">
      <w:pPr>
        <w:rPr>
          <w:lang w:val="en-US"/>
        </w:rPr>
      </w:pPr>
      <w:bookmarkStart w:id="1" w:name="_GoBack"/>
      <w:bookmarkEnd w:id="1"/>
    </w:p>
    <w:sectPr w:rsidR="00F935A6" w:rsidRPr="00821E5D">
      <w:headerReference w:type="even" r:id="rId7"/>
      <w:footerReference w:type="even"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161" w:rsidRDefault="00B06161" w:rsidP="009C1168">
      <w:r>
        <w:separator/>
      </w:r>
    </w:p>
  </w:endnote>
  <w:endnote w:type="continuationSeparator" w:id="0">
    <w:p w:rsidR="00B06161" w:rsidRDefault="00B06161" w:rsidP="009C1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7A1" w:rsidRDefault="009F27A1" w:rsidP="00095A4F">
    <w:pPr>
      <w:pStyle w:val="Footer-pool"/>
    </w:pPr>
    <w:r>
      <w:fldChar w:fldCharType="begin"/>
    </w:r>
    <w:r>
      <w:instrText xml:space="preserve"> PAGE </w:instrText>
    </w:r>
    <w:r>
      <w:fldChar w:fldCharType="separate"/>
    </w:r>
    <w:r>
      <w:rPr>
        <w:noProof/>
      </w:rPr>
      <w:t>82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161" w:rsidRDefault="00B06161" w:rsidP="009C1168">
      <w:r>
        <w:separator/>
      </w:r>
    </w:p>
  </w:footnote>
  <w:footnote w:type="continuationSeparator" w:id="0">
    <w:p w:rsidR="00B06161" w:rsidRDefault="00B06161" w:rsidP="009C1168">
      <w:r>
        <w:continuationSeparator/>
      </w:r>
    </w:p>
  </w:footnote>
  <w:footnote w:id="1">
    <w:p w:rsidR="00821E5D" w:rsidRPr="00750A35" w:rsidRDefault="00821E5D" w:rsidP="00821E5D">
      <w:pPr>
        <w:tabs>
          <w:tab w:val="left" w:pos="624"/>
        </w:tabs>
        <w:spacing w:before="20" w:after="40"/>
        <w:ind w:left="1247" w:right="57"/>
        <w:rPr>
          <w:sz w:val="18"/>
          <w:szCs w:val="18"/>
          <w:lang w:val="en-GB"/>
        </w:rPr>
      </w:pPr>
      <w:r w:rsidRPr="00750A35">
        <w:rPr>
          <w:sz w:val="18"/>
          <w:szCs w:val="18"/>
          <w:vertAlign w:val="superscript"/>
          <w:lang w:val="en-GB"/>
        </w:rPr>
        <w:footnoteRef/>
      </w:r>
      <w:r w:rsidRPr="00750A35">
        <w:rPr>
          <w:sz w:val="18"/>
          <w:szCs w:val="18"/>
          <w:vertAlign w:val="superscript"/>
          <w:lang w:val="en-GB"/>
        </w:rPr>
        <w:t xml:space="preserve"> </w:t>
      </w:r>
      <w:r w:rsidRPr="00750A35">
        <w:rPr>
          <w:sz w:val="18"/>
          <w:szCs w:val="18"/>
          <w:lang w:val="en-GB"/>
        </w:rPr>
        <w:t>UNEP/CHW/OEWG.11/INF/30.</w:t>
      </w:r>
    </w:p>
  </w:footnote>
  <w:footnote w:id="2">
    <w:p w:rsidR="00821E5D" w:rsidRPr="00750A35" w:rsidRDefault="00821E5D" w:rsidP="00821E5D">
      <w:pPr>
        <w:tabs>
          <w:tab w:val="left" w:pos="624"/>
        </w:tabs>
        <w:spacing w:before="20" w:after="40"/>
        <w:ind w:left="1247" w:right="57"/>
        <w:rPr>
          <w:sz w:val="18"/>
          <w:szCs w:val="18"/>
          <w:lang w:val="en-GB"/>
        </w:rPr>
      </w:pPr>
      <w:r w:rsidRPr="00750A35">
        <w:rPr>
          <w:sz w:val="18"/>
          <w:szCs w:val="18"/>
          <w:vertAlign w:val="superscript"/>
          <w:lang w:val="en-GB"/>
        </w:rPr>
        <w:footnoteRef/>
      </w:r>
      <w:r w:rsidRPr="00750A35">
        <w:rPr>
          <w:sz w:val="18"/>
          <w:szCs w:val="18"/>
          <w:vertAlign w:val="superscript"/>
          <w:lang w:val="en-GB"/>
        </w:rPr>
        <w:t xml:space="preserve"> </w:t>
      </w:r>
      <w:r w:rsidRPr="00750A35">
        <w:rPr>
          <w:sz w:val="18"/>
          <w:szCs w:val="18"/>
          <w:lang w:val="en-GB"/>
        </w:rPr>
        <w:t>UNEP/CHW.14/14.</w:t>
      </w:r>
    </w:p>
  </w:footnote>
  <w:footnote w:id="3">
    <w:p w:rsidR="00821E5D" w:rsidRPr="00750A35" w:rsidRDefault="00821E5D" w:rsidP="00821E5D">
      <w:pPr>
        <w:tabs>
          <w:tab w:val="left" w:pos="624"/>
        </w:tabs>
        <w:spacing w:before="20" w:after="40"/>
        <w:ind w:left="1247" w:right="57"/>
        <w:rPr>
          <w:sz w:val="18"/>
          <w:szCs w:val="18"/>
          <w:lang w:val="en-GB"/>
        </w:rPr>
      </w:pPr>
      <w:r w:rsidRPr="00750A35">
        <w:rPr>
          <w:sz w:val="18"/>
          <w:szCs w:val="18"/>
          <w:vertAlign w:val="superscript"/>
          <w:lang w:val="en-GB"/>
        </w:rPr>
        <w:footnoteRef/>
      </w:r>
      <w:r w:rsidRPr="00750A35">
        <w:rPr>
          <w:sz w:val="18"/>
          <w:szCs w:val="18"/>
          <w:vertAlign w:val="superscript"/>
          <w:lang w:val="en-GB"/>
        </w:rPr>
        <w:t xml:space="preserve"> </w:t>
      </w:r>
      <w:r w:rsidRPr="00750A35">
        <w:rPr>
          <w:sz w:val="18"/>
          <w:szCs w:val="18"/>
          <w:lang w:val="en-GB"/>
        </w:rPr>
        <w:t>UNEP/CHW.14/INF/23.</w:t>
      </w:r>
    </w:p>
  </w:footnote>
  <w:footnote w:id="4">
    <w:p w:rsidR="00821E5D" w:rsidRPr="00750A35" w:rsidRDefault="00821E5D" w:rsidP="00821E5D">
      <w:pPr>
        <w:tabs>
          <w:tab w:val="left" w:pos="624"/>
        </w:tabs>
        <w:spacing w:before="20" w:after="40"/>
        <w:ind w:left="1247" w:right="57"/>
        <w:rPr>
          <w:sz w:val="18"/>
          <w:szCs w:val="18"/>
          <w:lang w:val="en-GB"/>
        </w:rPr>
      </w:pPr>
      <w:r w:rsidRPr="00750A35">
        <w:rPr>
          <w:sz w:val="18"/>
          <w:szCs w:val="18"/>
          <w:vertAlign w:val="superscript"/>
          <w:lang w:val="en-GB"/>
        </w:rPr>
        <w:footnoteRef/>
      </w:r>
      <w:r w:rsidRPr="00750A35">
        <w:rPr>
          <w:sz w:val="18"/>
          <w:szCs w:val="18"/>
          <w:vertAlign w:val="superscript"/>
          <w:lang w:val="en-GB"/>
        </w:rPr>
        <w:t xml:space="preserve"> </w:t>
      </w:r>
      <w:r w:rsidRPr="00750A35">
        <w:rPr>
          <w:sz w:val="18"/>
          <w:szCs w:val="18"/>
          <w:lang w:val="en-GB"/>
        </w:rPr>
        <w:t>UNEP/CHW.14/INF/24/Rev.1.</w:t>
      </w:r>
    </w:p>
  </w:footnote>
  <w:footnote w:id="5">
    <w:p w:rsidR="00821E5D" w:rsidRPr="00750A35" w:rsidRDefault="00821E5D" w:rsidP="00821E5D">
      <w:pPr>
        <w:tabs>
          <w:tab w:val="left" w:pos="624"/>
        </w:tabs>
        <w:spacing w:before="20" w:after="40"/>
        <w:ind w:left="1247" w:right="57"/>
        <w:rPr>
          <w:sz w:val="18"/>
          <w:szCs w:val="18"/>
          <w:lang w:val="en-GB"/>
        </w:rPr>
      </w:pPr>
      <w:r w:rsidRPr="00750A35">
        <w:rPr>
          <w:sz w:val="18"/>
          <w:szCs w:val="18"/>
          <w:vertAlign w:val="superscript"/>
          <w:lang w:val="en-GB"/>
        </w:rPr>
        <w:footnoteRef/>
      </w:r>
      <w:r w:rsidRPr="00750A35">
        <w:rPr>
          <w:sz w:val="18"/>
          <w:szCs w:val="18"/>
          <w:vertAlign w:val="superscript"/>
          <w:lang w:val="en-GB"/>
        </w:rPr>
        <w:t xml:space="preserve"> </w:t>
      </w:r>
      <w:r w:rsidRPr="00750A35">
        <w:rPr>
          <w:sz w:val="18"/>
          <w:szCs w:val="18"/>
          <w:lang w:val="en-GB"/>
        </w:rPr>
        <w:t>UNEP/CHW.14/INF/23.</w:t>
      </w:r>
    </w:p>
  </w:footnote>
  <w:footnote w:id="6">
    <w:p w:rsidR="00821E5D" w:rsidRPr="00750A35" w:rsidRDefault="00821E5D" w:rsidP="00821E5D">
      <w:pPr>
        <w:tabs>
          <w:tab w:val="left" w:pos="624"/>
        </w:tabs>
        <w:spacing w:before="20" w:after="40"/>
        <w:ind w:left="1247" w:right="57"/>
        <w:rPr>
          <w:sz w:val="18"/>
          <w:szCs w:val="18"/>
          <w:lang w:val="en-GB"/>
        </w:rPr>
      </w:pPr>
      <w:r w:rsidRPr="00750A35">
        <w:rPr>
          <w:sz w:val="18"/>
          <w:szCs w:val="18"/>
          <w:vertAlign w:val="superscript"/>
          <w:lang w:val="en-GB"/>
        </w:rPr>
        <w:footnoteRef/>
      </w:r>
      <w:r w:rsidRPr="00750A35">
        <w:rPr>
          <w:sz w:val="18"/>
          <w:szCs w:val="18"/>
          <w:vertAlign w:val="superscript"/>
          <w:lang w:val="en-GB"/>
        </w:rPr>
        <w:t xml:space="preserve"> </w:t>
      </w:r>
      <w:r w:rsidRPr="00750A35">
        <w:rPr>
          <w:sz w:val="18"/>
          <w:szCs w:val="18"/>
          <w:lang w:val="en-GB"/>
        </w:rPr>
        <w:t>See section III of and annex II to decision BC-13/2 on the follow-up to the Indonesian-Swiss country-led initiative to improve the effectiveness of the Basel Convention.</w:t>
      </w:r>
    </w:p>
  </w:footnote>
  <w:footnote w:id="7">
    <w:p w:rsidR="00821E5D" w:rsidRPr="00750A35" w:rsidRDefault="00821E5D" w:rsidP="00821E5D">
      <w:pPr>
        <w:tabs>
          <w:tab w:val="left" w:pos="624"/>
        </w:tabs>
        <w:spacing w:before="20" w:after="40"/>
        <w:ind w:left="1247" w:right="57"/>
        <w:rPr>
          <w:sz w:val="18"/>
          <w:szCs w:val="18"/>
          <w:lang w:val="en-GB"/>
        </w:rPr>
      </w:pPr>
      <w:r w:rsidRPr="00750A35">
        <w:rPr>
          <w:sz w:val="18"/>
          <w:szCs w:val="18"/>
          <w:vertAlign w:val="superscript"/>
          <w:lang w:val="en-GB"/>
        </w:rPr>
        <w:footnoteRef/>
      </w:r>
      <w:r w:rsidRPr="00750A35">
        <w:rPr>
          <w:sz w:val="18"/>
          <w:szCs w:val="18"/>
          <w:vertAlign w:val="superscript"/>
          <w:lang w:val="en-GB"/>
        </w:rPr>
        <w:t xml:space="preserve"> </w:t>
      </w:r>
      <w:r w:rsidRPr="00750A35">
        <w:rPr>
          <w:sz w:val="18"/>
          <w:szCs w:val="18"/>
          <w:lang w:val="en-GB"/>
        </w:rPr>
        <w:t>See decision BC-13/2, section III and annex II.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7A1" w:rsidRPr="001817D8" w:rsidRDefault="009F27A1" w:rsidP="00A3503B">
    <w:pPr>
      <w:pStyle w:val="Header-pool"/>
    </w:pPr>
    <w:r>
      <w:rPr>
        <w:bCs/>
      </w:rPr>
      <w:t>U</w:t>
    </w:r>
    <w:r w:rsidRPr="00123A6A">
      <w:rPr>
        <w:bCs/>
      </w:rPr>
      <w:t>NEP</w:t>
    </w:r>
    <w:r>
      <w:t>/CHW.14/28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7A1" w:rsidRDefault="009F27A1">
    <w:r>
      <w:rPr>
        <w:noProof/>
      </w:rPr>
      <mc:AlternateContent>
        <mc:Choice Requires="wps">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6612255" cy="1889125"/>
              <wp:effectExtent l="0" t="1828800" r="0" b="17684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612255" cy="18891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9F27A1" w:rsidRDefault="009F27A1" w:rsidP="009F27A1">
                          <w:pPr>
                            <w:jc w:val="center"/>
                            <w:rPr>
                              <w:sz w:val="24"/>
                              <w:szCs w:val="24"/>
                            </w:rPr>
                          </w:pPr>
                          <w:r>
                            <w:rPr>
                              <w:color w:val="C0C0C0"/>
                              <w:sz w:val="2"/>
                              <w:szCs w:val="2"/>
                            </w:rPr>
                            <w:t>ADVANCE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520.65pt;height:148.7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" o:allowincell="f" filled="f" stroked="f">
              <v:stroke joinstyle="round"/>
              <o:lock v:ext="edit" shapetype="t"/>
              <v:textbox style="mso-fit-shape-to-text:t">
                <w:txbxContent>
                  <w:p w:rsidR="009F27A1" w:rsidRDefault="009F27A1" w:rsidP="009F27A1">
                    <w:pPr>
                      <w:jc w:val="center"/>
                      <w:rPr>
                        <w:sz w:val="24"/>
                        <w:szCs w:val="24"/>
                      </w:rPr>
                    </w:pPr>
                    <w:r>
                      <w:rPr>
                        <w:color w:val="C0C0C0"/>
                        <w:sz w:val="2"/>
                        <w:szCs w:val="2"/>
                      </w:rPr>
                      <w:t>ADVANCE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13A7"/>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1" w15:restartNumberingAfterBreak="0">
    <w:nsid w:val="3B235AF7"/>
    <w:multiLevelType w:val="hybridMultilevel"/>
    <w:tmpl w:val="F306E382"/>
    <w:lvl w:ilvl="0" w:tplc="0409000F">
      <w:start w:val="1"/>
      <w:numFmt w:val="decimal"/>
      <w:lvlText w:val="%1."/>
      <w:lvlJc w:val="left"/>
      <w:pPr>
        <w:ind w:left="1344" w:hanging="360"/>
      </w:p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40681B62"/>
    <w:multiLevelType w:val="hybridMultilevel"/>
    <w:tmpl w:val="899477E2"/>
    <w:lvl w:ilvl="0" w:tplc="78083696">
      <w:start w:val="1"/>
      <w:numFmt w:val="lowerLetter"/>
      <w:lvlText w:val="(%1)"/>
      <w:lvlJc w:val="left"/>
      <w:pPr>
        <w:ind w:left="720" w:hanging="360"/>
      </w:pPr>
      <w:rPr>
        <w:rFonts w:hint="default"/>
      </w:rPr>
    </w:lvl>
    <w:lvl w:ilvl="1" w:tplc="7808369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75583A"/>
    <w:multiLevelType w:val="multilevel"/>
    <w:tmpl w:val="D07A6E4C"/>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4" w15:restartNumberingAfterBreak="0">
    <w:nsid w:val="45951F39"/>
    <w:multiLevelType w:val="hybridMultilevel"/>
    <w:tmpl w:val="4502F364"/>
    <w:lvl w:ilvl="0" w:tplc="6C22DE42">
      <w:start w:val="1"/>
      <w:numFmt w:val="lowerLetter"/>
      <w:lvlText w:val="(%1)"/>
      <w:lvlJc w:val="left"/>
      <w:pPr>
        <w:ind w:left="644" w:hanging="360"/>
      </w:pPr>
      <w:rPr>
        <w:rFonts w:hint="default"/>
      </w:rPr>
    </w:lvl>
    <w:lvl w:ilvl="1" w:tplc="100C0019" w:tentative="1">
      <w:start w:val="1"/>
      <w:numFmt w:val="lowerLetter"/>
      <w:lvlText w:val="%2."/>
      <w:lvlJc w:val="left"/>
      <w:pPr>
        <w:ind w:left="1364" w:hanging="360"/>
      </w:pPr>
    </w:lvl>
    <w:lvl w:ilvl="2" w:tplc="100C001B" w:tentative="1">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5" w15:restartNumberingAfterBreak="0">
    <w:nsid w:val="52ED134B"/>
    <w:multiLevelType w:val="multilevel"/>
    <w:tmpl w:val="C76AD634"/>
    <w:lvl w:ilvl="0">
      <w:start w:val="1"/>
      <w:numFmt w:val="decimal"/>
      <w:lvlText w:val="%1."/>
      <w:lvlJc w:val="left"/>
      <w:pPr>
        <w:tabs>
          <w:tab w:val="num" w:pos="9716"/>
        </w:tabs>
        <w:ind w:left="9716" w:hanging="360"/>
      </w:pPr>
      <w:rPr>
        <w:rFonts w:ascii="Times New Roman" w:eastAsia="Times New Roman" w:hAnsi="Times New Roman" w:cs="Times New Roman"/>
      </w:rPr>
    </w:lvl>
    <w:lvl w:ilvl="1">
      <w:start w:val="1"/>
      <w:numFmt w:val="decimal"/>
      <w:lvlText w:val="(%2)"/>
      <w:lvlJc w:val="left"/>
      <w:pPr>
        <w:ind w:left="10436" w:hanging="360"/>
      </w:pPr>
      <w:rPr>
        <w:rFonts w:cs="Times New Roman" w:hint="default"/>
        <w:sz w:val="20"/>
      </w:rPr>
    </w:lvl>
    <w:lvl w:ilvl="2">
      <w:start w:val="1"/>
      <w:numFmt w:val="decimal"/>
      <w:lvlText w:val="%3."/>
      <w:lvlJc w:val="left"/>
      <w:pPr>
        <w:tabs>
          <w:tab w:val="num" w:pos="11156"/>
        </w:tabs>
        <w:ind w:left="11156" w:hanging="360"/>
      </w:pPr>
      <w:rPr>
        <w:rFonts w:cs="Times New Roman"/>
      </w:rPr>
    </w:lvl>
    <w:lvl w:ilvl="3">
      <w:start w:val="1"/>
      <w:numFmt w:val="decimal"/>
      <w:lvlText w:val="%4."/>
      <w:lvlJc w:val="left"/>
      <w:pPr>
        <w:tabs>
          <w:tab w:val="num" w:pos="11876"/>
        </w:tabs>
        <w:ind w:left="11876" w:hanging="360"/>
      </w:pPr>
      <w:rPr>
        <w:rFonts w:cs="Times New Roman"/>
      </w:rPr>
    </w:lvl>
    <w:lvl w:ilvl="4">
      <w:start w:val="1"/>
      <w:numFmt w:val="decimal"/>
      <w:lvlText w:val="%5."/>
      <w:lvlJc w:val="left"/>
      <w:pPr>
        <w:tabs>
          <w:tab w:val="num" w:pos="12596"/>
        </w:tabs>
        <w:ind w:left="12596" w:hanging="360"/>
      </w:pPr>
      <w:rPr>
        <w:rFonts w:cs="Times New Roman"/>
      </w:rPr>
    </w:lvl>
    <w:lvl w:ilvl="5">
      <w:start w:val="1"/>
      <w:numFmt w:val="decimal"/>
      <w:lvlText w:val="%6."/>
      <w:lvlJc w:val="left"/>
      <w:pPr>
        <w:tabs>
          <w:tab w:val="num" w:pos="13316"/>
        </w:tabs>
        <w:ind w:left="13316" w:hanging="360"/>
      </w:pPr>
      <w:rPr>
        <w:rFonts w:cs="Times New Roman"/>
      </w:rPr>
    </w:lvl>
    <w:lvl w:ilvl="6">
      <w:start w:val="1"/>
      <w:numFmt w:val="decimal"/>
      <w:lvlText w:val="%7."/>
      <w:lvlJc w:val="left"/>
      <w:pPr>
        <w:tabs>
          <w:tab w:val="num" w:pos="14036"/>
        </w:tabs>
        <w:ind w:left="14036" w:hanging="360"/>
      </w:pPr>
      <w:rPr>
        <w:rFonts w:cs="Times New Roman"/>
      </w:rPr>
    </w:lvl>
    <w:lvl w:ilvl="7">
      <w:start w:val="1"/>
      <w:numFmt w:val="decimal"/>
      <w:lvlText w:val="%8."/>
      <w:lvlJc w:val="left"/>
      <w:pPr>
        <w:tabs>
          <w:tab w:val="num" w:pos="14756"/>
        </w:tabs>
        <w:ind w:left="14756" w:hanging="360"/>
      </w:pPr>
      <w:rPr>
        <w:rFonts w:cs="Times New Roman"/>
      </w:rPr>
    </w:lvl>
    <w:lvl w:ilvl="8">
      <w:start w:val="1"/>
      <w:numFmt w:val="decimal"/>
      <w:lvlText w:val="%9."/>
      <w:lvlJc w:val="left"/>
      <w:pPr>
        <w:tabs>
          <w:tab w:val="num" w:pos="15476"/>
        </w:tabs>
        <w:ind w:left="15476" w:hanging="360"/>
      </w:pPr>
      <w:rPr>
        <w:rFonts w:cs="Times New Roman"/>
      </w:rPr>
    </w:lvl>
  </w:abstractNum>
  <w:abstractNum w:abstractNumId="6" w15:restartNumberingAfterBreak="0">
    <w:nsid w:val="5360442B"/>
    <w:multiLevelType w:val="hybridMultilevel"/>
    <w:tmpl w:val="96CEEA58"/>
    <w:lvl w:ilvl="0" w:tplc="0A1E7442">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F444AED"/>
    <w:multiLevelType w:val="hybridMultilevel"/>
    <w:tmpl w:val="B05419A8"/>
    <w:lvl w:ilvl="0" w:tplc="73BECF00">
      <w:start w:val="1"/>
      <w:numFmt w:val="lowerLetter"/>
      <w:lvlText w:val="(%1)"/>
      <w:lvlJc w:val="left"/>
      <w:pPr>
        <w:ind w:left="630" w:hanging="63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lvlOverride w:ilvl="0">
      <w:lvl w:ilvl="0">
        <w:start w:val="1"/>
        <w:numFmt w:val="decimal"/>
        <w:pStyle w:val="Normalnumber"/>
        <w:lvlText w:val="%1."/>
        <w:lvlJc w:val="left"/>
        <w:pPr>
          <w:tabs>
            <w:tab w:val="num" w:pos="1134"/>
          </w:tabs>
          <w:ind w:left="1247" w:firstLine="0"/>
        </w:pPr>
        <w:rPr>
          <w:rFonts w:hint="default"/>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4">
    <w:abstractNumId w:val="0"/>
    <w:lvlOverride w:ilvl="0">
      <w:startOverride w:val="1"/>
      <w:lvl w:ilvl="0">
        <w:start w:val="1"/>
        <w:numFmt w:val="decimal"/>
        <w:lvlText w:val="%1."/>
        <w:lvlJc w:val="left"/>
        <w:pPr>
          <w:tabs>
            <w:tab w:val="num" w:pos="1191"/>
          </w:tabs>
          <w:ind w:left="1871"/>
        </w:pPr>
        <w:rPr>
          <w:rFonts w:cs="Times New Roman" w:hint="default"/>
          <w:b w:val="0"/>
          <w:bCs/>
          <w:i w:val="0"/>
          <w:iCs/>
          <w:lang w:val="en-US"/>
        </w:rPr>
      </w:lvl>
    </w:lvlOverride>
    <w:lvlOverride w:ilvl="1">
      <w:startOverride w:val="1"/>
      <w:lvl w:ilvl="1">
        <w:start w:val="1"/>
        <w:numFmt w:val="lowerLetter"/>
        <w:lvlText w:val="(%2)"/>
        <w:lvlJc w:val="left"/>
        <w:pPr>
          <w:tabs>
            <w:tab w:val="num" w:pos="1191"/>
          </w:tabs>
          <w:ind w:left="1871" w:firstLine="567"/>
        </w:pPr>
        <w:rPr>
          <w:rFonts w:cs="Times New Roman" w:hint="default"/>
        </w:rPr>
      </w:lvl>
    </w:lvlOverride>
    <w:lvlOverride w:ilvl="2">
      <w:startOverride w:val="1"/>
      <w:lvl w:ilvl="2">
        <w:start w:val="1"/>
        <w:numFmt w:val="lowerRoman"/>
        <w:lvlText w:val="(%3)"/>
        <w:lvlJc w:val="left"/>
        <w:pPr>
          <w:tabs>
            <w:tab w:val="num" w:pos="1191"/>
          </w:tabs>
          <w:ind w:left="3572" w:hanging="567"/>
        </w:pPr>
        <w:rPr>
          <w:rFonts w:cs="Times New Roman" w:hint="default"/>
        </w:rPr>
      </w:lvl>
    </w:lvlOverride>
    <w:lvlOverride w:ilvl="3">
      <w:startOverride w:val="1"/>
      <w:lvl w:ilvl="3">
        <w:start w:val="1"/>
        <w:numFmt w:val="lowerLetter"/>
        <w:lvlText w:val="%4."/>
        <w:lvlJc w:val="left"/>
        <w:pPr>
          <w:tabs>
            <w:tab w:val="num" w:pos="1191"/>
          </w:tabs>
          <w:ind w:left="4139" w:hanging="567"/>
        </w:pPr>
        <w:rPr>
          <w:rFonts w:cs="Times New Roman" w:hint="default"/>
        </w:rPr>
      </w:lvl>
    </w:lvlOverride>
    <w:lvlOverride w:ilvl="4">
      <w:startOverride w:val="1"/>
      <w:lvl w:ilvl="4">
        <w:start w:val="1"/>
        <w:numFmt w:val="lowerLetter"/>
        <w:lvlText w:val="%5."/>
        <w:lvlJc w:val="left"/>
        <w:pPr>
          <w:tabs>
            <w:tab w:val="num" w:pos="7172"/>
          </w:tabs>
          <w:ind w:left="7172" w:hanging="360"/>
        </w:pPr>
        <w:rPr>
          <w:rFonts w:cs="Times New Roman" w:hint="default"/>
        </w:rPr>
      </w:lvl>
    </w:lvlOverride>
    <w:lvlOverride w:ilvl="5">
      <w:startOverride w:val="1"/>
      <w:lvl w:ilvl="5">
        <w:start w:val="1"/>
        <w:numFmt w:val="lowerRoman"/>
        <w:lvlText w:val="%6."/>
        <w:lvlJc w:val="right"/>
        <w:pPr>
          <w:tabs>
            <w:tab w:val="num" w:pos="7892"/>
          </w:tabs>
          <w:ind w:left="7892" w:hanging="180"/>
        </w:pPr>
        <w:rPr>
          <w:rFonts w:cs="Times New Roman" w:hint="default"/>
        </w:rPr>
      </w:lvl>
    </w:lvlOverride>
    <w:lvlOverride w:ilvl="6">
      <w:startOverride w:val="1"/>
      <w:lvl w:ilvl="6">
        <w:start w:val="1"/>
        <w:numFmt w:val="decimal"/>
        <w:lvlText w:val="%7."/>
        <w:lvlJc w:val="left"/>
        <w:pPr>
          <w:tabs>
            <w:tab w:val="num" w:pos="8612"/>
          </w:tabs>
          <w:ind w:left="8612" w:hanging="360"/>
        </w:pPr>
        <w:rPr>
          <w:rFonts w:cs="Times New Roman" w:hint="default"/>
        </w:rPr>
      </w:lvl>
    </w:lvlOverride>
    <w:lvlOverride w:ilvl="7">
      <w:startOverride w:val="1"/>
      <w:lvl w:ilvl="7">
        <w:start w:val="1"/>
        <w:numFmt w:val="lowerLetter"/>
        <w:lvlText w:val="%8."/>
        <w:lvlJc w:val="left"/>
        <w:pPr>
          <w:tabs>
            <w:tab w:val="num" w:pos="9332"/>
          </w:tabs>
          <w:ind w:left="9332" w:hanging="360"/>
        </w:pPr>
        <w:rPr>
          <w:rFonts w:cs="Times New Roman" w:hint="default"/>
        </w:rPr>
      </w:lvl>
    </w:lvlOverride>
    <w:lvlOverride w:ilvl="8">
      <w:startOverride w:val="1"/>
      <w:lvl w:ilvl="8">
        <w:start w:val="1"/>
        <w:numFmt w:val="lowerRoman"/>
        <w:lvlText w:val="%9."/>
        <w:lvlJc w:val="right"/>
        <w:pPr>
          <w:tabs>
            <w:tab w:val="num" w:pos="10052"/>
          </w:tabs>
          <w:ind w:left="10052" w:hanging="180"/>
        </w:pPr>
        <w:rPr>
          <w:rFonts w:cs="Times New Roman" w:hint="default"/>
        </w:rPr>
      </w:lvl>
    </w:lvlOverride>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68"/>
    <w:rsid w:val="00821E5D"/>
    <w:rsid w:val="009C1168"/>
    <w:rsid w:val="009F27A1"/>
    <w:rsid w:val="00B06161"/>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49425"/>
  <w15:chartTrackingRefBased/>
  <w15:docId w15:val="{3D701EFC-FBFD-4E7C-9DB1-9B17C00E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168"/>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9C1168"/>
    <w:pPr>
      <w:keepNext/>
      <w:keepLines/>
      <w:tabs>
        <w:tab w:val="right" w:pos="851"/>
        <w:tab w:val="left" w:pos="4082"/>
      </w:tabs>
      <w:suppressAutoHyphens/>
      <w:spacing w:before="240" w:after="120"/>
      <w:ind w:left="1247" w:right="284" w:hanging="1247"/>
    </w:pPr>
    <w:rPr>
      <w:b/>
      <w:sz w:val="28"/>
      <w:szCs w:val="28"/>
      <w:lang w:val="en-GB"/>
    </w:rPr>
  </w:style>
  <w:style w:type="paragraph" w:customStyle="1" w:styleId="NormalNonumber">
    <w:name w:val="Normal_No_number"/>
    <w:basedOn w:val="Normal"/>
    <w:link w:val="NormalNonumberChar"/>
    <w:qFormat/>
    <w:rsid w:val="009C1168"/>
    <w:pPr>
      <w:tabs>
        <w:tab w:val="left" w:pos="4082"/>
      </w:tabs>
      <w:spacing w:after="120"/>
      <w:ind w:left="1247"/>
    </w:pPr>
    <w:rPr>
      <w:lang w:val="en-GB"/>
    </w:rPr>
  </w:style>
  <w:style w:type="character" w:customStyle="1" w:styleId="NormalNonumberChar">
    <w:name w:val="Normal_No_number Char"/>
    <w:link w:val="NormalNonumber"/>
    <w:locked/>
    <w:rsid w:val="009C1168"/>
    <w:rPr>
      <w:rFonts w:ascii="Times New Roman" w:eastAsia="Times New Roman" w:hAnsi="Times New Roman" w:cs="Times New Roman"/>
      <w:sz w:val="20"/>
      <w:szCs w:val="20"/>
      <w:lang w:val="en-GB" w:eastAsia="en-US"/>
    </w:rPr>
  </w:style>
  <w:style w:type="paragraph" w:customStyle="1" w:styleId="Normal-pool">
    <w:name w:val="Normal-pool"/>
    <w:link w:val="Normal-poolChar"/>
    <w:qFormat/>
    <w:rsid w:val="009C1168"/>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poolChar">
    <w:name w:val="Normal-pool Char"/>
    <w:link w:val="Normal-pool"/>
    <w:rsid w:val="009C1168"/>
    <w:rPr>
      <w:rFonts w:ascii="Times New Roman" w:eastAsia="Times New Roman" w:hAnsi="Times New Roman" w:cs="Times New Roman"/>
      <w:sz w:val="20"/>
      <w:szCs w:val="20"/>
      <w:lang w:val="en-GB" w:eastAsia="en-US"/>
    </w:rPr>
  </w:style>
  <w:style w:type="paragraph" w:customStyle="1" w:styleId="CH3">
    <w:name w:val="CH3"/>
    <w:basedOn w:val="Normal"/>
    <w:next w:val="Normalnumber"/>
    <w:link w:val="CH3Char"/>
    <w:rsid w:val="009F27A1"/>
    <w:pPr>
      <w:keepNext/>
      <w:keepLines/>
      <w:tabs>
        <w:tab w:val="right" w:pos="851"/>
        <w:tab w:val="left" w:pos="4082"/>
      </w:tabs>
      <w:suppressAutoHyphens/>
      <w:spacing w:after="120"/>
      <w:ind w:left="1247" w:right="284" w:hanging="1247"/>
    </w:pPr>
    <w:rPr>
      <w:b/>
      <w:lang w:val="en-GB"/>
    </w:rPr>
  </w:style>
  <w:style w:type="character" w:customStyle="1" w:styleId="NormalnumberChar">
    <w:name w:val="Normal_number Char"/>
    <w:link w:val="Normalnumber"/>
    <w:rsid w:val="009F27A1"/>
    <w:rPr>
      <w:lang w:eastAsia="en-US"/>
    </w:rPr>
  </w:style>
  <w:style w:type="paragraph" w:customStyle="1" w:styleId="Normalnumber">
    <w:name w:val="Normal_number"/>
    <w:basedOn w:val="Normal"/>
    <w:link w:val="NormalnumberChar"/>
    <w:qFormat/>
    <w:rsid w:val="009F27A1"/>
    <w:pPr>
      <w:numPr>
        <w:numId w:val="3"/>
      </w:numPr>
      <w:tabs>
        <w:tab w:val="clear" w:pos="1247"/>
        <w:tab w:val="clear" w:pos="1814"/>
        <w:tab w:val="clear" w:pos="2381"/>
        <w:tab w:val="clear" w:pos="2948"/>
        <w:tab w:val="clear" w:pos="3515"/>
        <w:tab w:val="left" w:pos="624"/>
      </w:tabs>
      <w:spacing w:after="120"/>
    </w:pPr>
    <w:rPr>
      <w:rFonts w:asciiTheme="minorHAnsi" w:eastAsiaTheme="minorEastAsia" w:hAnsiTheme="minorHAnsi" w:cstheme="minorBidi"/>
      <w:sz w:val="22"/>
      <w:szCs w:val="22"/>
      <w:lang w:val="en-US"/>
    </w:rPr>
  </w:style>
  <w:style w:type="character" w:customStyle="1" w:styleId="CH3Char">
    <w:name w:val="CH3 Char"/>
    <w:link w:val="CH3"/>
    <w:rsid w:val="009F27A1"/>
    <w:rPr>
      <w:rFonts w:ascii="Times New Roman" w:eastAsia="Times New Roman" w:hAnsi="Times New Roman" w:cs="Times New Roman"/>
      <w:b/>
      <w:sz w:val="20"/>
      <w:szCs w:val="20"/>
      <w:lang w:val="en-GB" w:eastAsia="en-US"/>
    </w:rPr>
  </w:style>
  <w:style w:type="paragraph" w:customStyle="1" w:styleId="Header-pool">
    <w:name w:val="Header-pool"/>
    <w:basedOn w:val="Normal-pool"/>
    <w:next w:val="Normal-pool"/>
    <w:rsid w:val="009F27A1"/>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paragraph" w:customStyle="1" w:styleId="Footer-pool">
    <w:name w:val="Footer-pool"/>
    <w:basedOn w:val="Normal-pool"/>
    <w:next w:val="Normal-pool"/>
    <w:rsid w:val="009F27A1"/>
    <w:pPr>
      <w:tabs>
        <w:tab w:val="left" w:pos="4321"/>
        <w:tab w:val="right" w:pos="8641"/>
      </w:tabs>
      <w:spacing w:before="60" w:after="120"/>
    </w:pPr>
    <w:rPr>
      <w:b/>
      <w:sz w:val="18"/>
    </w:rPr>
  </w:style>
  <w:style w:type="paragraph" w:styleId="Footer">
    <w:name w:val="footer"/>
    <w:basedOn w:val="Normal"/>
    <w:link w:val="FooterChar"/>
    <w:uiPriority w:val="99"/>
    <w:unhideWhenUsed/>
    <w:rsid w:val="009F27A1"/>
    <w:pPr>
      <w:tabs>
        <w:tab w:val="clear" w:pos="1247"/>
        <w:tab w:val="clear" w:pos="1814"/>
        <w:tab w:val="clear" w:pos="2381"/>
        <w:tab w:val="clear" w:pos="2948"/>
        <w:tab w:val="clear" w:pos="3515"/>
        <w:tab w:val="center" w:pos="4680"/>
        <w:tab w:val="right" w:pos="9360"/>
      </w:tabs>
    </w:pPr>
  </w:style>
  <w:style w:type="character" w:customStyle="1" w:styleId="FooterChar">
    <w:name w:val="Footer Char"/>
    <w:basedOn w:val="DefaultParagraphFont"/>
    <w:link w:val="Footer"/>
    <w:uiPriority w:val="99"/>
    <w:rsid w:val="009F27A1"/>
    <w:rPr>
      <w:rFonts w:ascii="Times New Roman" w:eastAsia="Times New Roman" w:hAnsi="Times New Roman" w:cs="Times New Roman"/>
      <w:sz w:val="20"/>
      <w:szCs w:val="20"/>
      <w:lang w:val="fr-FR" w:eastAsia="en-US"/>
    </w:rPr>
  </w:style>
  <w:style w:type="paragraph" w:styleId="Header">
    <w:name w:val="header"/>
    <w:basedOn w:val="Normal"/>
    <w:link w:val="HeaderChar"/>
    <w:uiPriority w:val="99"/>
    <w:semiHidden/>
    <w:unhideWhenUsed/>
    <w:rsid w:val="009F27A1"/>
    <w:pPr>
      <w:tabs>
        <w:tab w:val="clear" w:pos="1247"/>
        <w:tab w:val="clear" w:pos="1814"/>
        <w:tab w:val="clear" w:pos="2381"/>
        <w:tab w:val="clear" w:pos="2948"/>
        <w:tab w:val="clear" w:pos="3515"/>
        <w:tab w:val="center" w:pos="4680"/>
        <w:tab w:val="right" w:pos="9360"/>
      </w:tabs>
    </w:pPr>
  </w:style>
  <w:style w:type="character" w:customStyle="1" w:styleId="HeaderChar">
    <w:name w:val="Header Char"/>
    <w:basedOn w:val="DefaultParagraphFont"/>
    <w:link w:val="Header"/>
    <w:uiPriority w:val="99"/>
    <w:semiHidden/>
    <w:rsid w:val="009F27A1"/>
    <w:rPr>
      <w:rFonts w:ascii="Times New Roman" w:eastAsia="Times New Roman" w:hAnsi="Times New Roman" w:cs="Times New Roman"/>
      <w:sz w:val="20"/>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2020-01-21T10:16:00Z</dcterms:created>
  <dcterms:modified xsi:type="dcterms:W3CDTF">2020-01-21T10:16:00Z</dcterms:modified>
</cp:coreProperties>
</file>