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0B7" w:rsidRPr="00080C66" w:rsidRDefault="000300B7" w:rsidP="000300B7">
      <w:pPr>
        <w:pStyle w:val="CH1"/>
        <w:rPr>
          <w:b w:val="0"/>
        </w:rPr>
      </w:pPr>
      <w:r>
        <w:tab/>
      </w:r>
      <w:r>
        <w:tab/>
      </w:r>
      <w:bookmarkStart w:id="0" w:name="_GoBack"/>
      <w:bookmarkEnd w:id="0"/>
      <w:r w:rsidRPr="00080C66">
        <w:t>BC-14/11: Electronic approaches to the notification and movement documents</w:t>
      </w:r>
    </w:p>
    <w:p w:rsidR="000300B7" w:rsidRPr="00080C66" w:rsidRDefault="000300B7" w:rsidP="000300B7">
      <w:pPr>
        <w:tabs>
          <w:tab w:val="left" w:pos="624"/>
        </w:tabs>
        <w:autoSpaceDE w:val="0"/>
        <w:autoSpaceDN w:val="0"/>
        <w:adjustRightInd w:val="0"/>
        <w:spacing w:after="120"/>
        <w:ind w:left="1247" w:firstLine="624"/>
        <w:rPr>
          <w:i/>
          <w:iCs/>
          <w:lang w:val="en-GB"/>
        </w:rPr>
      </w:pPr>
      <w:r w:rsidRPr="00080C66">
        <w:rPr>
          <w:i/>
          <w:iCs/>
          <w:lang w:val="en-GB"/>
        </w:rPr>
        <w:t>The Conference of the Parties</w:t>
      </w:r>
    </w:p>
    <w:p w:rsidR="000300B7" w:rsidRPr="00080C66" w:rsidRDefault="000300B7" w:rsidP="000300B7">
      <w:pPr>
        <w:numPr>
          <w:ilvl w:val="0"/>
          <w:numId w:val="2"/>
        </w:numPr>
        <w:tabs>
          <w:tab w:val="left" w:pos="624"/>
        </w:tabs>
        <w:spacing w:after="120"/>
        <w:ind w:firstLine="624"/>
        <w:rPr>
          <w:lang w:val="en-GB"/>
        </w:rPr>
      </w:pPr>
      <w:r w:rsidRPr="00080C66">
        <w:rPr>
          <w:i/>
          <w:lang w:val="en-GB"/>
        </w:rPr>
        <w:t>Takes note</w:t>
      </w:r>
      <w:r w:rsidRPr="00080C66">
        <w:rPr>
          <w:lang w:val="en-GB"/>
        </w:rPr>
        <w:t xml:space="preserve"> of the responses provided by Parties and others pertaining to information on their experiences with electronic approaches to the notification and movement documents;</w:t>
      </w:r>
      <w:r w:rsidRPr="00080C66">
        <w:rPr>
          <w:vertAlign w:val="superscript"/>
          <w:lang w:val="en-GB"/>
        </w:rPr>
        <w:footnoteReference w:id="1"/>
      </w:r>
    </w:p>
    <w:p w:rsidR="000300B7" w:rsidRPr="00080C66" w:rsidRDefault="000300B7" w:rsidP="000300B7">
      <w:pPr>
        <w:numPr>
          <w:ilvl w:val="0"/>
          <w:numId w:val="2"/>
        </w:numPr>
        <w:tabs>
          <w:tab w:val="left" w:pos="624"/>
        </w:tabs>
        <w:spacing w:after="120"/>
        <w:ind w:firstLine="624"/>
        <w:rPr>
          <w:lang w:val="en-GB"/>
        </w:rPr>
      </w:pPr>
      <w:r w:rsidRPr="00080C66">
        <w:rPr>
          <w:i/>
          <w:lang w:val="en-GB"/>
        </w:rPr>
        <w:t>Acknowledges</w:t>
      </w:r>
      <w:r w:rsidRPr="00080C66">
        <w:rPr>
          <w:lang w:val="en-GB"/>
        </w:rPr>
        <w:t xml:space="preserve"> the need to look further into electronic approaches to the notification and movement documents;</w:t>
      </w:r>
    </w:p>
    <w:p w:rsidR="000300B7" w:rsidRPr="00080C66" w:rsidRDefault="000300B7" w:rsidP="000300B7">
      <w:pPr>
        <w:numPr>
          <w:ilvl w:val="0"/>
          <w:numId w:val="2"/>
        </w:numPr>
        <w:tabs>
          <w:tab w:val="left" w:pos="624"/>
        </w:tabs>
        <w:spacing w:after="120"/>
        <w:ind w:firstLine="624"/>
        <w:rPr>
          <w:lang w:val="en-GB"/>
        </w:rPr>
      </w:pPr>
      <w:r w:rsidRPr="00080C66">
        <w:rPr>
          <w:i/>
          <w:iCs/>
          <w:lang w:val="en-GB"/>
        </w:rPr>
        <w:t>Invites</w:t>
      </w:r>
      <w:r w:rsidRPr="00080C66">
        <w:rPr>
          <w:lang w:val="en-GB"/>
        </w:rPr>
        <w:t xml:space="preserve"> Parties and others to provide to the Secretariat, by 30 September 2019, information on their experiences in developing and implementing electronic systems for exchanging information on or controlling the movements of goods and wastes, and on experts who could contribute to the consultative workshops referred to in subparagraph 4 (b) of the present decision;</w:t>
      </w:r>
    </w:p>
    <w:p w:rsidR="000300B7" w:rsidRPr="00080C66" w:rsidRDefault="000300B7" w:rsidP="000300B7">
      <w:pPr>
        <w:numPr>
          <w:ilvl w:val="0"/>
          <w:numId w:val="2"/>
        </w:numPr>
        <w:tabs>
          <w:tab w:val="left" w:pos="624"/>
        </w:tabs>
        <w:spacing w:after="120"/>
        <w:ind w:firstLine="624"/>
        <w:rPr>
          <w:lang w:val="en-GB"/>
        </w:rPr>
      </w:pPr>
      <w:r w:rsidRPr="00080C66">
        <w:rPr>
          <w:i/>
          <w:lang w:val="en-GB"/>
        </w:rPr>
        <w:t>Requests</w:t>
      </w:r>
      <w:r w:rsidRPr="00080C66">
        <w:rPr>
          <w:lang w:val="en-GB"/>
        </w:rPr>
        <w:t xml:space="preserve"> the Secretariat:</w:t>
      </w:r>
    </w:p>
    <w:p w:rsidR="000300B7" w:rsidRPr="00080C66" w:rsidRDefault="000300B7" w:rsidP="000300B7">
      <w:pPr>
        <w:numPr>
          <w:ilvl w:val="1"/>
          <w:numId w:val="1"/>
        </w:numPr>
        <w:tabs>
          <w:tab w:val="left" w:pos="624"/>
        </w:tabs>
        <w:spacing w:after="120"/>
        <w:ind w:firstLine="624"/>
        <w:rPr>
          <w:lang w:val="en-GB"/>
        </w:rPr>
      </w:pPr>
      <w:r w:rsidRPr="00080C66">
        <w:rPr>
          <w:lang w:val="en-GB"/>
        </w:rPr>
        <w:t>To prepare, subject to the availability of resources, a report on experiences, at the national and international levels, in developing and implementing electronic systems for exchanging information on or controlling the movements of goods and wastes, and lessons learned from such experiences, taking into account the information provided in paragraph 3 of the present decision, for consideration by the Open-ended Working Group at its twelfth meeting;</w:t>
      </w:r>
    </w:p>
    <w:p w:rsidR="000300B7" w:rsidRPr="00080C66" w:rsidRDefault="000300B7" w:rsidP="000300B7">
      <w:pPr>
        <w:numPr>
          <w:ilvl w:val="1"/>
          <w:numId w:val="1"/>
        </w:numPr>
        <w:tabs>
          <w:tab w:val="left" w:pos="624"/>
        </w:tabs>
        <w:spacing w:after="120"/>
        <w:ind w:firstLine="624"/>
        <w:rPr>
          <w:iCs/>
          <w:color w:val="000000"/>
          <w:lang w:val="en-GB"/>
        </w:rPr>
      </w:pPr>
      <w:r w:rsidRPr="00080C66">
        <w:rPr>
          <w:iCs/>
          <w:color w:val="000000"/>
          <w:lang w:val="en-GB"/>
        </w:rPr>
        <w:t xml:space="preserve">To organize, after the twelfth meeting of the Open-ended Working Group, subject to the availability of resources, consultative workshops involving experts from Parties and observers from the five regional groups of the United Nations to explore options for a system under the Basel Convention on the Control of Transboundary Movements of Hazardous Wastes and Their Disposal that would allow for the automation of processes and the electronic exchange of information relating to the notification and movement of hazardous and other wastes, their </w:t>
      </w:r>
      <w:r w:rsidRPr="00080C66">
        <w:rPr>
          <w:lang w:val="en-GB"/>
        </w:rPr>
        <w:t>expected</w:t>
      </w:r>
      <w:r w:rsidRPr="00080C66">
        <w:rPr>
          <w:iCs/>
          <w:color w:val="000000"/>
          <w:lang w:val="en-GB"/>
        </w:rPr>
        <w:t xml:space="preserve"> benefits and requirements, and possible steps towards their implementation;</w:t>
      </w:r>
    </w:p>
    <w:p w:rsidR="000300B7" w:rsidRPr="00080C66" w:rsidRDefault="000300B7" w:rsidP="000300B7">
      <w:pPr>
        <w:numPr>
          <w:ilvl w:val="0"/>
          <w:numId w:val="2"/>
        </w:numPr>
        <w:tabs>
          <w:tab w:val="left" w:pos="624"/>
        </w:tabs>
        <w:spacing w:after="120"/>
        <w:ind w:firstLine="624"/>
        <w:rPr>
          <w:lang w:val="en-GB"/>
        </w:rPr>
      </w:pPr>
      <w:r w:rsidRPr="00080C66">
        <w:rPr>
          <w:i/>
          <w:lang w:val="en-GB"/>
        </w:rPr>
        <w:t>Requests</w:t>
      </w:r>
      <w:r w:rsidRPr="00080C66">
        <w:rPr>
          <w:lang w:val="en-GB"/>
        </w:rPr>
        <w:t xml:space="preserve"> the Secretariat to report on the implementation of the present decision to the Open-ended Working Group at its twelfth meeting and to the Conference of the Parties at its fifteenth meeting.</w:t>
      </w:r>
    </w:p>
    <w:p w:rsidR="00F935A6" w:rsidRPr="000300B7" w:rsidRDefault="00F935A6">
      <w:pPr>
        <w:rPr>
          <w:lang w:val="en-GB"/>
        </w:rPr>
      </w:pPr>
    </w:p>
    <w:sectPr w:rsidR="00F935A6" w:rsidRPr="000300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18F" w:rsidRDefault="0066318F" w:rsidP="000300B7">
      <w:r>
        <w:separator/>
      </w:r>
    </w:p>
  </w:endnote>
  <w:endnote w:type="continuationSeparator" w:id="0">
    <w:p w:rsidR="0066318F" w:rsidRDefault="0066318F" w:rsidP="00030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18F" w:rsidRDefault="0066318F" w:rsidP="000300B7">
      <w:r>
        <w:separator/>
      </w:r>
    </w:p>
  </w:footnote>
  <w:footnote w:type="continuationSeparator" w:id="0">
    <w:p w:rsidR="0066318F" w:rsidRDefault="0066318F" w:rsidP="000300B7">
      <w:r>
        <w:continuationSeparator/>
      </w:r>
    </w:p>
  </w:footnote>
  <w:footnote w:id="1">
    <w:p w:rsidR="000300B7" w:rsidRPr="00325A98" w:rsidRDefault="000300B7" w:rsidP="000300B7">
      <w:pPr>
        <w:pStyle w:val="FootnoteText"/>
        <w:tabs>
          <w:tab w:val="left" w:pos="624"/>
        </w:tabs>
        <w:ind w:right="57"/>
        <w:rPr>
          <w:szCs w:val="18"/>
          <w:lang w:val="en-GB"/>
        </w:rPr>
      </w:pPr>
      <w:r w:rsidRPr="00325A98">
        <w:rPr>
          <w:rStyle w:val="FootnoteReference"/>
          <w:lang w:val="en-GB"/>
        </w:rPr>
        <w:footnoteRef/>
      </w:r>
      <w:r w:rsidRPr="00325A98">
        <w:rPr>
          <w:szCs w:val="18"/>
          <w:lang w:val="en-GB"/>
        </w:rPr>
        <w:t xml:space="preserve"> UNEP/CHW/OEWG.11/INF/21 and UNEP/CHW/CC.12/11/Add.2.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113A7"/>
    <w:multiLevelType w:val="multilevel"/>
    <w:tmpl w:val="48241D10"/>
    <w:lvl w:ilvl="0">
      <w:start w:val="1"/>
      <w:numFmt w:val="decimal"/>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num w:numId="1">
    <w:abstractNumId w:val="0"/>
    <w:lvlOverride w:ilvl="0">
      <w:lvl w:ilvl="0">
        <w:start w:val="1"/>
        <w:numFmt w:val="decimal"/>
        <w:lvlText w:val="%1."/>
        <w:lvlJc w:val="left"/>
        <w:pPr>
          <w:tabs>
            <w:tab w:val="num" w:pos="567"/>
          </w:tabs>
          <w:ind w:left="1247" w:firstLine="0"/>
        </w:pPr>
      </w:lvl>
    </w:lvlOverride>
    <w:lvlOverride w:ilvl="1">
      <w:lvl w:ilvl="1">
        <w:start w:val="1"/>
        <w:numFmt w:val="lowerLetter"/>
        <w:lvlText w:val="(%2)"/>
        <w:lvlJc w:val="left"/>
        <w:pPr>
          <w:tabs>
            <w:tab w:val="num" w:pos="567"/>
          </w:tabs>
          <w:ind w:left="1247" w:firstLine="567"/>
        </w:pPr>
      </w:lvl>
    </w:lvlOverride>
    <w:lvlOverride w:ilvl="2">
      <w:lvl w:ilvl="2">
        <w:start w:val="1"/>
        <w:numFmt w:val="lowerRoman"/>
        <w:lvlText w:val="(%3)"/>
        <w:lvlJc w:val="left"/>
        <w:pPr>
          <w:tabs>
            <w:tab w:val="num" w:pos="567"/>
          </w:tabs>
          <w:ind w:left="2948" w:hanging="567"/>
        </w:pPr>
      </w:lvl>
    </w:lvlOverride>
    <w:lvlOverride w:ilvl="3">
      <w:lvl w:ilvl="3">
        <w:start w:val="1"/>
        <w:numFmt w:val="lowerLetter"/>
        <w:lvlText w:val="%4."/>
        <w:lvlJc w:val="left"/>
        <w:pPr>
          <w:tabs>
            <w:tab w:val="num" w:pos="567"/>
          </w:tabs>
          <w:ind w:left="3515" w:hanging="567"/>
        </w:pPr>
      </w:lvl>
    </w:lvlOverride>
    <w:lvlOverride w:ilvl="4">
      <w:lvl w:ilvl="4">
        <w:start w:val="1"/>
        <w:numFmt w:val="lowerLetter"/>
        <w:lvlText w:val="%5."/>
        <w:lvlJc w:val="left"/>
        <w:pPr>
          <w:tabs>
            <w:tab w:val="num" w:pos="6548"/>
          </w:tabs>
          <w:ind w:left="6548" w:hanging="360"/>
        </w:pPr>
      </w:lvl>
    </w:lvlOverride>
    <w:lvlOverride w:ilvl="5">
      <w:lvl w:ilvl="5">
        <w:start w:val="1"/>
        <w:numFmt w:val="lowerRoman"/>
        <w:lvlText w:val="%6."/>
        <w:lvlJc w:val="right"/>
        <w:pPr>
          <w:tabs>
            <w:tab w:val="num" w:pos="7268"/>
          </w:tabs>
          <w:ind w:left="7268" w:hanging="180"/>
        </w:pPr>
      </w:lvl>
    </w:lvlOverride>
    <w:lvlOverride w:ilvl="6">
      <w:lvl w:ilvl="6">
        <w:start w:val="1"/>
        <w:numFmt w:val="decimal"/>
        <w:lvlText w:val="%7."/>
        <w:lvlJc w:val="left"/>
        <w:pPr>
          <w:tabs>
            <w:tab w:val="num" w:pos="7988"/>
          </w:tabs>
          <w:ind w:left="7988" w:hanging="360"/>
        </w:pPr>
      </w:lvl>
    </w:lvlOverride>
    <w:lvlOverride w:ilvl="7">
      <w:lvl w:ilvl="7">
        <w:start w:val="1"/>
        <w:numFmt w:val="lowerLetter"/>
        <w:lvlText w:val="%8."/>
        <w:lvlJc w:val="left"/>
        <w:pPr>
          <w:tabs>
            <w:tab w:val="num" w:pos="8708"/>
          </w:tabs>
          <w:ind w:left="8708" w:hanging="360"/>
        </w:pPr>
      </w:lvl>
    </w:lvlOverride>
    <w:lvlOverride w:ilvl="8">
      <w:lvl w:ilvl="8">
        <w:start w:val="1"/>
        <w:numFmt w:val="lowerRoman"/>
        <w:lvlText w:val="%9."/>
        <w:lvlJc w:val="right"/>
        <w:pPr>
          <w:tabs>
            <w:tab w:val="num" w:pos="9428"/>
          </w:tabs>
          <w:ind w:left="9428" w:hanging="180"/>
        </w:pPr>
      </w:lvl>
    </w:lvlOverride>
  </w:num>
  <w:num w:numId="2">
    <w:abstractNumId w:val="0"/>
    <w:lvlOverride w:ilvl="0">
      <w:startOverride w:val="1"/>
      <w:lvl w:ilvl="0">
        <w:start w:val="1"/>
        <w:numFmt w:val="decimal"/>
        <w:lvlText w:val="%1."/>
        <w:lvlJc w:val="left"/>
        <w:pPr>
          <w:tabs>
            <w:tab w:val="num" w:pos="567"/>
          </w:tabs>
          <w:ind w:left="1247" w:firstLine="0"/>
        </w:pPr>
        <w:rPr>
          <w:rFonts w:hint="default"/>
        </w:rPr>
      </w:lvl>
    </w:lvlOverride>
    <w:lvlOverride w:ilvl="1">
      <w:startOverride w:val="1"/>
      <w:lvl w:ilvl="1">
        <w:start w:val="1"/>
        <w:numFmt w:val="lowerLetter"/>
        <w:lvlText w:val="(%2)"/>
        <w:lvlJc w:val="left"/>
        <w:pPr>
          <w:tabs>
            <w:tab w:val="num" w:pos="567"/>
          </w:tabs>
          <w:ind w:left="1247" w:firstLine="567"/>
        </w:pPr>
        <w:rPr>
          <w:rFonts w:hint="default"/>
        </w:rPr>
      </w:lvl>
    </w:lvlOverride>
    <w:lvlOverride w:ilvl="2">
      <w:startOverride w:val="1"/>
      <w:lvl w:ilvl="2">
        <w:start w:val="1"/>
        <w:numFmt w:val="lowerRoman"/>
        <w:lvlText w:val="(%3)"/>
        <w:lvlJc w:val="left"/>
        <w:pPr>
          <w:tabs>
            <w:tab w:val="num" w:pos="567"/>
          </w:tabs>
          <w:ind w:left="2948" w:hanging="567"/>
        </w:pPr>
        <w:rPr>
          <w:rFonts w:hint="default"/>
        </w:rPr>
      </w:lvl>
    </w:lvlOverride>
    <w:lvlOverride w:ilvl="3">
      <w:startOverride w:val="1"/>
      <w:lvl w:ilvl="3">
        <w:start w:val="1"/>
        <w:numFmt w:val="lowerLetter"/>
        <w:lvlText w:val="%4."/>
        <w:lvlJc w:val="left"/>
        <w:pPr>
          <w:tabs>
            <w:tab w:val="num" w:pos="567"/>
          </w:tabs>
          <w:ind w:left="3515" w:hanging="567"/>
        </w:pPr>
        <w:rPr>
          <w:rFonts w:hint="default"/>
        </w:rPr>
      </w:lvl>
    </w:lvlOverride>
    <w:lvlOverride w:ilvl="4">
      <w:startOverride w:val="1"/>
      <w:lvl w:ilvl="4">
        <w:start w:val="1"/>
        <w:numFmt w:val="lowerLetter"/>
        <w:lvlText w:val="%5."/>
        <w:lvlJc w:val="left"/>
        <w:pPr>
          <w:tabs>
            <w:tab w:val="num" w:pos="6548"/>
          </w:tabs>
          <w:ind w:left="6548" w:hanging="360"/>
        </w:pPr>
        <w:rPr>
          <w:rFonts w:hint="default"/>
        </w:rPr>
      </w:lvl>
    </w:lvlOverride>
    <w:lvlOverride w:ilvl="5">
      <w:startOverride w:val="1"/>
      <w:lvl w:ilvl="5">
        <w:start w:val="1"/>
        <w:numFmt w:val="lowerRoman"/>
        <w:lvlText w:val="%6."/>
        <w:lvlJc w:val="right"/>
        <w:pPr>
          <w:tabs>
            <w:tab w:val="num" w:pos="7268"/>
          </w:tabs>
          <w:ind w:left="7268" w:hanging="180"/>
        </w:pPr>
        <w:rPr>
          <w:rFonts w:hint="default"/>
        </w:rPr>
      </w:lvl>
    </w:lvlOverride>
    <w:lvlOverride w:ilvl="6">
      <w:startOverride w:val="1"/>
      <w:lvl w:ilvl="6">
        <w:start w:val="1"/>
        <w:numFmt w:val="decimal"/>
        <w:lvlText w:val="%7."/>
        <w:lvlJc w:val="left"/>
        <w:pPr>
          <w:tabs>
            <w:tab w:val="num" w:pos="7988"/>
          </w:tabs>
          <w:ind w:left="7988" w:hanging="360"/>
        </w:pPr>
        <w:rPr>
          <w:rFonts w:hint="default"/>
        </w:rPr>
      </w:lvl>
    </w:lvlOverride>
    <w:lvlOverride w:ilvl="7">
      <w:startOverride w:val="1"/>
      <w:lvl w:ilvl="7">
        <w:start w:val="1"/>
        <w:numFmt w:val="lowerLetter"/>
        <w:lvlText w:val="%8."/>
        <w:lvlJc w:val="left"/>
        <w:pPr>
          <w:tabs>
            <w:tab w:val="num" w:pos="8708"/>
          </w:tabs>
          <w:ind w:left="8708" w:hanging="360"/>
        </w:pPr>
        <w:rPr>
          <w:rFonts w:hint="default"/>
        </w:rPr>
      </w:lvl>
    </w:lvlOverride>
    <w:lvlOverride w:ilvl="8">
      <w:startOverride w:val="1"/>
      <w:lvl w:ilvl="8">
        <w:start w:val="1"/>
        <w:numFmt w:val="lowerRoman"/>
        <w:lvlText w:val="%9."/>
        <w:lvlJc w:val="right"/>
        <w:pPr>
          <w:tabs>
            <w:tab w:val="num" w:pos="9428"/>
          </w:tabs>
          <w:ind w:left="9428" w:hanging="18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0B7"/>
    <w:rsid w:val="000300B7"/>
    <w:rsid w:val="0066318F"/>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53AC"/>
  <w15:chartTrackingRefBased/>
  <w15:docId w15:val="{B9B6B6D8-7BE8-4389-8127-2E26E666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00B7"/>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0300B7"/>
    <w:pPr>
      <w:keepNext/>
      <w:keepLines/>
      <w:tabs>
        <w:tab w:val="right" w:pos="851"/>
        <w:tab w:val="left" w:pos="4082"/>
      </w:tabs>
      <w:suppressAutoHyphens/>
      <w:spacing w:before="240" w:after="120"/>
      <w:ind w:left="1247" w:right="284" w:hanging="1247"/>
    </w:pPr>
    <w:rPr>
      <w:b/>
      <w:sz w:val="28"/>
      <w:szCs w:val="28"/>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Footnote,Text"/>
    <w:basedOn w:val="DefaultParagraphFont"/>
    <w:link w:val="BVIfnrCharCharCharChar"/>
    <w:qFormat/>
    <w:rsid w:val="000300B7"/>
    <w:rPr>
      <w:rFonts w:ascii="Times New Roman" w:hAnsi="Times New Roman"/>
      <w:sz w:val="20"/>
      <w:szCs w:val="18"/>
      <w:vertAlign w:val="superscript"/>
    </w:rPr>
  </w:style>
  <w:style w:type="paragraph" w:styleId="FootnoteText">
    <w:name w:val="footnote text"/>
    <w:aliases w:val="Geneva 9,Font: Geneva 9,Boston 10,93,single space,Footnote Text Rail EIS,ft,Char,footnote3,Footnotes,Footnote ak,fn cafc,Footnotes Char Char,Footnote Text Char Char,fn Char Char,footnote text,footnote text Char Char Char Ch,DNV-FT,f,fn,Ch"/>
    <w:basedOn w:val="Normal"/>
    <w:link w:val="FootnoteTextChar"/>
    <w:qFormat/>
    <w:rsid w:val="000300B7"/>
    <w:pPr>
      <w:tabs>
        <w:tab w:val="left" w:pos="4082"/>
      </w:tabs>
      <w:spacing w:before="20" w:after="40"/>
      <w:ind w:left="1247"/>
    </w:pPr>
    <w:rPr>
      <w:sz w:val="18"/>
    </w:rPr>
  </w:style>
  <w:style w:type="character" w:customStyle="1" w:styleId="FootnoteTextChar">
    <w:name w:val="Footnote Text Char"/>
    <w:aliases w:val="Geneva 9 Char,Font: Geneva 9 Char,Boston 10 Char,93 Char,single space Char,Footnote Text Rail EIS Char,ft Char,Char Char,footnote3 Char,Footnotes Char,Footnote ak Char,fn cafc Char,Footnotes Char Char Char,Footnote Text Char Char Char"/>
    <w:basedOn w:val="DefaultParagraphFont"/>
    <w:link w:val="FootnoteText"/>
    <w:rsid w:val="000300B7"/>
    <w:rPr>
      <w:rFonts w:ascii="Times New Roman" w:eastAsia="Times New Roman" w:hAnsi="Times New Roman" w:cs="Times New Roman"/>
      <w:sz w:val="18"/>
      <w:szCs w:val="20"/>
      <w:lang w:val="fr-FR" w:eastAsia="en-US"/>
    </w:rPr>
  </w:style>
  <w:style w:type="paragraph" w:customStyle="1" w:styleId="BVIfnrCharCharCharChar">
    <w:name w:val="BVI fnr Char Char Char Char"/>
    <w:aliases w:val="BVI fnr Car Car Char Char Char Char,BVI fnr Car Char Char Char Char,BVI fnr Car Car Car Car Char Char Char Char,BVI fnr Car Car Car Car Char Char Char1 Char Char, BVI fnr Car Car Char Char Char Char"/>
    <w:basedOn w:val="Normal"/>
    <w:link w:val="FootnoteReference"/>
    <w:rsid w:val="000300B7"/>
    <w:pPr>
      <w:tabs>
        <w:tab w:val="clear" w:pos="1247"/>
        <w:tab w:val="clear" w:pos="1814"/>
        <w:tab w:val="clear" w:pos="2381"/>
        <w:tab w:val="clear" w:pos="2948"/>
        <w:tab w:val="clear" w:pos="3515"/>
      </w:tabs>
      <w:spacing w:before="120" w:after="160" w:line="240" w:lineRule="exact"/>
    </w:pPr>
    <w:rPr>
      <w:rFonts w:eastAsiaTheme="minorEastAsia" w:cstheme="minorBidi"/>
      <w:szCs w:val="18"/>
      <w:vertAlign w:val="superscript"/>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1</cp:revision>
  <dcterms:created xsi:type="dcterms:W3CDTF">2019-12-31T10:36:00Z</dcterms:created>
  <dcterms:modified xsi:type="dcterms:W3CDTF">2019-12-31T10:37:00Z</dcterms:modified>
</cp:coreProperties>
</file>