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5012" w:rsidRPr="00CA05A1" w:rsidRDefault="00845012" w:rsidP="00845012">
      <w:pPr>
        <w:pStyle w:val="CH1"/>
        <w:tabs>
          <w:tab w:val="clear" w:pos="851"/>
          <w:tab w:val="clear" w:pos="1247"/>
          <w:tab w:val="clear" w:pos="1814"/>
          <w:tab w:val="clear" w:pos="2381"/>
          <w:tab w:val="clear" w:pos="2948"/>
          <w:tab w:val="clear" w:pos="3515"/>
          <w:tab w:val="clear" w:pos="4082"/>
        </w:tabs>
        <w:ind w:firstLine="0"/>
        <w:rPr>
          <w:lang w:val="es-ES_tradnl"/>
        </w:rPr>
      </w:pPr>
      <w:r w:rsidRPr="00CA05A1">
        <w:rPr>
          <w:bCs/>
          <w:lang w:val="es-ES_tradnl"/>
        </w:rPr>
        <w:t>SC-9/1: Exenciones</w:t>
      </w:r>
    </w:p>
    <w:p w:rsidR="00845012" w:rsidRPr="00CA05A1" w:rsidRDefault="00845012" w:rsidP="00845012">
      <w:pPr>
        <w:pStyle w:val="Normal-pool"/>
        <w:tabs>
          <w:tab w:val="clear" w:pos="1247"/>
          <w:tab w:val="clear" w:pos="1814"/>
          <w:tab w:val="clear" w:pos="2381"/>
          <w:tab w:val="clear" w:pos="2948"/>
          <w:tab w:val="clear" w:pos="3515"/>
          <w:tab w:val="clear" w:pos="4082"/>
          <w:tab w:val="left" w:pos="624"/>
        </w:tabs>
        <w:spacing w:after="120"/>
        <w:ind w:left="1247" w:firstLine="624"/>
        <w:rPr>
          <w:bCs/>
          <w:i/>
          <w:iCs/>
          <w:lang w:val="es-ES_tradnl"/>
        </w:rPr>
      </w:pPr>
      <w:r w:rsidRPr="00CA05A1">
        <w:rPr>
          <w:i/>
          <w:iCs/>
          <w:lang w:val="es-ES_tradnl"/>
        </w:rPr>
        <w:tab/>
        <w:t>La Conferencia de las Partes</w:t>
      </w:r>
    </w:p>
    <w:p w:rsidR="00845012" w:rsidRPr="00CA05A1" w:rsidRDefault="00845012" w:rsidP="00845012">
      <w:pPr>
        <w:pStyle w:val="Normal-pool"/>
        <w:numPr>
          <w:ilvl w:val="0"/>
          <w:numId w:val="1"/>
        </w:numPr>
        <w:tabs>
          <w:tab w:val="clear" w:pos="1247"/>
          <w:tab w:val="clear" w:pos="1814"/>
          <w:tab w:val="clear" w:pos="2381"/>
          <w:tab w:val="clear" w:pos="2948"/>
          <w:tab w:val="clear" w:pos="3515"/>
          <w:tab w:val="clear" w:pos="4082"/>
        </w:tabs>
        <w:spacing w:after="120"/>
        <w:ind w:left="1247" w:firstLine="624"/>
        <w:rPr>
          <w:bCs/>
          <w:lang w:val="es-ES_tradnl"/>
        </w:rPr>
      </w:pPr>
      <w:bookmarkStart w:id="0" w:name="_Hlk528919662"/>
      <w:r w:rsidRPr="00CA05A1">
        <w:rPr>
          <w:i/>
          <w:iCs/>
          <w:lang w:val="es-ES_tradnl"/>
        </w:rPr>
        <w:t>Observa</w:t>
      </w:r>
      <w:r w:rsidRPr="00CA05A1">
        <w:rPr>
          <w:lang w:val="es-ES_tradnl"/>
        </w:rPr>
        <w:t xml:space="preserve">, de conformidad con el párrafo 9 del artículo 4 del Convenio de Estocolmo sobre Contaminantes Orgánicos Persistentes, que ya no hay Partes inscritas en el registro de exenciones específicas para los productos químicos que se enumeran a continuación, y por tanto no se podrán hacer nuevas inscripciones para las exenciones relativas a estos productos: </w:t>
      </w:r>
    </w:p>
    <w:p w:rsidR="00845012" w:rsidRPr="00CA05A1" w:rsidRDefault="00845012" w:rsidP="00845012">
      <w:pPr>
        <w:pStyle w:val="Normal-pool"/>
        <w:numPr>
          <w:ilvl w:val="1"/>
          <w:numId w:val="2"/>
        </w:numPr>
        <w:tabs>
          <w:tab w:val="clear" w:pos="1247"/>
          <w:tab w:val="clear" w:pos="1814"/>
          <w:tab w:val="clear" w:pos="2381"/>
          <w:tab w:val="clear" w:pos="2948"/>
          <w:tab w:val="clear" w:pos="3515"/>
          <w:tab w:val="clear" w:pos="4082"/>
        </w:tabs>
        <w:spacing w:after="120"/>
        <w:ind w:left="1247" w:firstLine="624"/>
        <w:rPr>
          <w:iCs/>
          <w:lang w:val="es-ES_tradnl"/>
        </w:rPr>
      </w:pPr>
      <w:r w:rsidRPr="00CA05A1">
        <w:rPr>
          <w:lang w:val="es-ES_tradnl"/>
        </w:rPr>
        <w:t xml:space="preserve">El </w:t>
      </w:r>
      <w:proofErr w:type="spellStart"/>
      <w:r w:rsidRPr="00CA05A1">
        <w:rPr>
          <w:lang w:val="es-ES_tradnl"/>
        </w:rPr>
        <w:t>lindano</w:t>
      </w:r>
      <w:proofErr w:type="spellEnd"/>
      <w:r w:rsidRPr="00CA05A1">
        <w:rPr>
          <w:lang w:val="es-ES_tradnl"/>
        </w:rPr>
        <w:t>, para uso farmacéutico en la salud humana para el control de la pediculosis y la sarna como tratamiento de segunda línea;</w:t>
      </w:r>
    </w:p>
    <w:p w:rsidR="00845012" w:rsidRPr="00CA05A1" w:rsidRDefault="00845012" w:rsidP="00845012">
      <w:pPr>
        <w:pStyle w:val="Normal-pool"/>
        <w:numPr>
          <w:ilvl w:val="1"/>
          <w:numId w:val="2"/>
        </w:numPr>
        <w:tabs>
          <w:tab w:val="clear" w:pos="1247"/>
          <w:tab w:val="clear" w:pos="1814"/>
          <w:tab w:val="clear" w:pos="2381"/>
          <w:tab w:val="clear" w:pos="2948"/>
          <w:tab w:val="clear" w:pos="3515"/>
          <w:tab w:val="clear" w:pos="4082"/>
          <w:tab w:val="left" w:pos="624"/>
        </w:tabs>
        <w:spacing w:after="120"/>
        <w:ind w:left="1247" w:firstLine="624"/>
        <w:rPr>
          <w:bCs/>
          <w:lang w:val="es-ES_tradnl"/>
        </w:rPr>
      </w:pPr>
      <w:r w:rsidRPr="00CA05A1">
        <w:rPr>
          <w:lang w:val="es-ES_tradnl"/>
        </w:rPr>
        <w:t xml:space="preserve">El ácido </w:t>
      </w:r>
      <w:proofErr w:type="spellStart"/>
      <w:r w:rsidRPr="00CA05A1">
        <w:rPr>
          <w:lang w:val="es-ES_tradnl"/>
        </w:rPr>
        <w:t>perfluorooctano</w:t>
      </w:r>
      <w:proofErr w:type="spellEnd"/>
      <w:r w:rsidRPr="00CA05A1">
        <w:rPr>
          <w:lang w:val="es-ES_tradnl"/>
        </w:rPr>
        <w:t xml:space="preserve"> sulfónico, sus sales y el fluoruro de </w:t>
      </w:r>
      <w:proofErr w:type="spellStart"/>
      <w:r w:rsidRPr="00CA05A1">
        <w:rPr>
          <w:lang w:val="es-ES_tradnl"/>
        </w:rPr>
        <w:t>perfluorooctano</w:t>
      </w:r>
      <w:proofErr w:type="spellEnd"/>
      <w:r w:rsidRPr="00CA05A1">
        <w:rPr>
          <w:lang w:val="es-ES_tradnl"/>
        </w:rPr>
        <w:t xml:space="preserve"> </w:t>
      </w:r>
      <w:proofErr w:type="spellStart"/>
      <w:r w:rsidRPr="00CA05A1">
        <w:rPr>
          <w:lang w:val="es-ES_tradnl"/>
        </w:rPr>
        <w:t>sulfonilo</w:t>
      </w:r>
      <w:proofErr w:type="spellEnd"/>
      <w:r w:rsidRPr="00CA05A1">
        <w:rPr>
          <w:lang w:val="es-ES_tradnl"/>
        </w:rPr>
        <w:t xml:space="preserve"> para: </w:t>
      </w:r>
      <w:proofErr w:type="spellStart"/>
      <w:r w:rsidRPr="00CA05A1">
        <w:rPr>
          <w:lang w:val="es-ES_tradnl"/>
        </w:rPr>
        <w:t>fotomáscaras</w:t>
      </w:r>
      <w:proofErr w:type="spellEnd"/>
      <w:r w:rsidRPr="00CA05A1">
        <w:rPr>
          <w:lang w:val="es-ES_tradnl"/>
        </w:rPr>
        <w:t xml:space="preserve"> en las industrias de semiconductores y pantallas de cristal líquido; recubrimiento metálico (recubrimiento metálico duro); recubrimiento metálico (recubrimiento metálico decorativo); partes eléctricas y electrónicas de algunas impresoras y fotocopiadoras a color; insecticidas para el control de hormigas de fuego rojas importadas y termitas; y producción de petróleo por medios químicos;</w:t>
      </w:r>
    </w:p>
    <w:p w:rsidR="00845012" w:rsidRPr="00CA05A1" w:rsidRDefault="00845012" w:rsidP="00845012">
      <w:pPr>
        <w:pStyle w:val="Normal-pool"/>
        <w:numPr>
          <w:ilvl w:val="0"/>
          <w:numId w:val="1"/>
        </w:numPr>
        <w:tabs>
          <w:tab w:val="clear" w:pos="1247"/>
          <w:tab w:val="clear" w:pos="1814"/>
          <w:tab w:val="clear" w:pos="2381"/>
          <w:tab w:val="clear" w:pos="2948"/>
          <w:tab w:val="clear" w:pos="3515"/>
          <w:tab w:val="clear" w:pos="4082"/>
          <w:tab w:val="left" w:pos="624"/>
        </w:tabs>
        <w:spacing w:after="120"/>
        <w:ind w:left="1247" w:firstLine="624"/>
        <w:rPr>
          <w:iCs/>
          <w:lang w:val="es-ES_tradnl"/>
        </w:rPr>
      </w:pPr>
      <w:r w:rsidRPr="00CA05A1">
        <w:rPr>
          <w:i/>
          <w:iCs/>
          <w:lang w:val="es-ES_tradnl"/>
        </w:rPr>
        <w:t>Decide</w:t>
      </w:r>
      <w:r w:rsidRPr="00CA05A1">
        <w:rPr>
          <w:lang w:val="es-ES_tradnl"/>
        </w:rPr>
        <w:t xml:space="preserve">, a la luz de la decisión SC-9/11, en virtud de la cual se modificó el anexo A del Convenio de Estocolmo para incluir el </w:t>
      </w:r>
      <w:proofErr w:type="spellStart"/>
      <w:r w:rsidRPr="00CA05A1">
        <w:rPr>
          <w:lang w:val="es-ES_tradnl"/>
        </w:rPr>
        <w:t>dicofol</w:t>
      </w:r>
      <w:proofErr w:type="spellEnd"/>
      <w:r w:rsidRPr="00CA05A1">
        <w:rPr>
          <w:lang w:val="es-ES_tradnl"/>
        </w:rPr>
        <w:t xml:space="preserve">, y, de conformidad con la nota </w:t>
      </w:r>
      <w:proofErr w:type="spellStart"/>
      <w:r w:rsidRPr="00CA05A1">
        <w:rPr>
          <w:lang w:val="es-ES_tradnl"/>
        </w:rPr>
        <w:t>iii</w:t>
      </w:r>
      <w:proofErr w:type="spellEnd"/>
      <w:r w:rsidRPr="00CA05A1">
        <w:rPr>
          <w:lang w:val="es-ES_tradnl"/>
        </w:rPr>
        <w:t xml:space="preserve">) del anexo B, que las notificaciones en relación con la producción y el uso de </w:t>
      </w:r>
      <w:proofErr w:type="spellStart"/>
      <w:r w:rsidRPr="00CA05A1">
        <w:rPr>
          <w:lang w:val="es-ES_tradnl"/>
        </w:rPr>
        <w:t>dicofol</w:t>
      </w:r>
      <w:proofErr w:type="spellEnd"/>
      <w:r w:rsidRPr="00CA05A1">
        <w:rPr>
          <w:lang w:val="es-ES_tradnl"/>
        </w:rPr>
        <w:t xml:space="preserve"> como intermediario en un sistema cerrado y limitado a un emplazamiento no estarán disponibles a partir del 15 de diciembre de 2020;</w:t>
      </w:r>
    </w:p>
    <w:bookmarkEnd w:id="0"/>
    <w:p w:rsidR="00845012" w:rsidRPr="00CA05A1" w:rsidRDefault="00845012" w:rsidP="00845012">
      <w:pPr>
        <w:pStyle w:val="Normal-pool"/>
        <w:numPr>
          <w:ilvl w:val="0"/>
          <w:numId w:val="1"/>
        </w:numPr>
        <w:tabs>
          <w:tab w:val="clear" w:pos="1247"/>
          <w:tab w:val="clear" w:pos="1814"/>
          <w:tab w:val="clear" w:pos="2381"/>
          <w:tab w:val="clear" w:pos="2948"/>
          <w:tab w:val="clear" w:pos="3515"/>
          <w:tab w:val="clear" w:pos="4082"/>
          <w:tab w:val="left" w:pos="624"/>
        </w:tabs>
        <w:spacing w:after="120"/>
        <w:ind w:left="1247" w:firstLine="624"/>
        <w:rPr>
          <w:lang w:val="es-ES_tradnl"/>
        </w:rPr>
      </w:pPr>
      <w:r w:rsidRPr="00CA05A1">
        <w:rPr>
          <w:i/>
          <w:iCs/>
          <w:lang w:val="es-ES_tradnl"/>
        </w:rPr>
        <w:t>Recuerda</w:t>
      </w:r>
      <w:r w:rsidRPr="00CA05A1">
        <w:rPr>
          <w:lang w:val="es-ES_tradnl"/>
        </w:rPr>
        <w:t xml:space="preserve"> a las Partes que deseen inscribirse para las exenciones específicas o finalidades aceptables que estén disponibles actualmente, o presentar notificaciones sobre productos químicos presentes como constituyentes de artículos o la producción y el uso de productos químicos como intermediarios en un sistema cerrado y limitado a un emplazamiento, que lo notifiquen a la Secretaría mediante los formularios pertinentes</w:t>
      </w:r>
      <w:r w:rsidRPr="00CA05A1">
        <w:rPr>
          <w:rStyle w:val="FootnoteReference"/>
          <w:lang w:val="es-ES_tradnl"/>
        </w:rPr>
        <w:footnoteReference w:id="1"/>
      </w:r>
      <w:r w:rsidRPr="00CA05A1">
        <w:rPr>
          <w:lang w:val="es-ES_tradnl"/>
        </w:rPr>
        <w:t>;</w:t>
      </w:r>
    </w:p>
    <w:p w:rsidR="00845012" w:rsidRPr="00CA05A1" w:rsidRDefault="00845012" w:rsidP="00845012">
      <w:pPr>
        <w:pStyle w:val="Normal-pool"/>
        <w:numPr>
          <w:ilvl w:val="0"/>
          <w:numId w:val="1"/>
        </w:numPr>
        <w:tabs>
          <w:tab w:val="clear" w:pos="1247"/>
          <w:tab w:val="clear" w:pos="1814"/>
          <w:tab w:val="clear" w:pos="2381"/>
          <w:tab w:val="clear" w:pos="2948"/>
          <w:tab w:val="clear" w:pos="3515"/>
          <w:tab w:val="clear" w:pos="4082"/>
          <w:tab w:val="left" w:pos="624"/>
        </w:tabs>
        <w:spacing w:after="120"/>
        <w:ind w:left="1247" w:firstLine="624"/>
        <w:rPr>
          <w:lang w:val="es-ES_tradnl"/>
        </w:rPr>
      </w:pPr>
      <w:r w:rsidRPr="00CA05A1">
        <w:rPr>
          <w:i/>
          <w:iCs/>
          <w:lang w:val="es-ES_tradnl"/>
        </w:rPr>
        <w:t>Solicita</w:t>
      </w:r>
      <w:r w:rsidRPr="00CA05A1">
        <w:rPr>
          <w:lang w:val="es-ES_tradnl"/>
        </w:rPr>
        <w:t xml:space="preserve"> a la Secretaría que siga gestionando, actualizando y poniendo a disposición los formularios, registros e información conexa, según proceda; </w:t>
      </w:r>
    </w:p>
    <w:p w:rsidR="00845012" w:rsidRPr="00CA05A1" w:rsidRDefault="00845012" w:rsidP="00845012">
      <w:pPr>
        <w:pStyle w:val="Normal-pool"/>
        <w:numPr>
          <w:ilvl w:val="0"/>
          <w:numId w:val="1"/>
        </w:numPr>
        <w:tabs>
          <w:tab w:val="clear" w:pos="1247"/>
          <w:tab w:val="clear" w:pos="1814"/>
          <w:tab w:val="clear" w:pos="2381"/>
          <w:tab w:val="clear" w:pos="2948"/>
          <w:tab w:val="clear" w:pos="3515"/>
          <w:tab w:val="clear" w:pos="4082"/>
          <w:tab w:val="left" w:pos="624"/>
        </w:tabs>
        <w:spacing w:after="120"/>
        <w:ind w:left="1247" w:firstLine="624"/>
        <w:rPr>
          <w:lang w:val="es-ES_tradnl"/>
        </w:rPr>
      </w:pPr>
      <w:r w:rsidRPr="00CA05A1">
        <w:rPr>
          <w:i/>
          <w:iCs/>
          <w:lang w:val="es-ES_tradnl"/>
        </w:rPr>
        <w:t>Recuerda</w:t>
      </w:r>
      <w:r w:rsidRPr="00CA05A1">
        <w:rPr>
          <w:lang w:val="es-ES_tradnl"/>
        </w:rPr>
        <w:t xml:space="preserve"> las decisiones SC-8/13 y SC-8/14, invita a las Partes a que suministren a la Secretaría, antes del 31 de diciembre de 2019, la información sobre el éter de </w:t>
      </w:r>
      <w:proofErr w:type="spellStart"/>
      <w:r w:rsidRPr="00CA05A1">
        <w:rPr>
          <w:lang w:val="es-ES_tradnl"/>
        </w:rPr>
        <w:t>decabromodifenilo</w:t>
      </w:r>
      <w:proofErr w:type="spellEnd"/>
      <w:r w:rsidRPr="00CA05A1">
        <w:rPr>
          <w:lang w:val="es-ES_tradnl"/>
        </w:rPr>
        <w:t xml:space="preserve"> y las parafinas cloradas de cadena corta que se especifica en esas decisiones, y pide a la Secretaría que continúe apoyando los procesos respectivos;</w:t>
      </w:r>
    </w:p>
    <w:p w:rsidR="00845012" w:rsidRDefault="00845012" w:rsidP="00845012">
      <w:pPr>
        <w:pStyle w:val="Normal-pool"/>
        <w:numPr>
          <w:ilvl w:val="0"/>
          <w:numId w:val="1"/>
        </w:numPr>
        <w:tabs>
          <w:tab w:val="clear" w:pos="1247"/>
          <w:tab w:val="clear" w:pos="1814"/>
          <w:tab w:val="clear" w:pos="2381"/>
          <w:tab w:val="clear" w:pos="2948"/>
          <w:tab w:val="clear" w:pos="3515"/>
          <w:tab w:val="clear" w:pos="4082"/>
          <w:tab w:val="left" w:pos="624"/>
        </w:tabs>
        <w:spacing w:after="120"/>
        <w:ind w:left="1247" w:firstLine="624"/>
        <w:rPr>
          <w:lang w:val="es-ES_tradnl"/>
        </w:rPr>
      </w:pPr>
      <w:r w:rsidRPr="00CA05A1">
        <w:rPr>
          <w:i/>
          <w:iCs/>
          <w:lang w:val="es-ES_tradnl"/>
        </w:rPr>
        <w:t>Recuerda también</w:t>
      </w:r>
      <w:r w:rsidRPr="00CA05A1">
        <w:rPr>
          <w:lang w:val="es-ES_tradnl"/>
        </w:rPr>
        <w:t xml:space="preserve"> la decisión SC-8/4, invita a las Partes a que suministren a la Secretaría, antes del 31 de diciembre de 2019, información sobre el éter de </w:t>
      </w:r>
      <w:proofErr w:type="spellStart"/>
      <w:r w:rsidRPr="00CA05A1">
        <w:rPr>
          <w:lang w:val="es-ES_tradnl"/>
        </w:rPr>
        <w:t>hexabromodifenilo</w:t>
      </w:r>
      <w:proofErr w:type="spellEnd"/>
      <w:r w:rsidRPr="00CA05A1">
        <w:rPr>
          <w:lang w:val="es-ES_tradnl"/>
        </w:rPr>
        <w:t xml:space="preserve">, el éter de </w:t>
      </w:r>
      <w:proofErr w:type="spellStart"/>
      <w:r w:rsidRPr="00CA05A1">
        <w:rPr>
          <w:lang w:val="es-ES_tradnl"/>
        </w:rPr>
        <w:t>heptabromodifenilo</w:t>
      </w:r>
      <w:proofErr w:type="spellEnd"/>
      <w:r w:rsidRPr="00CA05A1">
        <w:rPr>
          <w:lang w:val="es-ES_tradnl"/>
        </w:rPr>
        <w:t xml:space="preserve">, el éter de </w:t>
      </w:r>
      <w:proofErr w:type="spellStart"/>
      <w:r w:rsidRPr="00CA05A1">
        <w:rPr>
          <w:lang w:val="es-ES_tradnl"/>
        </w:rPr>
        <w:t>tetrabromodifenilo</w:t>
      </w:r>
      <w:proofErr w:type="spellEnd"/>
      <w:r w:rsidRPr="00CA05A1">
        <w:rPr>
          <w:lang w:val="es-ES_tradnl"/>
        </w:rPr>
        <w:t xml:space="preserve"> y el éter de </w:t>
      </w:r>
      <w:proofErr w:type="spellStart"/>
      <w:r w:rsidRPr="00CA05A1">
        <w:rPr>
          <w:lang w:val="es-ES_tradnl"/>
        </w:rPr>
        <w:t>pentabromodifenilo</w:t>
      </w:r>
      <w:proofErr w:type="spellEnd"/>
      <w:r w:rsidRPr="00CA05A1">
        <w:rPr>
          <w:lang w:val="es-ES_tradnl"/>
        </w:rPr>
        <w:t>, y pide a la Secretaría que continúe apoyando estos procesos.</w:t>
      </w:r>
    </w:p>
    <w:p w:rsidR="00F935A6" w:rsidRPr="00845012" w:rsidRDefault="00F935A6">
      <w:pPr>
        <w:rPr>
          <w:lang w:val="es-ES_tradnl"/>
        </w:rPr>
      </w:pPr>
      <w:bookmarkStart w:id="1" w:name="_GoBack"/>
      <w:bookmarkEnd w:id="1"/>
    </w:p>
    <w:sectPr w:rsidR="00F935A6" w:rsidRPr="008450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6C80" w:rsidRDefault="00796C80" w:rsidP="00845012">
      <w:pPr>
        <w:spacing w:after="0" w:line="240" w:lineRule="auto"/>
      </w:pPr>
      <w:r>
        <w:separator/>
      </w:r>
    </w:p>
  </w:endnote>
  <w:endnote w:type="continuationSeparator" w:id="0">
    <w:p w:rsidR="00796C80" w:rsidRDefault="00796C80" w:rsidP="00845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6C80" w:rsidRDefault="00796C80" w:rsidP="00845012">
      <w:pPr>
        <w:spacing w:after="0" w:line="240" w:lineRule="auto"/>
      </w:pPr>
      <w:r>
        <w:separator/>
      </w:r>
    </w:p>
  </w:footnote>
  <w:footnote w:type="continuationSeparator" w:id="0">
    <w:p w:rsidR="00796C80" w:rsidRDefault="00796C80" w:rsidP="00845012">
      <w:pPr>
        <w:spacing w:after="0" w:line="240" w:lineRule="auto"/>
      </w:pPr>
      <w:r>
        <w:continuationSeparator/>
      </w:r>
    </w:p>
  </w:footnote>
  <w:footnote w:id="1">
    <w:p w:rsidR="00845012" w:rsidRPr="00932EBC" w:rsidRDefault="00845012" w:rsidP="00845012">
      <w:pPr>
        <w:pStyle w:val="FootnoteText"/>
        <w:tabs>
          <w:tab w:val="clear" w:pos="1247"/>
          <w:tab w:val="clear" w:pos="1814"/>
          <w:tab w:val="clear" w:pos="2381"/>
          <w:tab w:val="clear" w:pos="2948"/>
          <w:tab w:val="clear" w:pos="3515"/>
          <w:tab w:val="clear" w:pos="4082"/>
        </w:tabs>
        <w:rPr>
          <w:szCs w:val="18"/>
          <w:lang w:val="es-ES"/>
        </w:rPr>
      </w:pPr>
      <w:r w:rsidRPr="00932EBC">
        <w:rPr>
          <w:rStyle w:val="FootnoteReference"/>
          <w:lang w:val="es-ES"/>
        </w:rPr>
        <w:footnoteRef/>
      </w:r>
      <w:r w:rsidRPr="00932EBC">
        <w:rPr>
          <w:szCs w:val="18"/>
          <w:lang w:val="es-ES"/>
        </w:rPr>
        <w:t xml:space="preserve"> Véanse http://chm.pops.int/tabid/4646/Default.aspx y http://chm.pops.int/tabid/4647/Default.aspx.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FA3E82"/>
    <w:multiLevelType w:val="hybridMultilevel"/>
    <w:tmpl w:val="7D0232E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8F01BB8"/>
    <w:multiLevelType w:val="hybridMultilevel"/>
    <w:tmpl w:val="26FE39B2"/>
    <w:lvl w:ilvl="0" w:tplc="0809000F">
      <w:start w:val="1"/>
      <w:numFmt w:val="decimal"/>
      <w:lvlText w:val="%1."/>
      <w:lvlJc w:val="left"/>
      <w:pPr>
        <w:ind w:left="720" w:hanging="360"/>
      </w:pPr>
    </w:lvl>
    <w:lvl w:ilvl="1" w:tplc="B032D95A">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lvlOverride w:ilvl="0">
      <w:lvl w:ilvl="0" w:tplc="0809000F">
        <w:start w:val="1"/>
        <w:numFmt w:val="decimal"/>
        <w:lvlText w:val="%1."/>
        <w:lvlJc w:val="left"/>
        <w:pPr>
          <w:ind w:left="720" w:hanging="360"/>
        </w:pPr>
      </w:lvl>
    </w:lvlOverride>
  </w:num>
  <w:num w:numId="2">
    <w:abstractNumId w:val="1"/>
    <w:lvlOverride w:ilvl="1">
      <w:lvl w:ilvl="1" w:tplc="B032D95A">
        <w:start w:val="1"/>
        <w:numFmt w:val="lowerLetter"/>
        <w:lvlText w:val="%2)"/>
        <w:lvlJc w:val="left"/>
        <w:pPr>
          <w:ind w:left="1440" w:hanging="36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012"/>
    <w:rsid w:val="00796C80"/>
    <w:rsid w:val="00845012"/>
    <w:rsid w:val="00F935A6"/>
    <w:rsid w:val="00FA6F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F864B4-8494-41AC-9404-EDC625576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1">
    <w:name w:val="CH1"/>
    <w:basedOn w:val="Normal"/>
    <w:next w:val="Normal"/>
    <w:rsid w:val="00845012"/>
    <w:pPr>
      <w:keepNext/>
      <w:keepLines/>
      <w:tabs>
        <w:tab w:val="right" w:pos="851"/>
        <w:tab w:val="left" w:pos="1247"/>
        <w:tab w:val="left" w:pos="1814"/>
        <w:tab w:val="left" w:pos="2381"/>
        <w:tab w:val="left" w:pos="2948"/>
        <w:tab w:val="left" w:pos="3515"/>
        <w:tab w:val="left" w:pos="4082"/>
      </w:tabs>
      <w:suppressAutoHyphens/>
      <w:spacing w:before="240" w:after="120" w:line="240" w:lineRule="auto"/>
      <w:ind w:left="1247" w:right="284" w:hanging="1247"/>
    </w:pPr>
    <w:rPr>
      <w:rFonts w:ascii="Times New Roman" w:eastAsia="Times New Roman" w:hAnsi="Times New Roman" w:cs="Times New Roman"/>
      <w:b/>
      <w:sz w:val="28"/>
      <w:szCs w:val="28"/>
      <w:lang w:val="en-GB" w:eastAsia="en-US"/>
    </w:rPr>
  </w:style>
  <w:style w:type="paragraph" w:customStyle="1" w:styleId="Normal-pool">
    <w:name w:val="Normal-pool"/>
    <w:link w:val="Normal-poolChar"/>
    <w:qFormat/>
    <w:rsid w:val="00845012"/>
    <w:pPr>
      <w:tabs>
        <w:tab w:val="left" w:pos="1247"/>
        <w:tab w:val="left" w:pos="1814"/>
        <w:tab w:val="left" w:pos="2381"/>
        <w:tab w:val="left" w:pos="2948"/>
        <w:tab w:val="left" w:pos="3515"/>
        <w:tab w:val="left" w:pos="4082"/>
      </w:tabs>
      <w:spacing w:after="0" w:line="240" w:lineRule="auto"/>
    </w:pPr>
    <w:rPr>
      <w:rFonts w:ascii="Times New Roman" w:eastAsia="Times New Roman" w:hAnsi="Times New Roman" w:cs="Times New Roman"/>
      <w:sz w:val="20"/>
      <w:szCs w:val="20"/>
      <w:lang w:val="en-GB" w:eastAsia="en-US"/>
    </w:rPr>
  </w:style>
  <w:style w:type="character" w:styleId="FootnoteReference">
    <w:name w:val="footnote reference"/>
    <w:aliases w:val="16 Point,Superscript 6 Point,ftref,(Ref. de nota al pie),number,SUPERS,Footnote Reference Superscript,Footnote Reference1,Ref,de nota al pie,註腳內容,de nota al pie + (Asian) MS Mincho,11 pt,Ref. de nota de rodapé1,stylish,Footnote symbol"/>
    <w:basedOn w:val="DefaultParagraphFont"/>
    <w:link w:val="BVIfnrCharCharCharChar"/>
    <w:uiPriority w:val="99"/>
    <w:qFormat/>
    <w:rsid w:val="00845012"/>
    <w:rPr>
      <w:rFonts w:ascii="Times New Roman" w:hAnsi="Times New Roman"/>
      <w:sz w:val="20"/>
      <w:szCs w:val="18"/>
      <w:vertAlign w:val="superscript"/>
    </w:rPr>
  </w:style>
  <w:style w:type="paragraph" w:styleId="FootnoteText">
    <w:name w:val="footnote text"/>
    <w:aliases w:val="Geneva 9,Font: Geneva 9,Boston 10,f,FOOTNOTES,fn,single space,Footnote Text Rail EIS,ft,Char,footnote text,Footnotes,Footnote ak,fn cafc,Footnotes Char Char,Footnote Text Char Char,fn Char Char,footnote text Char Char Char Ch,DNV-FT,text,9"/>
    <w:basedOn w:val="Normal"/>
    <w:link w:val="FootnoteTextChar"/>
    <w:qFormat/>
    <w:rsid w:val="00845012"/>
    <w:pPr>
      <w:tabs>
        <w:tab w:val="left" w:pos="1247"/>
        <w:tab w:val="left" w:pos="1814"/>
        <w:tab w:val="left" w:pos="2381"/>
        <w:tab w:val="left" w:pos="2948"/>
        <w:tab w:val="left" w:pos="3515"/>
        <w:tab w:val="left" w:pos="4082"/>
      </w:tabs>
      <w:spacing w:before="20" w:after="40" w:line="240" w:lineRule="auto"/>
      <w:ind w:left="1247"/>
    </w:pPr>
    <w:rPr>
      <w:rFonts w:ascii="Times New Roman" w:eastAsia="Times New Roman" w:hAnsi="Times New Roman" w:cs="Times New Roman"/>
      <w:sz w:val="18"/>
      <w:szCs w:val="20"/>
      <w:lang w:val="fr-FR" w:eastAsia="en-US"/>
    </w:rPr>
  </w:style>
  <w:style w:type="character" w:customStyle="1" w:styleId="FootnoteTextChar">
    <w:name w:val="Footnote Text Char"/>
    <w:aliases w:val="Geneva 9 Char,Font: Geneva 9 Char,Boston 10 Char,f Char,FOOTNOTES Char,fn Char,single space Char,Footnote Text Rail EIS Char,ft Char,Char Char,footnote text Char,Footnotes Char,Footnote ak Char,fn cafc Char,Footnotes Char Char Char"/>
    <w:basedOn w:val="DefaultParagraphFont"/>
    <w:link w:val="FootnoteText"/>
    <w:rsid w:val="00845012"/>
    <w:rPr>
      <w:rFonts w:ascii="Times New Roman" w:eastAsia="Times New Roman" w:hAnsi="Times New Roman" w:cs="Times New Roman"/>
      <w:sz w:val="18"/>
      <w:szCs w:val="20"/>
      <w:lang w:val="fr-FR" w:eastAsia="en-US"/>
    </w:rPr>
  </w:style>
  <w:style w:type="character" w:customStyle="1" w:styleId="Normal-poolChar">
    <w:name w:val="Normal-pool Char"/>
    <w:link w:val="Normal-pool"/>
    <w:rsid w:val="00845012"/>
    <w:rPr>
      <w:rFonts w:ascii="Times New Roman" w:eastAsia="Times New Roman" w:hAnsi="Times New Roman" w:cs="Times New Roman"/>
      <w:sz w:val="20"/>
      <w:szCs w:val="20"/>
      <w:lang w:val="en-GB" w:eastAsia="en-US"/>
    </w:rPr>
  </w:style>
  <w:style w:type="paragraph" w:customStyle="1" w:styleId="BVIfnrCharCharCharChar">
    <w:name w:val="BVI fnr Char Char Char Char"/>
    <w:aliases w:val="BVI fnr Car Car Char Char Char Char,BVI fnr Car Char Char Char Char,BVI fnr Car Car Car Car Char Char Char Char,BVI fnr Car Car Car Car Char Char Char1 Char Char, BVI fnr Car Car Char Char Char Char"/>
    <w:basedOn w:val="Normal"/>
    <w:link w:val="FootnoteReference"/>
    <w:uiPriority w:val="99"/>
    <w:rsid w:val="00845012"/>
    <w:pPr>
      <w:spacing w:before="120" w:line="240" w:lineRule="exact"/>
    </w:pPr>
    <w:rPr>
      <w:rFonts w:ascii="Times New Roman" w:hAnsi="Times New Roman"/>
      <w:sz w:val="20"/>
      <w:szCs w:val="18"/>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398</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Gong</dc:creator>
  <cp:keywords/>
  <dc:description/>
  <cp:lastModifiedBy>Le Gong</cp:lastModifiedBy>
  <cp:revision>1</cp:revision>
  <dcterms:created xsi:type="dcterms:W3CDTF">2020-01-20T13:28:00Z</dcterms:created>
  <dcterms:modified xsi:type="dcterms:W3CDTF">2020-01-20T13:29:00Z</dcterms:modified>
</cp:coreProperties>
</file>