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9BA" w:rsidRPr="001E55DD" w:rsidRDefault="00F529BA" w:rsidP="00F529BA">
      <w:pPr>
        <w:pStyle w:val="CH1"/>
        <w:tabs>
          <w:tab w:val="clear" w:pos="851"/>
          <w:tab w:val="clear" w:pos="1247"/>
          <w:tab w:val="clear" w:pos="1814"/>
          <w:tab w:val="clear" w:pos="2381"/>
          <w:tab w:val="clear" w:pos="2948"/>
          <w:tab w:val="clear" w:pos="3515"/>
          <w:tab w:val="clear" w:pos="4082"/>
        </w:tabs>
        <w:ind w:firstLine="0"/>
      </w:pPr>
      <w:r w:rsidRPr="001E55DD">
        <w:tab/>
        <w:t>SC-9/18: Global monitoring plan for effectiveness evaluation</w:t>
      </w:r>
    </w:p>
    <w:p w:rsidR="00F529BA" w:rsidRPr="001E55DD" w:rsidRDefault="00F529BA" w:rsidP="00F529BA">
      <w:pPr>
        <w:pStyle w:val="Normalpool"/>
        <w:tabs>
          <w:tab w:val="clear" w:pos="1247"/>
          <w:tab w:val="clear" w:pos="1814"/>
          <w:tab w:val="clear" w:pos="2381"/>
          <w:tab w:val="clear" w:pos="2948"/>
          <w:tab w:val="clear" w:pos="3515"/>
          <w:tab w:val="clear" w:pos="4082"/>
          <w:tab w:val="left" w:pos="624"/>
        </w:tabs>
        <w:spacing w:after="120"/>
        <w:ind w:left="1247" w:firstLine="624"/>
        <w:rPr>
          <w:i/>
          <w:lang w:val="en-GB"/>
        </w:rPr>
      </w:pPr>
      <w:r w:rsidRPr="001E55DD">
        <w:rPr>
          <w:i/>
          <w:lang w:val="en-GB"/>
        </w:rPr>
        <w:t xml:space="preserve">The Conference of </w:t>
      </w:r>
      <w:r w:rsidRPr="001E55DD">
        <w:rPr>
          <w:lang w:val="en-GB"/>
        </w:rPr>
        <w:t>the</w:t>
      </w:r>
      <w:r w:rsidRPr="001E55DD">
        <w:rPr>
          <w:i/>
          <w:lang w:val="en-GB"/>
        </w:rPr>
        <w:t xml:space="preserve"> Parties</w:t>
      </w:r>
    </w:p>
    <w:p w:rsidR="00F529BA" w:rsidRPr="001E55DD" w:rsidRDefault="00F529BA" w:rsidP="00F529BA">
      <w:pPr>
        <w:pStyle w:val="Normal-pool"/>
        <w:numPr>
          <w:ilvl w:val="0"/>
          <w:numId w:val="2"/>
        </w:numPr>
        <w:tabs>
          <w:tab w:val="clear" w:pos="1247"/>
          <w:tab w:val="clear" w:pos="1814"/>
          <w:tab w:val="clear" w:pos="2381"/>
          <w:tab w:val="clear" w:pos="2948"/>
          <w:tab w:val="clear" w:pos="3215"/>
          <w:tab w:val="clear" w:pos="3515"/>
          <w:tab w:val="clear" w:pos="4082"/>
          <w:tab w:val="num" w:pos="624"/>
        </w:tabs>
        <w:spacing w:after="120"/>
        <w:ind w:left="1247" w:firstLine="624"/>
        <w:rPr>
          <w:iCs/>
          <w:color w:val="000000"/>
        </w:rPr>
      </w:pPr>
      <w:r w:rsidRPr="001E55DD">
        <w:rPr>
          <w:i/>
          <w:iCs/>
          <w:color w:val="000000"/>
        </w:rPr>
        <w:t xml:space="preserve">Takes note </w:t>
      </w:r>
      <w:r w:rsidRPr="001E55DD">
        <w:rPr>
          <w:iCs/>
          <w:color w:val="000000"/>
        </w:rPr>
        <w:t xml:space="preserve">of the report of the meeting </w:t>
      </w:r>
      <w:r w:rsidRPr="00BE5F98">
        <w:rPr>
          <w:iCs/>
          <w:color w:val="000000"/>
        </w:rPr>
        <w:t>of the global c</w:t>
      </w:r>
      <w:r w:rsidRPr="001E55DD">
        <w:rPr>
          <w:iCs/>
          <w:color w:val="000000"/>
        </w:rPr>
        <w:t xml:space="preserve">oordination group and the regional organization groups, including the </w:t>
      </w:r>
      <w:bookmarkStart w:id="0" w:name="_Hlk526330564"/>
      <w:r w:rsidRPr="001E55DD">
        <w:rPr>
          <w:iCs/>
          <w:color w:val="000000"/>
        </w:rPr>
        <w:t>regional strategies for implementation of the third phase of the global monitoring plan, setting out monitoring arrangements and timelines for the completion of the third regional monitoring reports</w:t>
      </w:r>
      <w:bookmarkEnd w:id="0"/>
      <w:r w:rsidRPr="001E55DD">
        <w:rPr>
          <w:iCs/>
          <w:color w:val="000000"/>
        </w:rPr>
        <w:t>,</w:t>
      </w:r>
      <w:r w:rsidRPr="001E55DD">
        <w:rPr>
          <w:rStyle w:val="FootnoteReference"/>
          <w:iCs/>
          <w:sz w:val="18"/>
        </w:rPr>
        <w:footnoteReference w:id="1"/>
      </w:r>
      <w:r w:rsidRPr="001E55DD">
        <w:rPr>
          <w:iCs/>
          <w:color w:val="000000"/>
          <w:vertAlign w:val="subscript"/>
        </w:rPr>
        <w:t xml:space="preserve"> </w:t>
      </w:r>
      <w:r w:rsidRPr="001E55DD">
        <w:rPr>
          <w:iCs/>
          <w:color w:val="000000"/>
        </w:rPr>
        <w:t xml:space="preserve">and of the report by the </w:t>
      </w:r>
      <w:r w:rsidRPr="001E55DD">
        <w:t>United Nations Environment Programme on sustainable monitoring in the framework of the global monitoring plan;</w:t>
      </w:r>
      <w:r w:rsidRPr="001E55DD">
        <w:rPr>
          <w:rStyle w:val="FootnoteReference"/>
          <w:sz w:val="18"/>
        </w:rPr>
        <w:footnoteReference w:id="2"/>
      </w:r>
    </w:p>
    <w:p w:rsidR="00F529BA" w:rsidRPr="001E55DD" w:rsidRDefault="00F529BA" w:rsidP="00F529BA">
      <w:pPr>
        <w:pStyle w:val="Normal-pool"/>
        <w:numPr>
          <w:ilvl w:val="0"/>
          <w:numId w:val="2"/>
        </w:numPr>
        <w:tabs>
          <w:tab w:val="clear" w:pos="1247"/>
          <w:tab w:val="clear" w:pos="1814"/>
          <w:tab w:val="clear" w:pos="2381"/>
          <w:tab w:val="clear" w:pos="2948"/>
          <w:tab w:val="clear" w:pos="3215"/>
          <w:tab w:val="clear" w:pos="3515"/>
          <w:tab w:val="clear" w:pos="4082"/>
          <w:tab w:val="num" w:pos="624"/>
        </w:tabs>
        <w:spacing w:after="120"/>
        <w:ind w:left="1247" w:firstLine="624"/>
        <w:rPr>
          <w:iCs/>
          <w:color w:val="000000"/>
        </w:rPr>
      </w:pPr>
      <w:r w:rsidRPr="001E55DD">
        <w:rPr>
          <w:i/>
          <w:iCs/>
          <w:color w:val="000000"/>
        </w:rPr>
        <w:t xml:space="preserve">Acknowledges </w:t>
      </w:r>
      <w:r w:rsidRPr="001E55DD">
        <w:rPr>
          <w:iCs/>
          <w:color w:val="000000"/>
        </w:rPr>
        <w:t>the need for the global monitoring plan to be sustained in the long term to enable it to continue providing valuable data for effectiveness evaluation;</w:t>
      </w:r>
      <w:r w:rsidRPr="001E55DD">
        <w:rPr>
          <w:i/>
          <w:iCs/>
          <w:color w:val="000000"/>
        </w:rPr>
        <w:t xml:space="preserve"> </w:t>
      </w:r>
    </w:p>
    <w:p w:rsidR="00F529BA" w:rsidRPr="001E55DD" w:rsidRDefault="00F529BA" w:rsidP="00F529BA">
      <w:pPr>
        <w:pStyle w:val="Normal-pool"/>
        <w:numPr>
          <w:ilvl w:val="0"/>
          <w:numId w:val="2"/>
        </w:numPr>
        <w:tabs>
          <w:tab w:val="clear" w:pos="1247"/>
          <w:tab w:val="clear" w:pos="1814"/>
          <w:tab w:val="clear" w:pos="2381"/>
          <w:tab w:val="clear" w:pos="2948"/>
          <w:tab w:val="clear" w:pos="3215"/>
          <w:tab w:val="clear" w:pos="3515"/>
          <w:tab w:val="clear" w:pos="4082"/>
          <w:tab w:val="num" w:pos="624"/>
        </w:tabs>
        <w:spacing w:after="120"/>
        <w:ind w:left="1247" w:firstLine="624"/>
        <w:rPr>
          <w:iCs/>
          <w:color w:val="000000"/>
        </w:rPr>
      </w:pPr>
      <w:r w:rsidRPr="001E55DD">
        <w:rPr>
          <w:i/>
          <w:iCs/>
          <w:color w:val="000000"/>
        </w:rPr>
        <w:t xml:space="preserve">Takes note </w:t>
      </w:r>
      <w:r w:rsidRPr="001E55DD">
        <w:rPr>
          <w:iCs/>
          <w:color w:val="000000"/>
        </w:rPr>
        <w:t xml:space="preserve">of the </w:t>
      </w:r>
      <w:r w:rsidRPr="001E55DD">
        <w:t>draft updated guidance on the global monitoring plan for persistent organic pollutants;</w:t>
      </w:r>
      <w:r w:rsidRPr="001E55DD">
        <w:rPr>
          <w:rStyle w:val="FootnoteReference"/>
          <w:iCs/>
          <w:sz w:val="18"/>
        </w:rPr>
        <w:footnoteReference w:id="3"/>
      </w:r>
    </w:p>
    <w:p w:rsidR="00F529BA" w:rsidRPr="001E55DD" w:rsidRDefault="00F529BA" w:rsidP="00F529BA">
      <w:pPr>
        <w:pStyle w:val="Normal-pool"/>
        <w:numPr>
          <w:ilvl w:val="0"/>
          <w:numId w:val="2"/>
        </w:numPr>
        <w:tabs>
          <w:tab w:val="clear" w:pos="1247"/>
          <w:tab w:val="clear" w:pos="1814"/>
          <w:tab w:val="clear" w:pos="2381"/>
          <w:tab w:val="clear" w:pos="2948"/>
          <w:tab w:val="clear" w:pos="3215"/>
          <w:tab w:val="clear" w:pos="3515"/>
          <w:tab w:val="clear" w:pos="4082"/>
          <w:tab w:val="num" w:pos="624"/>
        </w:tabs>
        <w:spacing w:after="120"/>
        <w:ind w:left="1247" w:firstLine="624"/>
        <w:rPr>
          <w:i/>
          <w:iCs/>
          <w:color w:val="000000"/>
        </w:rPr>
      </w:pPr>
      <w:r w:rsidRPr="001E55DD">
        <w:rPr>
          <w:i/>
          <w:iCs/>
          <w:color w:val="000000"/>
        </w:rPr>
        <w:t xml:space="preserve">Requests </w:t>
      </w:r>
      <w:r w:rsidRPr="001E55DD">
        <w:rPr>
          <w:iCs/>
          <w:color w:val="000000"/>
        </w:rPr>
        <w:t>the regional organization groups and the global coordination group</w:t>
      </w:r>
      <w:r w:rsidRPr="001E55DD">
        <w:t xml:space="preserve"> t</w:t>
      </w:r>
      <w:r w:rsidRPr="001E55DD">
        <w:rPr>
          <w:rFonts w:eastAsia="SimSun"/>
        </w:rPr>
        <w:t>o continue to implement the global monitoring plan according to their terms of reference and mandate,</w:t>
      </w:r>
      <w:r w:rsidRPr="001E55DD">
        <w:rPr>
          <w:rStyle w:val="FootnoteReference"/>
          <w:rFonts w:eastAsia="SimSun"/>
          <w:sz w:val="18"/>
        </w:rPr>
        <w:footnoteReference w:id="4"/>
      </w:r>
      <w:r w:rsidRPr="001E55DD">
        <w:rPr>
          <w:rFonts w:eastAsia="SimSun"/>
        </w:rPr>
        <w:t xml:space="preserve"> taking into account the regional strategies referred to in paragraph 1 of the present decision and subject to the availability of resources, and to present to the Conference of the Parties at its tenth meeting the third regional monitoring reports and the </w:t>
      </w:r>
      <w:r w:rsidRPr="001E55DD">
        <w:t>updated guidance on the global monitoring plan for persistent organic pollutants</w:t>
      </w:r>
      <w:r w:rsidRPr="001E55DD">
        <w:rPr>
          <w:rFonts w:eastAsia="SimSun"/>
        </w:rPr>
        <w:t>;</w:t>
      </w:r>
    </w:p>
    <w:p w:rsidR="00F529BA" w:rsidRPr="001E55DD" w:rsidRDefault="00F529BA" w:rsidP="00F529BA">
      <w:pPr>
        <w:pStyle w:val="Normal-pool"/>
        <w:numPr>
          <w:ilvl w:val="0"/>
          <w:numId w:val="2"/>
        </w:numPr>
        <w:tabs>
          <w:tab w:val="clear" w:pos="1247"/>
          <w:tab w:val="clear" w:pos="1814"/>
          <w:tab w:val="clear" w:pos="2381"/>
          <w:tab w:val="clear" w:pos="2948"/>
          <w:tab w:val="clear" w:pos="3215"/>
          <w:tab w:val="clear" w:pos="3515"/>
          <w:tab w:val="clear" w:pos="4082"/>
          <w:tab w:val="num" w:pos="624"/>
        </w:tabs>
        <w:spacing w:after="120"/>
        <w:ind w:left="1247" w:firstLine="624"/>
        <w:rPr>
          <w:iCs/>
          <w:color w:val="000000"/>
        </w:rPr>
      </w:pPr>
      <w:r w:rsidRPr="001E55DD">
        <w:rPr>
          <w:i/>
          <w:iCs/>
          <w:color w:val="000000"/>
        </w:rPr>
        <w:t xml:space="preserve">Requests </w:t>
      </w:r>
      <w:r w:rsidRPr="001E55DD">
        <w:rPr>
          <w:iCs/>
          <w:color w:val="000000"/>
        </w:rPr>
        <w:t>the Secretariat, subject to the availability of resources:</w:t>
      </w:r>
    </w:p>
    <w:p w:rsidR="00F529BA" w:rsidRPr="001E55DD" w:rsidRDefault="00F529BA" w:rsidP="00F529BA">
      <w:pPr>
        <w:pStyle w:val="Normal-pool"/>
        <w:numPr>
          <w:ilvl w:val="1"/>
          <w:numId w:val="2"/>
        </w:numPr>
        <w:tabs>
          <w:tab w:val="clear" w:pos="1247"/>
          <w:tab w:val="clear" w:pos="1814"/>
          <w:tab w:val="clear" w:pos="2381"/>
          <w:tab w:val="clear" w:pos="2948"/>
          <w:tab w:val="clear" w:pos="3515"/>
          <w:tab w:val="clear" w:pos="3935"/>
          <w:tab w:val="clear" w:pos="4082"/>
          <w:tab w:val="left" w:pos="624"/>
        </w:tabs>
        <w:spacing w:after="120"/>
        <w:ind w:left="1247" w:firstLine="624"/>
        <w:rPr>
          <w:rFonts w:eastAsia="SimSun"/>
        </w:rPr>
      </w:pPr>
      <w:r w:rsidRPr="001E55DD">
        <w:rPr>
          <w:iCs/>
          <w:color w:val="000000"/>
        </w:rPr>
        <w:t>To c</w:t>
      </w:r>
      <w:r w:rsidRPr="001E55DD">
        <w:rPr>
          <w:rFonts w:eastAsia="SimSun"/>
        </w:rPr>
        <w:t xml:space="preserve">ontinue to support the work of the regional organization groups and the global coordination group in the implementation of the third phase of the global monitoring plan; </w:t>
      </w:r>
    </w:p>
    <w:p w:rsidR="00F529BA" w:rsidRPr="001E55DD" w:rsidRDefault="00F529BA" w:rsidP="00F529BA">
      <w:pPr>
        <w:pStyle w:val="Normal-pool"/>
        <w:numPr>
          <w:ilvl w:val="1"/>
          <w:numId w:val="2"/>
        </w:numPr>
        <w:tabs>
          <w:tab w:val="clear" w:pos="1247"/>
          <w:tab w:val="clear" w:pos="1814"/>
          <w:tab w:val="clear" w:pos="2381"/>
          <w:tab w:val="clear" w:pos="2948"/>
          <w:tab w:val="clear" w:pos="3515"/>
          <w:tab w:val="clear" w:pos="3935"/>
          <w:tab w:val="clear" w:pos="4082"/>
          <w:tab w:val="left" w:pos="624"/>
        </w:tabs>
        <w:spacing w:after="120"/>
        <w:ind w:left="1247" w:firstLine="624"/>
        <w:rPr>
          <w:rFonts w:eastAsia="SimSun"/>
        </w:rPr>
      </w:pPr>
      <w:r w:rsidRPr="001E55DD">
        <w:rPr>
          <w:rFonts w:eastAsia="SimSun"/>
        </w:rPr>
        <w:t>To continue to support training and capacity</w:t>
      </w:r>
      <w:r w:rsidRPr="001E55DD">
        <w:rPr>
          <w:rFonts w:eastAsia="SimSun"/>
        </w:rPr>
        <w:noBreakHyphen/>
        <w:t xml:space="preserve">building activities to assist Parties, </w:t>
      </w:r>
      <w:proofErr w:type="gramStart"/>
      <w:r w:rsidRPr="001E55DD">
        <w:rPr>
          <w:rFonts w:eastAsia="SimSun"/>
        </w:rPr>
        <w:t>in particular developing</w:t>
      </w:r>
      <w:proofErr w:type="gramEnd"/>
      <w:r w:rsidRPr="001E55DD">
        <w:rPr>
          <w:rFonts w:eastAsia="SimSun"/>
        </w:rPr>
        <w:t xml:space="preserve"> country Parties and Parties with economies in transition, in implementing the global </w:t>
      </w:r>
      <w:r w:rsidRPr="001E55DD">
        <w:rPr>
          <w:iCs/>
          <w:color w:val="000000"/>
        </w:rPr>
        <w:t>monitoring</w:t>
      </w:r>
      <w:r w:rsidRPr="001E55DD">
        <w:rPr>
          <w:rFonts w:eastAsia="SimSun"/>
        </w:rPr>
        <w:t xml:space="preserve"> plan for subsequent effectiveness evaluations, and to work with partners and other relevant organizations to undertake implementation activities;</w:t>
      </w:r>
    </w:p>
    <w:p w:rsidR="00F529BA" w:rsidRPr="001E55DD" w:rsidRDefault="00F529BA" w:rsidP="00F529BA">
      <w:pPr>
        <w:pStyle w:val="Normal-pool"/>
        <w:numPr>
          <w:ilvl w:val="0"/>
          <w:numId w:val="2"/>
        </w:numPr>
        <w:tabs>
          <w:tab w:val="clear" w:pos="1247"/>
          <w:tab w:val="clear" w:pos="1814"/>
          <w:tab w:val="clear" w:pos="2381"/>
          <w:tab w:val="clear" w:pos="2948"/>
          <w:tab w:val="clear" w:pos="3215"/>
          <w:tab w:val="clear" w:pos="3515"/>
          <w:tab w:val="clear" w:pos="4082"/>
          <w:tab w:val="num" w:pos="624"/>
        </w:tabs>
        <w:spacing w:after="120"/>
        <w:ind w:left="1247" w:firstLine="624"/>
        <w:rPr>
          <w:rFonts w:eastAsia="SimSun"/>
        </w:rPr>
      </w:pPr>
      <w:r w:rsidRPr="001E55DD">
        <w:rPr>
          <w:rFonts w:eastAsia="SimSun"/>
          <w:i/>
        </w:rPr>
        <w:t xml:space="preserve">Also </w:t>
      </w:r>
      <w:r w:rsidRPr="001E55DD">
        <w:rPr>
          <w:i/>
          <w:iCs/>
          <w:color w:val="000000"/>
        </w:rPr>
        <w:t>requests</w:t>
      </w:r>
      <w:r w:rsidRPr="001E55DD">
        <w:rPr>
          <w:iCs/>
          <w:color w:val="000000"/>
        </w:rPr>
        <w:t xml:space="preserve"> the Secretariat to organize two meetings of the global coordination group;</w:t>
      </w:r>
    </w:p>
    <w:p w:rsidR="00F529BA" w:rsidRPr="001E55DD" w:rsidRDefault="00F529BA" w:rsidP="00F529BA">
      <w:pPr>
        <w:pStyle w:val="Normal-pool"/>
        <w:numPr>
          <w:ilvl w:val="0"/>
          <w:numId w:val="2"/>
        </w:numPr>
        <w:tabs>
          <w:tab w:val="clear" w:pos="1247"/>
          <w:tab w:val="clear" w:pos="1814"/>
          <w:tab w:val="clear" w:pos="2381"/>
          <w:tab w:val="clear" w:pos="2948"/>
          <w:tab w:val="clear" w:pos="3215"/>
          <w:tab w:val="clear" w:pos="3515"/>
          <w:tab w:val="clear" w:pos="4082"/>
          <w:tab w:val="num" w:pos="624"/>
        </w:tabs>
        <w:spacing w:after="120"/>
        <w:ind w:left="1247" w:firstLine="624"/>
        <w:rPr>
          <w:iCs/>
          <w:color w:val="000000"/>
        </w:rPr>
      </w:pPr>
      <w:r w:rsidRPr="001E55DD">
        <w:rPr>
          <w:i/>
          <w:iCs/>
          <w:color w:val="000000"/>
        </w:rPr>
        <w:t xml:space="preserve">Encourages </w:t>
      </w:r>
      <w:r w:rsidRPr="001E55DD">
        <w:rPr>
          <w:iCs/>
          <w:color w:val="000000"/>
        </w:rPr>
        <w:t xml:space="preserve">Parties to consider the regional strategies referred to in paragraph 1 of the present decision and to engage actively in the implementation of the global monitoring plan and the effectiveness evaluation, in particular:  </w:t>
      </w:r>
    </w:p>
    <w:p w:rsidR="00F529BA" w:rsidRPr="001E55DD" w:rsidRDefault="00F529BA" w:rsidP="00F529BA">
      <w:pPr>
        <w:pStyle w:val="Normal-pool"/>
        <w:numPr>
          <w:ilvl w:val="1"/>
          <w:numId w:val="2"/>
        </w:numPr>
        <w:tabs>
          <w:tab w:val="clear" w:pos="1247"/>
          <w:tab w:val="clear" w:pos="1814"/>
          <w:tab w:val="clear" w:pos="2381"/>
          <w:tab w:val="clear" w:pos="2948"/>
          <w:tab w:val="clear" w:pos="3515"/>
          <w:tab w:val="clear" w:pos="3935"/>
          <w:tab w:val="clear" w:pos="4082"/>
          <w:tab w:val="num" w:pos="624"/>
        </w:tabs>
        <w:spacing w:after="120"/>
        <w:ind w:left="1247" w:firstLine="624"/>
        <w:rPr>
          <w:rFonts w:eastAsia="SimSun"/>
        </w:rPr>
      </w:pPr>
      <w:r w:rsidRPr="001E55DD">
        <w:rPr>
          <w:rFonts w:eastAsia="SimSun"/>
        </w:rPr>
        <w:t xml:space="preserve">To continue to monitor the core media of air and human breast milk or human blood and, for those Parties in a position to do so, to initiate monitoring of </w:t>
      </w:r>
      <w:proofErr w:type="spellStart"/>
      <w:r w:rsidRPr="001E55DD">
        <w:rPr>
          <w:rFonts w:eastAsia="SimSun"/>
        </w:rPr>
        <w:t>perfluorooctane</w:t>
      </w:r>
      <w:proofErr w:type="spellEnd"/>
      <w:r w:rsidRPr="001E55DD">
        <w:rPr>
          <w:rFonts w:eastAsia="SimSun"/>
        </w:rPr>
        <w:t xml:space="preserve"> sulfonate in surface water in support of future evaluations, and to share the resulting monitoring data through their respective regional organization groups; </w:t>
      </w:r>
    </w:p>
    <w:p w:rsidR="00F529BA" w:rsidRPr="001E55DD" w:rsidRDefault="00F529BA" w:rsidP="00F529BA">
      <w:pPr>
        <w:pStyle w:val="Normal-pool"/>
        <w:numPr>
          <w:ilvl w:val="1"/>
          <w:numId w:val="2"/>
        </w:numPr>
        <w:tabs>
          <w:tab w:val="clear" w:pos="1247"/>
          <w:tab w:val="clear" w:pos="1814"/>
          <w:tab w:val="clear" w:pos="2381"/>
          <w:tab w:val="clear" w:pos="2948"/>
          <w:tab w:val="clear" w:pos="3515"/>
          <w:tab w:val="clear" w:pos="3935"/>
          <w:tab w:val="clear" w:pos="4082"/>
          <w:tab w:val="num" w:pos="624"/>
        </w:tabs>
        <w:spacing w:after="120"/>
        <w:ind w:left="1247" w:firstLine="624"/>
      </w:pPr>
      <w:r w:rsidRPr="00F529BA">
        <w:rPr>
          <w:rFonts w:eastAsia="SimSun"/>
        </w:rPr>
        <w:t>To support the further development and long-term implementation of the global monitoring plan if in a position to do so.</w:t>
      </w:r>
      <w:bookmarkStart w:id="1" w:name="_GoBack"/>
      <w:bookmarkEnd w:id="1"/>
    </w:p>
    <w:p w:rsidR="00F935A6" w:rsidRPr="00F529BA" w:rsidRDefault="00F935A6" w:rsidP="00F529BA"/>
    <w:sectPr w:rsidR="00F935A6" w:rsidRPr="00F529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5EE" w:rsidRDefault="00F025EE" w:rsidP="000475F6">
      <w:r>
        <w:separator/>
      </w:r>
    </w:p>
  </w:endnote>
  <w:endnote w:type="continuationSeparator" w:id="0">
    <w:p w:rsidR="00F025EE" w:rsidRDefault="00F025EE" w:rsidP="0004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5EE" w:rsidRDefault="00F025EE" w:rsidP="000475F6">
      <w:r>
        <w:separator/>
      </w:r>
    </w:p>
  </w:footnote>
  <w:footnote w:type="continuationSeparator" w:id="0">
    <w:p w:rsidR="00F025EE" w:rsidRDefault="00F025EE" w:rsidP="000475F6">
      <w:r>
        <w:continuationSeparator/>
      </w:r>
    </w:p>
  </w:footnote>
  <w:footnote w:id="1">
    <w:p w:rsidR="00F529BA" w:rsidRPr="007D12AB" w:rsidRDefault="00F529BA" w:rsidP="00F529BA">
      <w:pPr>
        <w:pStyle w:val="FootnoteText"/>
        <w:tabs>
          <w:tab w:val="left" w:pos="624"/>
        </w:tabs>
        <w:rPr>
          <w:szCs w:val="18"/>
          <w:lang w:val="en-GB"/>
        </w:rPr>
      </w:pPr>
      <w:r w:rsidRPr="007D12AB">
        <w:rPr>
          <w:rStyle w:val="FootnoteReference"/>
          <w:lang w:val="en-GB"/>
        </w:rPr>
        <w:footnoteRef/>
      </w:r>
      <w:r w:rsidRPr="007D12AB">
        <w:rPr>
          <w:szCs w:val="18"/>
          <w:lang w:val="en-GB"/>
        </w:rPr>
        <w:t xml:space="preserve"> See UNEP/POPS/COP.9/INF/35. </w:t>
      </w:r>
    </w:p>
  </w:footnote>
  <w:footnote w:id="2">
    <w:p w:rsidR="00F529BA" w:rsidRPr="007D12AB" w:rsidRDefault="00F529BA" w:rsidP="00F529BA">
      <w:pPr>
        <w:pStyle w:val="FootnoteText"/>
        <w:tabs>
          <w:tab w:val="left" w:pos="624"/>
        </w:tabs>
        <w:rPr>
          <w:szCs w:val="18"/>
          <w:lang w:val="en-GB"/>
        </w:rPr>
      </w:pPr>
      <w:r w:rsidRPr="007D12AB">
        <w:rPr>
          <w:rStyle w:val="FootnoteReference"/>
          <w:lang w:val="en-GB"/>
        </w:rPr>
        <w:footnoteRef/>
      </w:r>
      <w:r w:rsidRPr="007D12AB">
        <w:rPr>
          <w:szCs w:val="18"/>
          <w:lang w:val="en-GB"/>
        </w:rPr>
        <w:t xml:space="preserve"> See UNEP/POPS/COP.9/INF/37.</w:t>
      </w:r>
    </w:p>
  </w:footnote>
  <w:footnote w:id="3">
    <w:p w:rsidR="00F529BA" w:rsidRPr="007D12AB" w:rsidRDefault="00F529BA" w:rsidP="00F529BA">
      <w:pPr>
        <w:pStyle w:val="FootnoteText"/>
        <w:tabs>
          <w:tab w:val="left" w:pos="624"/>
        </w:tabs>
        <w:rPr>
          <w:szCs w:val="18"/>
          <w:lang w:val="en-GB"/>
        </w:rPr>
      </w:pPr>
      <w:r w:rsidRPr="007D12AB">
        <w:rPr>
          <w:rStyle w:val="FootnoteReference"/>
          <w:lang w:val="en-GB"/>
        </w:rPr>
        <w:footnoteRef/>
      </w:r>
      <w:r w:rsidRPr="007D12AB">
        <w:rPr>
          <w:szCs w:val="18"/>
          <w:lang w:val="en-GB"/>
        </w:rPr>
        <w:t xml:space="preserve"> See UNEP/POPS/COP.9/INF/36.</w:t>
      </w:r>
    </w:p>
  </w:footnote>
  <w:footnote w:id="4">
    <w:p w:rsidR="00F529BA" w:rsidRPr="007D12AB" w:rsidRDefault="00F529BA" w:rsidP="00F529BA">
      <w:pPr>
        <w:pStyle w:val="FootnoteText"/>
        <w:tabs>
          <w:tab w:val="left" w:pos="624"/>
        </w:tabs>
        <w:rPr>
          <w:szCs w:val="18"/>
          <w:lang w:val="en-GB"/>
        </w:rPr>
      </w:pPr>
      <w:r w:rsidRPr="007D12AB">
        <w:rPr>
          <w:rStyle w:val="FootnoteReference"/>
          <w:lang w:val="en-GB"/>
        </w:rPr>
        <w:footnoteRef/>
      </w:r>
      <w:r w:rsidRPr="007D12AB">
        <w:rPr>
          <w:szCs w:val="18"/>
          <w:lang w:val="en-GB"/>
        </w:rPr>
        <w:t xml:space="preserve"> Decision SC-8/19, annex.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60733"/>
    <w:multiLevelType w:val="hybridMultilevel"/>
    <w:tmpl w:val="50483968"/>
    <w:lvl w:ilvl="0" w:tplc="7ADCB266">
      <w:start w:val="1"/>
      <w:numFmt w:val="decimal"/>
      <w:lvlText w:val="%1."/>
      <w:lvlJc w:val="left"/>
      <w:pPr>
        <w:ind w:left="3217" w:hanging="360"/>
      </w:pPr>
      <w:rPr>
        <w:i w:val="0"/>
      </w:rPr>
    </w:lvl>
    <w:lvl w:ilvl="1" w:tplc="8672668E">
      <w:start w:val="1"/>
      <w:numFmt w:val="lowerLetter"/>
      <w:lvlText w:val="%2."/>
      <w:lvlJc w:val="left"/>
      <w:pPr>
        <w:ind w:left="3937" w:hanging="360"/>
      </w:pPr>
    </w:lvl>
    <w:lvl w:ilvl="2" w:tplc="EF66C762" w:tentative="1">
      <w:start w:val="1"/>
      <w:numFmt w:val="lowerRoman"/>
      <w:lvlText w:val="%3."/>
      <w:lvlJc w:val="right"/>
      <w:pPr>
        <w:ind w:left="4657" w:hanging="180"/>
      </w:pPr>
    </w:lvl>
    <w:lvl w:ilvl="3" w:tplc="84E6DDD8" w:tentative="1">
      <w:start w:val="1"/>
      <w:numFmt w:val="decimal"/>
      <w:lvlText w:val="%4."/>
      <w:lvlJc w:val="left"/>
      <w:pPr>
        <w:ind w:left="5377" w:hanging="360"/>
      </w:pPr>
    </w:lvl>
    <w:lvl w:ilvl="4" w:tplc="608C4878" w:tentative="1">
      <w:start w:val="1"/>
      <w:numFmt w:val="lowerLetter"/>
      <w:lvlText w:val="%5."/>
      <w:lvlJc w:val="left"/>
      <w:pPr>
        <w:ind w:left="6097" w:hanging="360"/>
      </w:pPr>
    </w:lvl>
    <w:lvl w:ilvl="5" w:tplc="70F00EA2" w:tentative="1">
      <w:start w:val="1"/>
      <w:numFmt w:val="lowerRoman"/>
      <w:lvlText w:val="%6."/>
      <w:lvlJc w:val="right"/>
      <w:pPr>
        <w:ind w:left="6817" w:hanging="180"/>
      </w:pPr>
    </w:lvl>
    <w:lvl w:ilvl="6" w:tplc="E2DEDBFE" w:tentative="1">
      <w:start w:val="1"/>
      <w:numFmt w:val="decimal"/>
      <w:lvlText w:val="%7."/>
      <w:lvlJc w:val="left"/>
      <w:pPr>
        <w:ind w:left="7537" w:hanging="360"/>
      </w:pPr>
    </w:lvl>
    <w:lvl w:ilvl="7" w:tplc="1CA6881A" w:tentative="1">
      <w:start w:val="1"/>
      <w:numFmt w:val="lowerLetter"/>
      <w:lvlText w:val="%8."/>
      <w:lvlJc w:val="left"/>
      <w:pPr>
        <w:ind w:left="8257" w:hanging="360"/>
      </w:pPr>
    </w:lvl>
    <w:lvl w:ilvl="8" w:tplc="ACF841FA" w:tentative="1">
      <w:start w:val="1"/>
      <w:numFmt w:val="lowerRoman"/>
      <w:lvlText w:val="%9."/>
      <w:lvlJc w:val="right"/>
      <w:pPr>
        <w:ind w:left="8977" w:hanging="180"/>
      </w:pPr>
    </w:lvl>
  </w:abstractNum>
  <w:abstractNum w:abstractNumId="1" w15:restartNumberingAfterBreak="0">
    <w:nsid w:val="6AB61893"/>
    <w:multiLevelType w:val="hybridMultilevel"/>
    <w:tmpl w:val="C818C87C"/>
    <w:lvl w:ilvl="0" w:tplc="29003E62">
      <w:start w:val="1"/>
      <w:numFmt w:val="decimal"/>
      <w:lvlText w:val="%1."/>
      <w:lvlJc w:val="left"/>
      <w:pPr>
        <w:tabs>
          <w:tab w:val="num" w:pos="3215"/>
        </w:tabs>
        <w:ind w:left="3215" w:hanging="360"/>
      </w:pPr>
      <w:rPr>
        <w:i w:val="0"/>
      </w:rPr>
    </w:lvl>
    <w:lvl w:ilvl="1" w:tplc="27F2C54C">
      <w:start w:val="1"/>
      <w:numFmt w:val="lowerLetter"/>
      <w:lvlText w:val="(%2)"/>
      <w:lvlJc w:val="left"/>
      <w:pPr>
        <w:tabs>
          <w:tab w:val="num" w:pos="3935"/>
        </w:tabs>
        <w:ind w:left="3935" w:hanging="360"/>
      </w:pPr>
      <w:rPr>
        <w:i w:val="0"/>
      </w:rPr>
    </w:lvl>
    <w:lvl w:ilvl="2" w:tplc="0809001B">
      <w:start w:val="1"/>
      <w:numFmt w:val="lowerRoman"/>
      <w:lvlText w:val="%3."/>
      <w:lvlJc w:val="right"/>
      <w:pPr>
        <w:tabs>
          <w:tab w:val="num" w:pos="4655"/>
        </w:tabs>
        <w:ind w:left="4655" w:hanging="180"/>
      </w:pPr>
    </w:lvl>
    <w:lvl w:ilvl="3" w:tplc="0809000F">
      <w:start w:val="1"/>
      <w:numFmt w:val="decimal"/>
      <w:lvlText w:val="%4."/>
      <w:lvlJc w:val="left"/>
      <w:pPr>
        <w:tabs>
          <w:tab w:val="num" w:pos="5375"/>
        </w:tabs>
        <w:ind w:left="5375" w:hanging="360"/>
      </w:pPr>
    </w:lvl>
    <w:lvl w:ilvl="4" w:tplc="08090019">
      <w:start w:val="1"/>
      <w:numFmt w:val="lowerLetter"/>
      <w:lvlText w:val="%5."/>
      <w:lvlJc w:val="left"/>
      <w:pPr>
        <w:tabs>
          <w:tab w:val="num" w:pos="6095"/>
        </w:tabs>
        <w:ind w:left="6095" w:hanging="360"/>
      </w:pPr>
    </w:lvl>
    <w:lvl w:ilvl="5" w:tplc="0809001B">
      <w:start w:val="1"/>
      <w:numFmt w:val="lowerRoman"/>
      <w:lvlText w:val="%6."/>
      <w:lvlJc w:val="right"/>
      <w:pPr>
        <w:tabs>
          <w:tab w:val="num" w:pos="6815"/>
        </w:tabs>
        <w:ind w:left="6815" w:hanging="180"/>
      </w:pPr>
    </w:lvl>
    <w:lvl w:ilvl="6" w:tplc="0809000F">
      <w:start w:val="1"/>
      <w:numFmt w:val="decimal"/>
      <w:lvlText w:val="%7."/>
      <w:lvlJc w:val="left"/>
      <w:pPr>
        <w:tabs>
          <w:tab w:val="num" w:pos="7535"/>
        </w:tabs>
        <w:ind w:left="7535" w:hanging="360"/>
      </w:pPr>
    </w:lvl>
    <w:lvl w:ilvl="7" w:tplc="08090019">
      <w:start w:val="1"/>
      <w:numFmt w:val="lowerLetter"/>
      <w:lvlText w:val="%8."/>
      <w:lvlJc w:val="left"/>
      <w:pPr>
        <w:tabs>
          <w:tab w:val="num" w:pos="8255"/>
        </w:tabs>
        <w:ind w:left="8255" w:hanging="360"/>
      </w:pPr>
    </w:lvl>
    <w:lvl w:ilvl="8" w:tplc="0809001B">
      <w:start w:val="1"/>
      <w:numFmt w:val="lowerRoman"/>
      <w:lvlText w:val="%9."/>
      <w:lvlJc w:val="right"/>
      <w:pPr>
        <w:tabs>
          <w:tab w:val="num" w:pos="8975"/>
        </w:tabs>
        <w:ind w:left="897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F6"/>
    <w:rsid w:val="000475F6"/>
    <w:rsid w:val="00F025EE"/>
    <w:rsid w:val="00F529BA"/>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F0625-C1DF-45F6-B6E1-927538CD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5F6"/>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pool"/>
    <w:next w:val="Normal"/>
    <w:rsid w:val="000475F6"/>
    <w:pPr>
      <w:keepNext/>
      <w:keepLines/>
      <w:tabs>
        <w:tab w:val="right" w:pos="851"/>
      </w:tabs>
      <w:suppressAutoHyphens/>
      <w:spacing w:before="240" w:after="120"/>
      <w:ind w:left="1247" w:right="284" w:hanging="1247"/>
    </w:pPr>
    <w:rPr>
      <w:b/>
      <w:sz w:val="28"/>
      <w:szCs w:val="28"/>
      <w:lang w:val="en-GB"/>
    </w:rPr>
  </w:style>
  <w:style w:type="paragraph" w:customStyle="1" w:styleId="Normalpool">
    <w:name w:val="Normal_pool"/>
    <w:link w:val="NormalpoolChar"/>
    <w:rsid w:val="000475F6"/>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paragraph" w:customStyle="1" w:styleId="Normal-pool">
    <w:name w:val="Normal-pool"/>
    <w:link w:val="Normal-poolChar"/>
    <w:qFormat/>
    <w:rsid w:val="000475F6"/>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qFormat/>
    <w:rsid w:val="000475F6"/>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pool"/>
    <w:link w:val="FootnoteTextChar"/>
    <w:qFormat/>
    <w:rsid w:val="000475F6"/>
    <w:pPr>
      <w:spacing w:before="20" w:after="40"/>
      <w:ind w:left="1247"/>
    </w:pPr>
    <w:rPr>
      <w:sz w:val="18"/>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0475F6"/>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0475F6"/>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0475F6"/>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 w:type="character" w:customStyle="1" w:styleId="NormalpoolChar">
    <w:name w:val="Normal_pool Char"/>
    <w:link w:val="Normalpool"/>
    <w:rsid w:val="000475F6"/>
    <w:rPr>
      <w:rFonts w:ascii="Times New Roman" w:eastAsia="Times New Roman" w:hAnsi="Times New Roman" w:cs="Times New Roman"/>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2020-01-16T07:57:00Z</dcterms:created>
  <dcterms:modified xsi:type="dcterms:W3CDTF">2020-01-16T07:57:00Z</dcterms:modified>
</cp:coreProperties>
</file>