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3D24" w:rsidRPr="001E55DD" w:rsidRDefault="00003D24" w:rsidP="00003D24">
      <w:pPr>
        <w:pStyle w:val="Normal-pool"/>
        <w:tabs>
          <w:tab w:val="clear" w:pos="1247"/>
          <w:tab w:val="clear" w:pos="1814"/>
          <w:tab w:val="clear" w:pos="2381"/>
          <w:tab w:val="clear" w:pos="2948"/>
          <w:tab w:val="clear" w:pos="3515"/>
          <w:tab w:val="left" w:pos="624"/>
        </w:tabs>
        <w:spacing w:after="120"/>
        <w:ind w:left="1276"/>
        <w:rPr>
          <w:b/>
          <w:sz w:val="28"/>
          <w:szCs w:val="28"/>
        </w:rPr>
      </w:pPr>
      <w:r w:rsidRPr="001E55DD">
        <w:rPr>
          <w:b/>
          <w:sz w:val="28"/>
          <w:szCs w:val="28"/>
        </w:rPr>
        <w:t>SC-9/24: Memorandum of understanding between the United Nations Environment Programme and the Conference of the Parties to the Stockholm Convention</w:t>
      </w:r>
    </w:p>
    <w:p w:rsidR="00003D24" w:rsidRPr="001E55DD" w:rsidRDefault="00003D24" w:rsidP="00003D24">
      <w:pPr>
        <w:pStyle w:val="Normal-pool"/>
        <w:tabs>
          <w:tab w:val="clear" w:pos="1247"/>
          <w:tab w:val="clear" w:pos="1814"/>
          <w:tab w:val="clear" w:pos="2381"/>
          <w:tab w:val="clear" w:pos="2948"/>
          <w:tab w:val="clear" w:pos="3515"/>
          <w:tab w:val="clear" w:pos="4082"/>
          <w:tab w:val="left" w:pos="624"/>
        </w:tabs>
        <w:spacing w:after="120"/>
        <w:ind w:left="1247" w:firstLine="624"/>
        <w:rPr>
          <w:i/>
        </w:rPr>
      </w:pPr>
      <w:r w:rsidRPr="001E55DD">
        <w:rPr>
          <w:i/>
        </w:rPr>
        <w:t>The Conference of the Parties,</w:t>
      </w:r>
    </w:p>
    <w:p w:rsidR="00003D24" w:rsidRPr="001E55DD" w:rsidRDefault="00003D24" w:rsidP="00003D24">
      <w:pPr>
        <w:pStyle w:val="Normal-pool"/>
        <w:tabs>
          <w:tab w:val="clear" w:pos="1247"/>
          <w:tab w:val="clear" w:pos="1814"/>
          <w:tab w:val="clear" w:pos="2381"/>
          <w:tab w:val="clear" w:pos="2948"/>
          <w:tab w:val="clear" w:pos="3515"/>
          <w:tab w:val="clear" w:pos="4082"/>
          <w:tab w:val="left" w:pos="624"/>
        </w:tabs>
        <w:spacing w:after="120"/>
        <w:ind w:left="1247" w:firstLine="624"/>
      </w:pPr>
      <w:r w:rsidRPr="001E55DD">
        <w:rPr>
          <w:i/>
          <w:iCs/>
        </w:rPr>
        <w:t xml:space="preserve">Taking note </w:t>
      </w:r>
      <w:bookmarkStart w:id="0" w:name="_Hlk529672697"/>
      <w:r w:rsidRPr="001E55DD">
        <w:t xml:space="preserve">of the </w:t>
      </w:r>
      <w:bookmarkStart w:id="1" w:name="_Hlk529599866"/>
      <w:r w:rsidRPr="001E55DD">
        <w:t xml:space="preserve">United </w:t>
      </w:r>
      <w:r w:rsidRPr="00592DC0">
        <w:t>Nations Environment</w:t>
      </w:r>
      <w:r w:rsidRPr="001E55DD">
        <w:t xml:space="preserve"> Programme</w:t>
      </w:r>
      <w:bookmarkEnd w:id="0"/>
      <w:r w:rsidRPr="001E55DD">
        <w:t xml:space="preserve"> </w:t>
      </w:r>
      <w:bookmarkEnd w:id="1"/>
      <w:r w:rsidRPr="001E55DD">
        <w:t xml:space="preserve">November 2016 </w:t>
      </w:r>
      <w:r w:rsidRPr="001E55DD">
        <w:rPr>
          <w:bCs/>
          <w:color w:val="000000"/>
        </w:rPr>
        <w:t xml:space="preserve">delegation of authority policy and framework for the management and administration of multilateral environmental agreement secretariats and other bodies for which </w:t>
      </w:r>
      <w:r w:rsidRPr="001E55DD">
        <w:t>the United Nations Environment Programme</w:t>
      </w:r>
      <w:r w:rsidRPr="001E55DD">
        <w:rPr>
          <w:bCs/>
          <w:color w:val="000000"/>
        </w:rPr>
        <w:t xml:space="preserve"> provides the secretariat or secretariat functions,</w:t>
      </w:r>
      <w:r w:rsidRPr="001E55DD">
        <w:rPr>
          <w:rStyle w:val="FootnoteReference"/>
        </w:rPr>
        <w:footnoteReference w:id="1"/>
      </w:r>
    </w:p>
    <w:p w:rsidR="00003D24" w:rsidRPr="001E55DD" w:rsidRDefault="00003D24" w:rsidP="00003D24">
      <w:pPr>
        <w:pStyle w:val="Normal-pool"/>
        <w:tabs>
          <w:tab w:val="clear" w:pos="1247"/>
          <w:tab w:val="clear" w:pos="1814"/>
          <w:tab w:val="clear" w:pos="2381"/>
          <w:tab w:val="clear" w:pos="2948"/>
          <w:tab w:val="clear" w:pos="3515"/>
          <w:tab w:val="clear" w:pos="4082"/>
          <w:tab w:val="left" w:pos="624"/>
        </w:tabs>
        <w:spacing w:after="120"/>
        <w:ind w:left="1247" w:firstLine="624"/>
      </w:pPr>
      <w:r w:rsidRPr="001E55DD">
        <w:rPr>
          <w:i/>
          <w:iCs/>
        </w:rPr>
        <w:t>Taking note also</w:t>
      </w:r>
      <w:r w:rsidRPr="001E55DD">
        <w:t xml:space="preserve"> of the United Nations Environment Programme March 2018 flexible template of options for the provision of secretariat services,</w:t>
      </w:r>
      <w:r w:rsidRPr="001E55DD">
        <w:rPr>
          <w:rStyle w:val="FootnoteReference"/>
        </w:rPr>
        <w:footnoteReference w:id="2"/>
      </w:r>
    </w:p>
    <w:p w:rsidR="00003D24" w:rsidRPr="001E55DD" w:rsidRDefault="00003D24" w:rsidP="00003D24">
      <w:pPr>
        <w:pStyle w:val="Normal-pool"/>
        <w:tabs>
          <w:tab w:val="clear" w:pos="1247"/>
          <w:tab w:val="clear" w:pos="1814"/>
          <w:tab w:val="clear" w:pos="2381"/>
          <w:tab w:val="clear" w:pos="2948"/>
          <w:tab w:val="clear" w:pos="3515"/>
          <w:tab w:val="clear" w:pos="4082"/>
          <w:tab w:val="left" w:pos="624"/>
        </w:tabs>
        <w:spacing w:after="120"/>
        <w:ind w:left="1247" w:firstLine="624"/>
      </w:pPr>
      <w:r w:rsidRPr="001E55DD">
        <w:rPr>
          <w:iCs/>
          <w:color w:val="000000"/>
        </w:rPr>
        <w:t>1.</w:t>
      </w:r>
      <w:r w:rsidRPr="001E55DD">
        <w:rPr>
          <w:i/>
          <w:iCs/>
          <w:color w:val="000000"/>
        </w:rPr>
        <w:tab/>
        <w:t xml:space="preserve">Adopts </w:t>
      </w:r>
      <w:r w:rsidRPr="001E55DD">
        <w:rPr>
          <w:color w:val="000000"/>
        </w:rPr>
        <w:t>the</w:t>
      </w:r>
      <w:r w:rsidRPr="001E55DD">
        <w:rPr>
          <w:lang w:eastAsia="en-GB"/>
        </w:rPr>
        <w:t xml:space="preserve"> memorandum of understanding between the Executive Director of the </w:t>
      </w:r>
      <w:r w:rsidRPr="001E55DD">
        <w:t>United Nations Environment Programme</w:t>
      </w:r>
      <w:r w:rsidRPr="001E55DD">
        <w:rPr>
          <w:color w:val="000000"/>
        </w:rPr>
        <w:t xml:space="preserve"> and the</w:t>
      </w:r>
      <w:r w:rsidRPr="001E55DD">
        <w:rPr>
          <w:i/>
          <w:iCs/>
          <w:color w:val="000000"/>
        </w:rPr>
        <w:t xml:space="preserve"> </w:t>
      </w:r>
      <w:r w:rsidRPr="001E55DD">
        <w:t>Conference of the Parties to the</w:t>
      </w:r>
      <w:r w:rsidRPr="001E55DD">
        <w:rPr>
          <w:bCs/>
        </w:rPr>
        <w:t xml:space="preserve"> Stockholm Convention on Persistent Organic Pollutants</w:t>
      </w:r>
      <w:r w:rsidRPr="001E55DD">
        <w:t xml:space="preserve"> as set out in the annex to the present decision;</w:t>
      </w:r>
    </w:p>
    <w:p w:rsidR="00003D24" w:rsidRPr="001E55DD" w:rsidRDefault="00003D24" w:rsidP="00003D24">
      <w:pPr>
        <w:tabs>
          <w:tab w:val="left" w:pos="624"/>
          <w:tab w:val="num" w:pos="1920"/>
        </w:tabs>
        <w:autoSpaceDE w:val="0"/>
        <w:autoSpaceDN w:val="0"/>
        <w:adjustRightInd w:val="0"/>
        <w:spacing w:after="120"/>
        <w:ind w:left="1247" w:firstLine="624"/>
        <w:rPr>
          <w:iCs/>
          <w:color w:val="000000"/>
        </w:rPr>
      </w:pPr>
      <w:r w:rsidRPr="001E55DD">
        <w:rPr>
          <w:color w:val="000000"/>
        </w:rPr>
        <w:t>2.</w:t>
      </w:r>
      <w:r w:rsidRPr="001E55DD">
        <w:rPr>
          <w:color w:val="000000"/>
        </w:rPr>
        <w:tab/>
      </w:r>
      <w:r w:rsidRPr="001E55DD">
        <w:rPr>
          <w:i/>
          <w:iCs/>
          <w:color w:val="000000"/>
        </w:rPr>
        <w:t xml:space="preserve">Requests </w:t>
      </w:r>
      <w:r w:rsidRPr="001E55DD">
        <w:rPr>
          <w:iCs/>
          <w:color w:val="000000"/>
        </w:rPr>
        <w:t xml:space="preserve">the President of the Conference of the Parties, on behalf of the Conference of the Parties, and the Executive Director of the United Nations Environment Programme to sign the memorandum of understanding during or following the closing of the ninth meeting of the Conference of the Parties. </w:t>
      </w:r>
    </w:p>
    <w:p w:rsidR="00003D24" w:rsidRPr="00D83EA9" w:rsidRDefault="00003D24" w:rsidP="00003D24">
      <w:pPr>
        <w:tabs>
          <w:tab w:val="clear" w:pos="1247"/>
          <w:tab w:val="clear" w:pos="1814"/>
          <w:tab w:val="clear" w:pos="2381"/>
          <w:tab w:val="clear" w:pos="2948"/>
          <w:tab w:val="clear" w:pos="3515"/>
        </w:tabs>
        <w:rPr>
          <w:sz w:val="24"/>
          <w:szCs w:val="24"/>
        </w:rPr>
      </w:pPr>
      <w:r w:rsidRPr="001E55DD">
        <w:br w:type="page"/>
      </w:r>
    </w:p>
    <w:p w:rsidR="00003D24" w:rsidRPr="001E55DD" w:rsidRDefault="00003D24" w:rsidP="00003D24">
      <w:pPr>
        <w:pStyle w:val="CH2"/>
      </w:pPr>
      <w:r w:rsidRPr="001E55DD">
        <w:lastRenderedPageBreak/>
        <w:tab/>
      </w:r>
      <w:r w:rsidRPr="001E55DD">
        <w:tab/>
        <w:t>Annex to decision SC-9/24</w:t>
      </w:r>
      <w:r w:rsidRPr="001E55DD">
        <w:rPr>
          <w:rStyle w:val="FootnoteReference"/>
        </w:rPr>
        <w:footnoteReference w:id="3"/>
      </w:r>
      <w:r w:rsidRPr="001E55DD">
        <w:t xml:space="preserve"> </w:t>
      </w:r>
    </w:p>
    <w:p w:rsidR="00003D24" w:rsidRPr="001E55DD" w:rsidRDefault="00003D24" w:rsidP="00003D24">
      <w:pPr>
        <w:pStyle w:val="Hd7"/>
        <w:keepNext w:val="0"/>
        <w:keepLines w:val="0"/>
        <w:tabs>
          <w:tab w:val="clear" w:pos="397"/>
          <w:tab w:val="clear" w:pos="794"/>
          <w:tab w:val="clear" w:pos="1191"/>
          <w:tab w:val="clear" w:pos="1588"/>
          <w:tab w:val="clear" w:pos="1985"/>
        </w:tabs>
        <w:spacing w:before="360" w:after="120"/>
        <w:ind w:left="1134"/>
        <w:outlineLvl w:val="0"/>
        <w:rPr>
          <w:rFonts w:ascii="Times New Roman" w:hAnsi="Times New Roman"/>
          <w:b/>
          <w:sz w:val="24"/>
          <w:szCs w:val="24"/>
        </w:rPr>
      </w:pPr>
      <w:r w:rsidRPr="001E55DD">
        <w:rPr>
          <w:rFonts w:ascii="Times New Roman" w:hAnsi="Times New Roman"/>
          <w:b/>
          <w:sz w:val="24"/>
          <w:szCs w:val="24"/>
        </w:rPr>
        <w:t>MEMORANDUM OF understanding</w:t>
      </w:r>
    </w:p>
    <w:p w:rsidR="00003D24" w:rsidRPr="001E55DD" w:rsidRDefault="00003D24" w:rsidP="00003D24">
      <w:pPr>
        <w:pStyle w:val="Hd7"/>
        <w:keepNext w:val="0"/>
        <w:keepLines w:val="0"/>
        <w:tabs>
          <w:tab w:val="clear" w:pos="397"/>
          <w:tab w:val="clear" w:pos="794"/>
          <w:tab w:val="clear" w:pos="1191"/>
          <w:tab w:val="clear" w:pos="1588"/>
          <w:tab w:val="clear" w:pos="1985"/>
        </w:tabs>
        <w:spacing w:before="240" w:after="120"/>
        <w:ind w:left="1134"/>
        <w:rPr>
          <w:rFonts w:ascii="Times New Roman" w:hAnsi="Times New Roman"/>
          <w:b/>
          <w:sz w:val="24"/>
          <w:szCs w:val="24"/>
        </w:rPr>
      </w:pPr>
      <w:r w:rsidRPr="001E55DD">
        <w:rPr>
          <w:rFonts w:ascii="Times New Roman" w:hAnsi="Times New Roman"/>
          <w:b/>
          <w:sz w:val="24"/>
          <w:szCs w:val="24"/>
        </w:rPr>
        <w:t xml:space="preserve">between </w:t>
      </w:r>
    </w:p>
    <w:p w:rsidR="00003D24" w:rsidRPr="001E55DD" w:rsidRDefault="00003D24" w:rsidP="00003D24">
      <w:pPr>
        <w:pStyle w:val="Hd7"/>
        <w:keepNext w:val="0"/>
        <w:keepLines w:val="0"/>
        <w:tabs>
          <w:tab w:val="clear" w:pos="397"/>
          <w:tab w:val="clear" w:pos="794"/>
          <w:tab w:val="clear" w:pos="1191"/>
          <w:tab w:val="clear" w:pos="1588"/>
          <w:tab w:val="clear" w:pos="1985"/>
        </w:tabs>
        <w:spacing w:before="240" w:after="120"/>
        <w:ind w:left="1134"/>
        <w:rPr>
          <w:rFonts w:ascii="Times New Roman" w:hAnsi="Times New Roman"/>
          <w:b/>
          <w:sz w:val="24"/>
          <w:szCs w:val="24"/>
        </w:rPr>
      </w:pPr>
      <w:r w:rsidRPr="001E55DD">
        <w:rPr>
          <w:rFonts w:ascii="Times New Roman" w:hAnsi="Times New Roman"/>
          <w:b/>
          <w:sz w:val="24"/>
          <w:szCs w:val="24"/>
        </w:rPr>
        <w:t>the</w:t>
      </w:r>
      <w:r w:rsidRPr="001E55DD">
        <w:rPr>
          <w:rFonts w:ascii="Times New Roman" w:hAnsi="Times New Roman"/>
          <w:b/>
          <w:sz w:val="24"/>
          <w:szCs w:val="24"/>
          <w:lang w:eastAsia="ja-JP"/>
        </w:rPr>
        <w:t xml:space="preserve"> Conference of the Parties to the Stockholm </w:t>
      </w:r>
      <w:r w:rsidRPr="001E55DD">
        <w:rPr>
          <w:rFonts w:ascii="Times New Roman" w:hAnsi="Times New Roman"/>
          <w:b/>
          <w:sz w:val="24"/>
          <w:szCs w:val="24"/>
        </w:rPr>
        <w:t xml:space="preserve">Convention on persistent organic pollutants </w:t>
      </w:r>
    </w:p>
    <w:p w:rsidR="00003D24" w:rsidRPr="001E55DD" w:rsidRDefault="00003D24" w:rsidP="00003D24">
      <w:pPr>
        <w:pStyle w:val="Hd7"/>
        <w:keepNext w:val="0"/>
        <w:keepLines w:val="0"/>
        <w:tabs>
          <w:tab w:val="clear" w:pos="397"/>
          <w:tab w:val="clear" w:pos="794"/>
          <w:tab w:val="clear" w:pos="1191"/>
          <w:tab w:val="clear" w:pos="1588"/>
          <w:tab w:val="clear" w:pos="1985"/>
        </w:tabs>
        <w:spacing w:before="240" w:after="0"/>
        <w:ind w:left="1134"/>
        <w:outlineLvl w:val="0"/>
        <w:rPr>
          <w:rFonts w:ascii="Times New Roman" w:hAnsi="Times New Roman"/>
          <w:b/>
          <w:sz w:val="24"/>
          <w:szCs w:val="24"/>
        </w:rPr>
      </w:pPr>
      <w:r w:rsidRPr="001E55DD">
        <w:rPr>
          <w:rFonts w:ascii="Times New Roman" w:hAnsi="Times New Roman"/>
          <w:b/>
          <w:sz w:val="24"/>
          <w:szCs w:val="24"/>
        </w:rPr>
        <w:t xml:space="preserve">and </w:t>
      </w:r>
    </w:p>
    <w:p w:rsidR="00003D24" w:rsidRPr="001E55DD" w:rsidRDefault="00003D24" w:rsidP="00003D24">
      <w:pPr>
        <w:pStyle w:val="Hd7"/>
        <w:keepNext w:val="0"/>
        <w:keepLines w:val="0"/>
        <w:tabs>
          <w:tab w:val="clear" w:pos="397"/>
          <w:tab w:val="clear" w:pos="794"/>
          <w:tab w:val="clear" w:pos="1191"/>
          <w:tab w:val="clear" w:pos="1588"/>
          <w:tab w:val="clear" w:pos="1985"/>
        </w:tabs>
        <w:spacing w:before="240" w:after="120"/>
        <w:ind w:left="1134"/>
        <w:outlineLvl w:val="0"/>
        <w:rPr>
          <w:rFonts w:ascii="Times New Roman" w:hAnsi="Times New Roman"/>
          <w:b/>
          <w:sz w:val="24"/>
          <w:szCs w:val="24"/>
        </w:rPr>
      </w:pPr>
      <w:r w:rsidRPr="001E55DD">
        <w:rPr>
          <w:rFonts w:ascii="Times New Roman" w:hAnsi="Times New Roman"/>
          <w:b/>
          <w:sz w:val="24"/>
          <w:szCs w:val="24"/>
          <w:lang w:eastAsia="ja-JP"/>
        </w:rPr>
        <w:t xml:space="preserve">the executive Director of the </w:t>
      </w:r>
      <w:r w:rsidRPr="001E55DD">
        <w:rPr>
          <w:rFonts w:ascii="Times New Roman" w:hAnsi="Times New Roman"/>
          <w:b/>
          <w:sz w:val="24"/>
          <w:szCs w:val="24"/>
        </w:rPr>
        <w:t>U</w:t>
      </w:r>
      <w:r w:rsidRPr="001E55DD">
        <w:rPr>
          <w:rFonts w:ascii="Times New Roman" w:hAnsi="Times New Roman"/>
          <w:b/>
          <w:sz w:val="24"/>
          <w:szCs w:val="24"/>
          <w:lang w:eastAsia="ja-JP"/>
        </w:rPr>
        <w:t xml:space="preserve">nited </w:t>
      </w:r>
      <w:r w:rsidRPr="001E55DD">
        <w:rPr>
          <w:rFonts w:ascii="Times New Roman" w:hAnsi="Times New Roman"/>
          <w:b/>
          <w:sz w:val="24"/>
          <w:szCs w:val="24"/>
        </w:rPr>
        <w:t>N</w:t>
      </w:r>
      <w:r w:rsidRPr="001E55DD">
        <w:rPr>
          <w:rFonts w:ascii="Times New Roman" w:hAnsi="Times New Roman"/>
          <w:b/>
          <w:sz w:val="24"/>
          <w:szCs w:val="24"/>
          <w:lang w:eastAsia="ja-JP"/>
        </w:rPr>
        <w:t xml:space="preserve">ations </w:t>
      </w:r>
      <w:r w:rsidRPr="001E55DD">
        <w:rPr>
          <w:rFonts w:ascii="Times New Roman" w:hAnsi="Times New Roman"/>
          <w:b/>
          <w:sz w:val="24"/>
          <w:szCs w:val="24"/>
        </w:rPr>
        <w:t>E</w:t>
      </w:r>
      <w:r w:rsidRPr="001E55DD">
        <w:rPr>
          <w:rFonts w:ascii="Times New Roman" w:hAnsi="Times New Roman"/>
          <w:b/>
          <w:sz w:val="24"/>
          <w:szCs w:val="24"/>
          <w:lang w:eastAsia="ja-JP"/>
        </w:rPr>
        <w:t xml:space="preserve">nvironment </w:t>
      </w:r>
      <w:r w:rsidRPr="001E55DD">
        <w:rPr>
          <w:rFonts w:ascii="Times New Roman" w:hAnsi="Times New Roman"/>
          <w:b/>
          <w:sz w:val="24"/>
          <w:szCs w:val="24"/>
        </w:rPr>
        <w:t>P</w:t>
      </w:r>
      <w:r w:rsidRPr="001E55DD">
        <w:rPr>
          <w:rFonts w:ascii="Times New Roman" w:hAnsi="Times New Roman"/>
          <w:b/>
          <w:sz w:val="24"/>
          <w:szCs w:val="24"/>
          <w:lang w:eastAsia="ja-JP"/>
        </w:rPr>
        <w:t>rogramme</w:t>
      </w:r>
      <w:r w:rsidRPr="001E55DD">
        <w:rPr>
          <w:rFonts w:ascii="Times New Roman" w:hAnsi="Times New Roman"/>
          <w:b/>
          <w:sz w:val="24"/>
          <w:szCs w:val="24"/>
        </w:rPr>
        <w:t xml:space="preserve"> </w:t>
      </w:r>
    </w:p>
    <w:p w:rsidR="00003D24" w:rsidRPr="001E55DD" w:rsidRDefault="00003D24" w:rsidP="00003D24">
      <w:pPr>
        <w:pStyle w:val="Hd7"/>
        <w:keepNext w:val="0"/>
        <w:keepLines w:val="0"/>
        <w:tabs>
          <w:tab w:val="clear" w:pos="397"/>
          <w:tab w:val="clear" w:pos="794"/>
          <w:tab w:val="clear" w:pos="1191"/>
          <w:tab w:val="clear" w:pos="1588"/>
          <w:tab w:val="clear" w:pos="1985"/>
        </w:tabs>
        <w:spacing w:before="240" w:after="120"/>
        <w:ind w:left="1134"/>
        <w:outlineLvl w:val="0"/>
        <w:rPr>
          <w:rFonts w:ascii="Times New Roman" w:hAnsi="Times New Roman"/>
          <w:b/>
          <w:sz w:val="24"/>
          <w:szCs w:val="24"/>
          <w:lang w:eastAsia="ja-JP"/>
        </w:rPr>
      </w:pPr>
      <w:r w:rsidRPr="001E55DD">
        <w:rPr>
          <w:rFonts w:ascii="Times New Roman" w:hAnsi="Times New Roman"/>
          <w:b/>
          <w:sz w:val="24"/>
          <w:szCs w:val="24"/>
          <w:lang w:eastAsia="ja-JP"/>
        </w:rPr>
        <w:t xml:space="preserve">concerning </w:t>
      </w:r>
    </w:p>
    <w:p w:rsidR="00003D24" w:rsidRPr="001E55DD" w:rsidRDefault="00003D24" w:rsidP="00003D24">
      <w:pPr>
        <w:pStyle w:val="Hd7"/>
        <w:keepNext w:val="0"/>
        <w:keepLines w:val="0"/>
        <w:tabs>
          <w:tab w:val="clear" w:pos="397"/>
          <w:tab w:val="clear" w:pos="794"/>
          <w:tab w:val="clear" w:pos="1191"/>
          <w:tab w:val="clear" w:pos="1588"/>
          <w:tab w:val="clear" w:pos="1985"/>
        </w:tabs>
        <w:spacing w:before="240" w:after="120"/>
        <w:ind w:left="1134"/>
        <w:outlineLvl w:val="0"/>
        <w:rPr>
          <w:rFonts w:ascii="Times New Roman" w:hAnsi="Times New Roman"/>
          <w:b/>
          <w:sz w:val="24"/>
          <w:szCs w:val="24"/>
          <w:lang w:eastAsia="ja-JP"/>
        </w:rPr>
      </w:pPr>
      <w:r w:rsidRPr="001E55DD">
        <w:rPr>
          <w:rFonts w:ascii="Times New Roman" w:hAnsi="Times New Roman"/>
          <w:b/>
          <w:sz w:val="24"/>
          <w:szCs w:val="24"/>
          <w:lang w:eastAsia="ja-JP"/>
        </w:rPr>
        <w:t xml:space="preserve">the arrangements for the provision of SECRETARIAT functions for THE Stockholm CONVENTION </w:t>
      </w:r>
    </w:p>
    <w:p w:rsidR="00003D24" w:rsidRPr="001E55DD" w:rsidRDefault="00003D24" w:rsidP="00003D24">
      <w:pPr>
        <w:spacing w:before="240" w:after="240"/>
        <w:ind w:left="1134"/>
        <w:jc w:val="center"/>
        <w:rPr>
          <w:lang w:eastAsia="ja-JP"/>
        </w:rPr>
      </w:pPr>
      <w:r w:rsidRPr="001E55DD">
        <w:rPr>
          <w:lang w:eastAsia="ja-JP"/>
        </w:rPr>
        <w:t>(hereinafter referred to as the “Memorandum of Understanding”)</w:t>
      </w:r>
    </w:p>
    <w:p w:rsidR="00003D24" w:rsidRPr="001E55DD" w:rsidRDefault="00003D24" w:rsidP="00003D24">
      <w:pPr>
        <w:pStyle w:val="Normal-pool"/>
        <w:tabs>
          <w:tab w:val="clear" w:pos="1247"/>
          <w:tab w:val="clear" w:pos="1814"/>
          <w:tab w:val="clear" w:pos="2381"/>
          <w:tab w:val="clear" w:pos="2948"/>
          <w:tab w:val="clear" w:pos="3515"/>
          <w:tab w:val="left" w:pos="624"/>
        </w:tabs>
        <w:spacing w:after="120"/>
        <w:ind w:left="1247" w:firstLine="624"/>
      </w:pPr>
      <w:r w:rsidRPr="001E55DD">
        <w:t>The Conference of the Parties to the Stockholm Convention on Persistent Organic Pollutants (the “Conference of the Parties”) and the Executive Director of the United Nations Environment Programme (the “Executive Director”), as hereinafter also referred to individually as “Party” and collectively as the “Parties”:</w:t>
      </w:r>
    </w:p>
    <w:p w:rsidR="00003D24" w:rsidRPr="001E55DD" w:rsidRDefault="00003D24" w:rsidP="00003D24">
      <w:pPr>
        <w:pStyle w:val="Normal-pool"/>
        <w:tabs>
          <w:tab w:val="clear" w:pos="1247"/>
          <w:tab w:val="clear" w:pos="1814"/>
          <w:tab w:val="clear" w:pos="2381"/>
          <w:tab w:val="clear" w:pos="2948"/>
          <w:tab w:val="clear" w:pos="3515"/>
          <w:tab w:val="left" w:pos="624"/>
        </w:tabs>
        <w:spacing w:after="120"/>
        <w:ind w:left="1247" w:firstLine="624"/>
        <w:rPr>
          <w:rFonts w:cs="Arial"/>
          <w:lang w:eastAsia="ja-JP"/>
        </w:rPr>
      </w:pPr>
      <w:r w:rsidRPr="001E55DD">
        <w:rPr>
          <w:rFonts w:cs="Arial"/>
          <w:i/>
          <w:lang w:eastAsia="ja-JP"/>
        </w:rPr>
        <w:t>Recalling</w:t>
      </w:r>
      <w:r w:rsidRPr="001E55DD">
        <w:rPr>
          <w:rFonts w:cs="Arial"/>
          <w:lang w:eastAsia="ja-JP"/>
        </w:rPr>
        <w:t xml:space="preserve"> </w:t>
      </w:r>
      <w:r w:rsidRPr="001E55DD">
        <w:rPr>
          <w:rFonts w:cs="Arial"/>
        </w:rPr>
        <w:t xml:space="preserve">Article 20, </w:t>
      </w:r>
      <w:r w:rsidRPr="001E55DD">
        <w:rPr>
          <w:rFonts w:cs="Arial"/>
          <w:lang w:eastAsia="ja-JP"/>
        </w:rPr>
        <w:t>paragraph 2 (e), o</w:t>
      </w:r>
      <w:r w:rsidRPr="001E55DD">
        <w:rPr>
          <w:rFonts w:cs="Arial"/>
        </w:rPr>
        <w:t xml:space="preserve">f the </w:t>
      </w:r>
      <w:r w:rsidRPr="001E55DD">
        <w:t xml:space="preserve">Stockholm Convention on Persistent Organic Pollutants </w:t>
      </w:r>
      <w:r w:rsidRPr="001E55DD">
        <w:rPr>
          <w:rFonts w:cs="Arial"/>
        </w:rPr>
        <w:t>(the “Convention”), which provides that the functions of the Secretariat are to “</w:t>
      </w:r>
      <w:r w:rsidRPr="001E55DD">
        <w:rPr>
          <w:rFonts w:eastAsia="MS Mincho" w:cs="Arial"/>
          <w:lang w:eastAsia="ja-JP"/>
        </w:rPr>
        <w:t xml:space="preserve">enter, under the overall guidance of the Conference of the Parties, into such administrative and contractual arrangements as may be required for the effective discharge of its functions”, and </w:t>
      </w:r>
      <w:r w:rsidRPr="001E55DD">
        <w:rPr>
          <w:rFonts w:cs="Arial"/>
        </w:rPr>
        <w:t>paragraph 3 of Article 20 of the Convention, which provides that the “</w:t>
      </w:r>
      <w:r w:rsidRPr="001E55DD">
        <w:rPr>
          <w:rFonts w:eastAsia="MS Mincho" w:cs="Arial"/>
          <w:lang w:eastAsia="ja-JP"/>
        </w:rPr>
        <w:t>secretariat functions for this Convention shall be performed by the Executive Director of the United Nations Environment Programme</w:t>
      </w:r>
      <w:r w:rsidRPr="001E55DD">
        <w:rPr>
          <w:rFonts w:cs="Arial"/>
        </w:rPr>
        <w:t>” (“UNEP”)</w:t>
      </w:r>
      <w:r w:rsidRPr="001E55DD">
        <w:rPr>
          <w:rFonts w:cs="Arial"/>
          <w:lang w:eastAsia="ja-JP"/>
        </w:rPr>
        <w:t>,</w:t>
      </w:r>
    </w:p>
    <w:p w:rsidR="00003D24" w:rsidRPr="001E55DD" w:rsidRDefault="00003D24" w:rsidP="00003D24">
      <w:pPr>
        <w:pStyle w:val="Normal-pool"/>
        <w:tabs>
          <w:tab w:val="clear" w:pos="1247"/>
          <w:tab w:val="clear" w:pos="1814"/>
          <w:tab w:val="clear" w:pos="2381"/>
          <w:tab w:val="clear" w:pos="2948"/>
          <w:tab w:val="clear" w:pos="3515"/>
          <w:tab w:val="left" w:pos="624"/>
        </w:tabs>
        <w:spacing w:after="120"/>
        <w:ind w:left="1247" w:firstLine="624"/>
        <w:rPr>
          <w:rFonts w:cs="Arial"/>
          <w:lang w:eastAsia="ja-JP"/>
        </w:rPr>
      </w:pPr>
      <w:r w:rsidRPr="001E55DD">
        <w:rPr>
          <w:rFonts w:cs="Arial"/>
          <w:i/>
        </w:rPr>
        <w:t>Recalling also</w:t>
      </w:r>
      <w:r w:rsidRPr="001E55DD">
        <w:rPr>
          <w:rFonts w:cs="Arial"/>
        </w:rPr>
        <w:t xml:space="preserve"> the decision of the United Nations General Assembly, contained in section II of its resolution 2997 (XXVII) of 15 December 1972, to establish the environment secretariat headed by the Executive Director of the United Nations Environment Programme, who is responsible to perform, </w:t>
      </w:r>
      <w:r w:rsidRPr="001E55DD">
        <w:rPr>
          <w:rFonts w:cs="Arial"/>
          <w:i/>
        </w:rPr>
        <w:t>inter alia,</w:t>
      </w:r>
      <w:r w:rsidRPr="001E55DD">
        <w:rPr>
          <w:rFonts w:cs="Arial"/>
        </w:rPr>
        <w:t xml:space="preserve"> such functions as may be entrusted to him by the Governing Council of the United Nations Environment Programme, and recalling, in that context, decision 21/4 of 9 February 2001 authorizing the participation of the secretariat of the United Nations Environment Programme in the Secretariat to the Convention</w:t>
      </w:r>
      <w:r w:rsidRPr="001E55DD">
        <w:rPr>
          <w:rFonts w:cs="Arial"/>
          <w:lang w:eastAsia="ja-JP"/>
        </w:rPr>
        <w:t>,</w:t>
      </w:r>
    </w:p>
    <w:p w:rsidR="00003D24" w:rsidRPr="001E55DD" w:rsidRDefault="00003D24" w:rsidP="00003D24">
      <w:pPr>
        <w:pStyle w:val="Normal-pool"/>
        <w:tabs>
          <w:tab w:val="clear" w:pos="1247"/>
          <w:tab w:val="clear" w:pos="1814"/>
          <w:tab w:val="clear" w:pos="2381"/>
          <w:tab w:val="clear" w:pos="2948"/>
          <w:tab w:val="clear" w:pos="3515"/>
          <w:tab w:val="left" w:pos="624"/>
        </w:tabs>
        <w:spacing w:after="120"/>
        <w:ind w:left="1247" w:firstLine="624"/>
        <w:rPr>
          <w:lang w:eastAsia="ja-JP"/>
        </w:rPr>
      </w:pPr>
      <w:r w:rsidRPr="001E55DD">
        <w:rPr>
          <w:i/>
          <w:iCs/>
        </w:rPr>
        <w:t>Recognizing</w:t>
      </w:r>
      <w:r w:rsidRPr="001E55DD">
        <w:t xml:space="preserve"> that the Convention and the decisions of the Conference of the Parties alone guide the implementation of the Convention and its programme of work and direct the management of its Secretariat on all substantive issues</w:t>
      </w:r>
      <w:r w:rsidRPr="001E55DD">
        <w:rPr>
          <w:lang w:eastAsia="ja-JP"/>
        </w:rPr>
        <w:t>,</w:t>
      </w:r>
    </w:p>
    <w:p w:rsidR="00003D24" w:rsidRPr="001E55DD" w:rsidRDefault="00003D24" w:rsidP="00003D24">
      <w:pPr>
        <w:pStyle w:val="Normal-pool"/>
        <w:tabs>
          <w:tab w:val="clear" w:pos="1247"/>
          <w:tab w:val="clear" w:pos="1814"/>
          <w:tab w:val="clear" w:pos="2381"/>
          <w:tab w:val="clear" w:pos="2948"/>
          <w:tab w:val="clear" w:pos="3515"/>
          <w:tab w:val="left" w:pos="624"/>
        </w:tabs>
        <w:spacing w:after="120"/>
        <w:ind w:left="1247" w:firstLine="624"/>
        <w:rPr>
          <w:rFonts w:cs="Arial"/>
          <w:lang w:eastAsia="ja-JP"/>
        </w:rPr>
      </w:pPr>
      <w:r w:rsidRPr="001E55DD">
        <w:rPr>
          <w:rFonts w:cs="Arial"/>
          <w:i/>
        </w:rPr>
        <w:t>Recalling</w:t>
      </w:r>
      <w:r w:rsidRPr="001E55DD">
        <w:rPr>
          <w:rFonts w:cs="Arial"/>
        </w:rPr>
        <w:t xml:space="preserve"> decision BC.Ex-1/1 of the Conference of the Parties to the Basel Convention </w:t>
      </w:r>
      <w:r w:rsidRPr="001E55DD">
        <w:t>on the Control of Transboundary Movements of Hazardous Wastes and their Disposal</w:t>
      </w:r>
      <w:r w:rsidRPr="001E55DD">
        <w:rPr>
          <w:rFonts w:cs="Arial"/>
        </w:rPr>
        <w:t xml:space="preserve">, decision RC.Ex-1/1 of the Conference of the Parties to the Rotterdam Convention </w:t>
      </w:r>
      <w:r w:rsidRPr="001E55DD">
        <w:t xml:space="preserve">on the Prior Informed Consent Procedure of Certain Hazardous Chemicals and Pesticides in International Trade </w:t>
      </w:r>
      <w:r w:rsidRPr="001E55DD">
        <w:rPr>
          <w:rFonts w:cs="Arial"/>
        </w:rPr>
        <w:t>and decision SC.Ex-1/1 of the Conference of the Parties to the Stockholm Convention</w:t>
      </w:r>
      <w:r w:rsidRPr="001E55DD">
        <w:rPr>
          <w:rFonts w:cs="Arial"/>
          <w:lang w:eastAsia="ja-JP"/>
        </w:rPr>
        <w:t>,</w:t>
      </w:r>
      <w:r w:rsidRPr="001E55DD">
        <w:t xml:space="preserve"> whereby each Conference of the Parties decided to establish a </w:t>
      </w:r>
      <w:r w:rsidRPr="001E55DD">
        <w:rPr>
          <w:color w:val="000000"/>
        </w:rPr>
        <w:t>joint head function of the Basel Convention Secretariat, the Stockholm Convention Secretariat and the UNEP part of the Rotterdam Convention Secretariat,</w:t>
      </w:r>
    </w:p>
    <w:p w:rsidR="00003D24" w:rsidRPr="001E55DD" w:rsidRDefault="00003D24" w:rsidP="00003D24">
      <w:pPr>
        <w:pStyle w:val="Normal-pool"/>
        <w:tabs>
          <w:tab w:val="clear" w:pos="1247"/>
          <w:tab w:val="clear" w:pos="1814"/>
          <w:tab w:val="clear" w:pos="2381"/>
          <w:tab w:val="clear" w:pos="2948"/>
          <w:tab w:val="clear" w:pos="3515"/>
          <w:tab w:val="left" w:pos="624"/>
        </w:tabs>
        <w:spacing w:after="120"/>
        <w:ind w:left="1247" w:firstLine="624"/>
      </w:pPr>
      <w:r w:rsidRPr="001E55DD">
        <w:rPr>
          <w:i/>
        </w:rPr>
        <w:t>Recalling</w:t>
      </w:r>
      <w:r w:rsidRPr="001E55DD">
        <w:rPr>
          <w:rFonts w:cs="Arial"/>
          <w:i/>
          <w:lang w:eastAsia="ja-JP"/>
        </w:rPr>
        <w:t xml:space="preserve"> also </w:t>
      </w:r>
      <w:r w:rsidRPr="001E55DD">
        <w:rPr>
          <w:rFonts w:cs="Arial"/>
          <w:lang w:eastAsia="ja-JP"/>
        </w:rPr>
        <w:t xml:space="preserve">decisions SC-6/27, </w:t>
      </w:r>
      <w:r w:rsidRPr="001E55DD">
        <w:t>SC-7/32 and SC-8/26,</w:t>
      </w:r>
    </w:p>
    <w:p w:rsidR="00003D24" w:rsidRPr="001E55DD" w:rsidRDefault="00003D24" w:rsidP="00003D24">
      <w:pPr>
        <w:pStyle w:val="Normal-pool"/>
        <w:keepNext/>
        <w:keepLines/>
        <w:tabs>
          <w:tab w:val="clear" w:pos="1247"/>
          <w:tab w:val="clear" w:pos="1814"/>
          <w:tab w:val="clear" w:pos="2381"/>
          <w:tab w:val="clear" w:pos="2948"/>
          <w:tab w:val="clear" w:pos="3515"/>
          <w:tab w:val="left" w:pos="1701"/>
        </w:tabs>
        <w:spacing w:before="240" w:after="120"/>
        <w:ind w:left="1134"/>
        <w:rPr>
          <w:b/>
          <w:sz w:val="28"/>
          <w:szCs w:val="28"/>
          <w:lang w:eastAsia="ja-JP"/>
        </w:rPr>
      </w:pPr>
      <w:r w:rsidRPr="001E55DD">
        <w:rPr>
          <w:b/>
          <w:sz w:val="28"/>
          <w:szCs w:val="28"/>
          <w:lang w:eastAsia="ja-JP"/>
        </w:rPr>
        <w:lastRenderedPageBreak/>
        <w:t>HAVE REACHED THE FOLLOWING UNDERSTANDING:</w:t>
      </w:r>
    </w:p>
    <w:p w:rsidR="00003D24" w:rsidRPr="001E55DD" w:rsidRDefault="00003D24" w:rsidP="00003D24">
      <w:pPr>
        <w:pStyle w:val="CH1"/>
        <w:rPr>
          <w:lang w:eastAsia="ja-JP"/>
        </w:rPr>
      </w:pPr>
      <w:r w:rsidRPr="001E55DD">
        <w:rPr>
          <w:iCs/>
          <w:lang w:eastAsia="ja-JP"/>
        </w:rPr>
        <w:tab/>
        <w:t>I.</w:t>
      </w:r>
      <w:r w:rsidRPr="001E55DD">
        <w:rPr>
          <w:iCs/>
          <w:lang w:eastAsia="ja-JP"/>
        </w:rPr>
        <w:tab/>
        <w:t xml:space="preserve">Basic </w:t>
      </w:r>
      <w:r w:rsidRPr="001E55DD">
        <w:rPr>
          <w:lang w:eastAsia="ja-JP"/>
        </w:rPr>
        <w:t>principles</w:t>
      </w:r>
    </w:p>
    <w:p w:rsidR="00003D24" w:rsidRPr="001E55DD" w:rsidRDefault="00003D24" w:rsidP="00003D24">
      <w:pPr>
        <w:pStyle w:val="Normal-pool"/>
        <w:keepNext/>
        <w:keepLines/>
        <w:numPr>
          <w:ilvl w:val="0"/>
          <w:numId w:val="1"/>
        </w:numPr>
        <w:tabs>
          <w:tab w:val="clear" w:pos="720"/>
          <w:tab w:val="clear" w:pos="1247"/>
          <w:tab w:val="clear" w:pos="1814"/>
          <w:tab w:val="clear" w:pos="2381"/>
          <w:tab w:val="clear" w:pos="2948"/>
          <w:tab w:val="clear" w:pos="3515"/>
          <w:tab w:val="clear" w:pos="4082"/>
          <w:tab w:val="left" w:pos="624"/>
        </w:tabs>
        <w:spacing w:after="120"/>
        <w:ind w:left="1247" w:firstLine="0"/>
      </w:pPr>
      <w:r w:rsidRPr="001E55DD">
        <w:t xml:space="preserve">The Executive Director performs the secretariat functions for the Convention as provided for in Article 20, paragraph 3, of the Convention, </w:t>
      </w:r>
      <w:r w:rsidRPr="001E55DD">
        <w:rPr>
          <w:rFonts w:eastAsia="MS Mincho"/>
        </w:rPr>
        <w:t xml:space="preserve">unless the Conference of the Parties decides, by a </w:t>
      </w:r>
      <w:r w:rsidRPr="001E55DD">
        <w:rPr>
          <w:rFonts w:eastAsia="MS Mincho"/>
        </w:rPr>
        <w:br/>
        <w:t>three-fourths majority of the Parties present and voting, to entrust the secretariat functions to one or more other</w:t>
      </w:r>
      <w:r w:rsidRPr="001E55DD">
        <w:t xml:space="preserve"> </w:t>
      </w:r>
      <w:r w:rsidRPr="001E55DD">
        <w:rPr>
          <w:rFonts w:eastAsia="MS Mincho"/>
        </w:rPr>
        <w:t>international organizations</w:t>
      </w:r>
      <w:r w:rsidRPr="001E55DD">
        <w:t>. In doing so, the Executive Director recognises the legal autonomy of the Convention in relation to UNEP and the role and function of the Secretariat, as a body to the Convention, to serve the Convention and its Parties.</w:t>
      </w:r>
    </w:p>
    <w:p w:rsidR="00003D24" w:rsidRPr="001E55DD" w:rsidRDefault="00003D24" w:rsidP="00003D24">
      <w:pPr>
        <w:pStyle w:val="Normal-pool"/>
        <w:keepNext/>
        <w:keepLines/>
        <w:numPr>
          <w:ilvl w:val="0"/>
          <w:numId w:val="1"/>
        </w:numPr>
        <w:tabs>
          <w:tab w:val="clear" w:pos="720"/>
          <w:tab w:val="clear" w:pos="1247"/>
          <w:tab w:val="clear" w:pos="1814"/>
          <w:tab w:val="clear" w:pos="2381"/>
          <w:tab w:val="clear" w:pos="2948"/>
          <w:tab w:val="clear" w:pos="3515"/>
          <w:tab w:val="clear" w:pos="4082"/>
          <w:tab w:val="left" w:pos="624"/>
        </w:tabs>
        <w:spacing w:after="120"/>
        <w:ind w:left="1247" w:firstLine="0"/>
      </w:pPr>
      <w:r w:rsidRPr="001E55DD">
        <w:t>The Conference of the Parties acknowledges that the Executive Director is required to comply with the relevant rules, regulations and procedures of the United Nations and UNEP in the provision of the functions of the Convention Secretariat, which should be in conformity with the requirements of the Convention and its Parties and consistent with the relevant decisions of the Conference of the Parties.</w:t>
      </w:r>
    </w:p>
    <w:p w:rsidR="00003D24" w:rsidRPr="001E55DD" w:rsidRDefault="00003D24" w:rsidP="00003D24">
      <w:pPr>
        <w:pStyle w:val="Normal-pool"/>
        <w:numPr>
          <w:ilvl w:val="0"/>
          <w:numId w:val="1"/>
        </w:numPr>
        <w:tabs>
          <w:tab w:val="clear" w:pos="720"/>
          <w:tab w:val="clear" w:pos="1247"/>
          <w:tab w:val="clear" w:pos="1814"/>
          <w:tab w:val="clear" w:pos="2381"/>
          <w:tab w:val="clear" w:pos="2948"/>
          <w:tab w:val="clear" w:pos="3515"/>
          <w:tab w:val="clear" w:pos="4082"/>
          <w:tab w:val="left" w:pos="624"/>
        </w:tabs>
        <w:spacing w:after="120"/>
        <w:ind w:left="1247" w:firstLine="0"/>
      </w:pPr>
      <w:r w:rsidRPr="001E55DD">
        <w:t xml:space="preserve">The Conference of the Parties and the Executive Director recognize that efficient and </w:t>
      </w:r>
      <w:proofErr w:type="gramStart"/>
      <w:r w:rsidRPr="001E55DD">
        <w:t>cost effective</w:t>
      </w:r>
      <w:proofErr w:type="gramEnd"/>
      <w:r w:rsidRPr="001E55DD">
        <w:t xml:space="preserve"> operation of the Convention Secretariat is of paramount importance for the effective operations of the Convention. The Executive Director will be guided by this principle in performing the secretariat functions listed in Article 20 of the Convention.</w:t>
      </w:r>
    </w:p>
    <w:p w:rsidR="00003D24" w:rsidRPr="001E55DD" w:rsidRDefault="00003D24" w:rsidP="00003D24">
      <w:pPr>
        <w:pStyle w:val="Normal-pool"/>
        <w:numPr>
          <w:ilvl w:val="0"/>
          <w:numId w:val="1"/>
        </w:numPr>
        <w:tabs>
          <w:tab w:val="clear" w:pos="720"/>
          <w:tab w:val="clear" w:pos="1247"/>
          <w:tab w:val="clear" w:pos="1814"/>
          <w:tab w:val="clear" w:pos="2381"/>
          <w:tab w:val="clear" w:pos="2948"/>
          <w:tab w:val="clear" w:pos="3515"/>
          <w:tab w:val="clear" w:pos="4082"/>
          <w:tab w:val="left" w:pos="624"/>
        </w:tabs>
        <w:spacing w:after="120"/>
        <w:ind w:left="1247" w:firstLine="0"/>
      </w:pPr>
      <w:bookmarkStart w:id="2" w:name="_Hlk532998800"/>
      <w:r w:rsidRPr="001E55DD">
        <w:t xml:space="preserve">The Conference of the Parties and the Executive Director will take full account of </w:t>
      </w:r>
      <w:proofErr w:type="spellStart"/>
      <w:r w:rsidRPr="001E55DD">
        <w:t>each others’</w:t>
      </w:r>
      <w:proofErr w:type="spellEnd"/>
      <w:r w:rsidRPr="001E55DD">
        <w:t xml:space="preserve"> views on any significant action they intend within their respective mandates which may affect </w:t>
      </w:r>
      <w:proofErr w:type="spellStart"/>
      <w:r w:rsidRPr="001E55DD">
        <w:t>i</w:t>
      </w:r>
      <w:proofErr w:type="spellEnd"/>
      <w:r w:rsidRPr="001E55DD">
        <w:t xml:space="preserve">) the interests of the Parties to the Convention, the Secretariat, or UNEP, or ii) the efficient and effective administration of the Convention or of the rules and regulations of the United Nations and UNEP. </w:t>
      </w:r>
    </w:p>
    <w:p w:rsidR="00003D24" w:rsidRPr="001E55DD" w:rsidRDefault="00003D24" w:rsidP="00003D24">
      <w:pPr>
        <w:pStyle w:val="Normal-pool"/>
        <w:numPr>
          <w:ilvl w:val="0"/>
          <w:numId w:val="1"/>
        </w:numPr>
        <w:tabs>
          <w:tab w:val="clear" w:pos="720"/>
          <w:tab w:val="clear" w:pos="1247"/>
          <w:tab w:val="clear" w:pos="1814"/>
          <w:tab w:val="clear" w:pos="2381"/>
          <w:tab w:val="clear" w:pos="2948"/>
          <w:tab w:val="clear" w:pos="3515"/>
          <w:tab w:val="clear" w:pos="4082"/>
          <w:tab w:val="left" w:pos="624"/>
        </w:tabs>
        <w:spacing w:after="120"/>
        <w:ind w:left="1247" w:firstLine="0"/>
      </w:pPr>
      <w:bookmarkStart w:id="3" w:name="_Hlk532997057"/>
      <w:r w:rsidRPr="001E55DD">
        <w:t xml:space="preserve">The Conference of the Parties acknowledges that the Executive Director or his/her designated representative is likely to be present when the Conference of the Parties considers and decides on a course of action; </w:t>
      </w:r>
      <w:proofErr w:type="gramStart"/>
      <w:r w:rsidRPr="001E55DD">
        <w:t>however</w:t>
      </w:r>
      <w:proofErr w:type="gramEnd"/>
      <w:r w:rsidRPr="001E55DD">
        <w:t xml:space="preserve"> the Conference of the Parties is not necessarily present when the Executive Director does so. There may be actions or decisions to be taken by the Executive Director having policy or other implications for the operation of the Convention or its Secretariat in respect of which the Executive Secretary and the Conference of the Parties should be informed. In such cases, it is of </w:t>
      </w:r>
      <w:proofErr w:type="gramStart"/>
      <w:r w:rsidRPr="001E55DD">
        <w:t>particular importance</w:t>
      </w:r>
      <w:proofErr w:type="gramEnd"/>
      <w:r w:rsidRPr="001E55DD">
        <w:t xml:space="preserve"> for the Executive Director involve the Executive Secretary in the </w:t>
      </w:r>
      <w:r w:rsidRPr="001E55DD">
        <w:br/>
        <w:t xml:space="preserve">decision-making or action-taking process and, if appropriate, consult with the Conference of the Parties. In the event of differing opinions, the Conference of the Parties and the Executive Director should seek to develop a course of action that is mutually acceptable in advance of </w:t>
      </w:r>
      <w:proofErr w:type="gramStart"/>
      <w:r w:rsidRPr="001E55DD">
        <w:t>taking action</w:t>
      </w:r>
      <w:proofErr w:type="gramEnd"/>
      <w:r w:rsidRPr="001E55DD">
        <w:t>.</w:t>
      </w:r>
    </w:p>
    <w:p w:rsidR="00003D24" w:rsidRPr="001E55DD" w:rsidRDefault="00003D24" w:rsidP="00003D24">
      <w:pPr>
        <w:pStyle w:val="Normal-pool"/>
        <w:numPr>
          <w:ilvl w:val="0"/>
          <w:numId w:val="1"/>
        </w:numPr>
        <w:tabs>
          <w:tab w:val="clear" w:pos="720"/>
          <w:tab w:val="clear" w:pos="1247"/>
          <w:tab w:val="clear" w:pos="1814"/>
          <w:tab w:val="clear" w:pos="2381"/>
          <w:tab w:val="clear" w:pos="2948"/>
          <w:tab w:val="clear" w:pos="3515"/>
          <w:tab w:val="clear" w:pos="4082"/>
          <w:tab w:val="left" w:pos="624"/>
        </w:tabs>
        <w:spacing w:after="120"/>
        <w:ind w:left="1247" w:firstLine="0"/>
      </w:pPr>
      <w:r w:rsidRPr="001E55DD">
        <w:t xml:space="preserve">The Conference of the Parties acknowledges that its President is expected to keep </w:t>
      </w:r>
      <w:proofErr w:type="gramStart"/>
      <w:r w:rsidRPr="001E55DD">
        <w:t>all of</w:t>
      </w:r>
      <w:proofErr w:type="gramEnd"/>
      <w:r w:rsidRPr="001E55DD">
        <w:t xml:space="preserve"> the Parties to the Convention, apprised of his or her interaction with the Executive Director on behalf of the Conference of the Parties.</w:t>
      </w:r>
    </w:p>
    <w:bookmarkEnd w:id="2"/>
    <w:bookmarkEnd w:id="3"/>
    <w:p w:rsidR="00003D24" w:rsidRPr="001E55DD" w:rsidRDefault="00003D24" w:rsidP="00003D24">
      <w:pPr>
        <w:pStyle w:val="CH2"/>
      </w:pPr>
      <w:r w:rsidRPr="001E55DD">
        <w:tab/>
        <w:t>A.</w:t>
      </w:r>
      <w:r w:rsidRPr="001E55DD">
        <w:tab/>
        <w:t>Executive Secretary and staff of the Secretariat</w:t>
      </w:r>
    </w:p>
    <w:p w:rsidR="00003D24" w:rsidRPr="001E55DD" w:rsidRDefault="00003D24" w:rsidP="00003D24">
      <w:pPr>
        <w:pStyle w:val="Normal-pool"/>
        <w:numPr>
          <w:ilvl w:val="0"/>
          <w:numId w:val="1"/>
        </w:numPr>
        <w:tabs>
          <w:tab w:val="clear" w:pos="720"/>
          <w:tab w:val="clear" w:pos="1247"/>
          <w:tab w:val="clear" w:pos="1814"/>
          <w:tab w:val="clear" w:pos="2381"/>
          <w:tab w:val="clear" w:pos="2948"/>
          <w:tab w:val="clear" w:pos="3515"/>
          <w:tab w:val="clear" w:pos="4082"/>
          <w:tab w:val="left" w:pos="624"/>
        </w:tabs>
        <w:spacing w:after="120"/>
        <w:ind w:left="1247" w:firstLine="0"/>
      </w:pPr>
      <w:bookmarkStart w:id="4" w:name="_Hlk532997195"/>
      <w:r w:rsidRPr="001E55DD">
        <w:t>The Executive Director will arrange for the recruitment of the Executive Secretary in accordance with the structure of the Secretariat set out in the applicable decisions of the Conference of the Parties, who will be selected in accordance with the United Nations staff rules and regulations. It is noted that in accordance with the relevant staff regulations and rules of the United Nations governing staff selection applicable to UNEP, recommendations for selection for position of the Executive Secretary at the D-2 level will be made by the Executive Director to the Senior Review Group of the United Nations Secretariat for review. Upon review, the Senior Review Group will make its recommendation to the Secretary-General of the United Nations, who will make the selection decision.</w:t>
      </w:r>
    </w:p>
    <w:p w:rsidR="00003D24" w:rsidRPr="001E55DD" w:rsidRDefault="00003D24" w:rsidP="00003D24">
      <w:pPr>
        <w:pStyle w:val="Normal-pool"/>
        <w:numPr>
          <w:ilvl w:val="0"/>
          <w:numId w:val="1"/>
        </w:numPr>
        <w:tabs>
          <w:tab w:val="clear" w:pos="720"/>
          <w:tab w:val="clear" w:pos="1247"/>
          <w:tab w:val="clear" w:pos="1814"/>
          <w:tab w:val="clear" w:pos="2381"/>
          <w:tab w:val="clear" w:pos="2948"/>
          <w:tab w:val="clear" w:pos="3515"/>
          <w:tab w:val="clear" w:pos="4082"/>
          <w:tab w:val="left" w:pos="624"/>
        </w:tabs>
        <w:spacing w:after="120"/>
        <w:ind w:left="1247" w:firstLine="0"/>
      </w:pPr>
      <w:r w:rsidRPr="001E55DD">
        <w:t>The Executive Director, bearing in mind the relevant decisions of the Conference of the Parties, will consult with the Conference of the Parties through its President, or a Vice-President designated by the President in his/her absence, on the recruitment, selection, and appointment of the Executive Secretary and will ensure that the United Nations staff rules and regulations applicable to UNEP will govern the recruitment, selection, and appointment of all UNEP secretariat staff, including the Executive Secretary.</w:t>
      </w:r>
    </w:p>
    <w:p w:rsidR="00003D24" w:rsidRPr="001E55DD" w:rsidRDefault="00003D24" w:rsidP="00003D24">
      <w:pPr>
        <w:pStyle w:val="Normal-pool"/>
        <w:numPr>
          <w:ilvl w:val="0"/>
          <w:numId w:val="1"/>
        </w:numPr>
        <w:tabs>
          <w:tab w:val="clear" w:pos="720"/>
          <w:tab w:val="clear" w:pos="1247"/>
          <w:tab w:val="clear" w:pos="1814"/>
          <w:tab w:val="clear" w:pos="2381"/>
          <w:tab w:val="clear" w:pos="2948"/>
          <w:tab w:val="clear" w:pos="3515"/>
          <w:tab w:val="clear" w:pos="4082"/>
          <w:tab w:val="left" w:pos="624"/>
        </w:tabs>
        <w:spacing w:after="120"/>
        <w:ind w:left="1247" w:firstLine="0"/>
      </w:pPr>
      <w:r w:rsidRPr="001E55DD">
        <w:t>Subject to paragraph 8 above, the Executive Director may respectively extend or discontinue the contract of the Executive Secretary in accordance with the United Nations rules and regulations. To the extent possible within his/her powers, the Executive Director is encouraged to consult with the Conference of the Parties through its President as appropriate at all stages of this process.</w:t>
      </w:r>
    </w:p>
    <w:p w:rsidR="00003D24" w:rsidRPr="001E55DD" w:rsidRDefault="00003D24" w:rsidP="00003D24">
      <w:pPr>
        <w:pStyle w:val="Normal-pool"/>
        <w:numPr>
          <w:ilvl w:val="0"/>
          <w:numId w:val="1"/>
        </w:numPr>
        <w:tabs>
          <w:tab w:val="clear" w:pos="720"/>
          <w:tab w:val="clear" w:pos="1247"/>
          <w:tab w:val="clear" w:pos="1814"/>
          <w:tab w:val="clear" w:pos="2381"/>
          <w:tab w:val="clear" w:pos="2948"/>
          <w:tab w:val="clear" w:pos="3515"/>
          <w:tab w:val="clear" w:pos="4082"/>
          <w:tab w:val="left" w:pos="624"/>
        </w:tabs>
        <w:spacing w:after="120"/>
        <w:ind w:left="1247" w:firstLine="0"/>
      </w:pPr>
      <w:r w:rsidRPr="001E55DD">
        <w:t xml:space="preserve">The Executive Director will provide the necessary administrative and financial support within the approved and available financial resources of the Secretariat or Convention to ensure that </w:t>
      </w:r>
      <w:r w:rsidRPr="001E55DD">
        <w:lastRenderedPageBreak/>
        <w:t>the Secretariat operates with the necessary human resources</w:t>
      </w:r>
      <w:r w:rsidRPr="001E55DD">
        <w:rPr>
          <w:i/>
        </w:rPr>
        <w:t>.</w:t>
      </w:r>
      <w:r w:rsidRPr="001E55DD">
        <w:rPr>
          <w:i/>
          <w:u w:val="single"/>
        </w:rPr>
        <w:t xml:space="preserve"> </w:t>
      </w:r>
      <w:r w:rsidRPr="001E55DD">
        <w:t>The Executive Director will ensure that any vacancy occurring among the staff of the Secretariat will be filled in accordance with the United Nations staff rules and regulations applicable to UNEP as soon as possible, noting the knowledge, experience and expertise required for such posts. The Executive Director, in accordance with the United Nations rules and regulations as applicable to UNEP may delegate to the Executive Secretary the authority to take appointment decisions for the staff of the Secretariat.</w:t>
      </w:r>
    </w:p>
    <w:p w:rsidR="00003D24" w:rsidRPr="001E55DD" w:rsidRDefault="00003D24" w:rsidP="00003D24">
      <w:pPr>
        <w:pStyle w:val="Normal-pool"/>
        <w:numPr>
          <w:ilvl w:val="0"/>
          <w:numId w:val="1"/>
        </w:numPr>
        <w:tabs>
          <w:tab w:val="clear" w:pos="720"/>
          <w:tab w:val="clear" w:pos="1247"/>
          <w:tab w:val="clear" w:pos="1814"/>
          <w:tab w:val="clear" w:pos="2381"/>
          <w:tab w:val="clear" w:pos="2948"/>
          <w:tab w:val="clear" w:pos="3515"/>
          <w:tab w:val="clear" w:pos="4082"/>
          <w:tab w:val="left" w:pos="624"/>
        </w:tabs>
        <w:spacing w:after="120"/>
        <w:ind w:left="1247" w:firstLine="0"/>
      </w:pPr>
      <w:r w:rsidRPr="001E55DD">
        <w:t>The Executive Director will ensure that the needs of the Secretariat for Junior Professional Officers (JPOs) are, unless specified otherwise by donor governments, fully included without prioritization by UNEP, in the list that UNEP annually shares with donor governments supporting JPOs.</w:t>
      </w:r>
    </w:p>
    <w:p w:rsidR="00003D24" w:rsidRPr="001E55DD" w:rsidRDefault="00003D24" w:rsidP="00003D24">
      <w:pPr>
        <w:pStyle w:val="Normal-pool"/>
        <w:numPr>
          <w:ilvl w:val="0"/>
          <w:numId w:val="1"/>
        </w:numPr>
        <w:tabs>
          <w:tab w:val="clear" w:pos="720"/>
          <w:tab w:val="clear" w:pos="1247"/>
          <w:tab w:val="clear" w:pos="1814"/>
          <w:tab w:val="clear" w:pos="2381"/>
          <w:tab w:val="clear" w:pos="2948"/>
          <w:tab w:val="clear" w:pos="3515"/>
          <w:tab w:val="clear" w:pos="4082"/>
          <w:tab w:val="left" w:pos="624"/>
        </w:tabs>
        <w:spacing w:after="120"/>
        <w:ind w:left="1247" w:firstLine="0"/>
      </w:pPr>
      <w:r w:rsidRPr="001E55DD">
        <w:t xml:space="preserve">The Executive Director, including through the Executive Secretary, as appropriate, will advise the Conference of the Parties of any unforeseen delays in filling any posts, recruiting gratis personnel or JPOs or other human resources matters related to the Secretariat. The Executive Director understands the importance of, reporting to the Convention’s governing bodies on the status of such recruitments. </w:t>
      </w:r>
    </w:p>
    <w:bookmarkEnd w:id="4"/>
    <w:p w:rsidR="00003D24" w:rsidRPr="001E55DD" w:rsidRDefault="00003D24" w:rsidP="00003D24">
      <w:pPr>
        <w:pStyle w:val="CH2"/>
      </w:pPr>
      <w:r w:rsidRPr="001E55DD">
        <w:tab/>
        <w:t>B.</w:t>
      </w:r>
      <w:r w:rsidRPr="001E55DD">
        <w:tab/>
        <w:t xml:space="preserve">Delegation of authority </w:t>
      </w:r>
    </w:p>
    <w:p w:rsidR="00003D24" w:rsidRPr="001E55DD" w:rsidRDefault="00003D24" w:rsidP="00003D24">
      <w:pPr>
        <w:pStyle w:val="Normal-pool"/>
        <w:numPr>
          <w:ilvl w:val="0"/>
          <w:numId w:val="1"/>
        </w:numPr>
        <w:tabs>
          <w:tab w:val="clear" w:pos="720"/>
          <w:tab w:val="clear" w:pos="1247"/>
          <w:tab w:val="clear" w:pos="1814"/>
          <w:tab w:val="clear" w:pos="2381"/>
          <w:tab w:val="clear" w:pos="2948"/>
          <w:tab w:val="clear" w:pos="3515"/>
          <w:tab w:val="clear" w:pos="4082"/>
          <w:tab w:val="left" w:pos="624"/>
        </w:tabs>
        <w:spacing w:after="120"/>
        <w:ind w:left="1247" w:firstLine="0"/>
      </w:pPr>
      <w:bookmarkStart w:id="5" w:name="_Hlk532997456"/>
      <w:r w:rsidRPr="001E55DD">
        <w:rPr>
          <w:bCs/>
        </w:rPr>
        <w:t>T</w:t>
      </w:r>
      <w:r w:rsidRPr="001E55DD">
        <w:t xml:space="preserve">he Executive Director delegates the necessary authority to the Executive Secretary on administrative and financial matters to enable the Executive Secretary to manage, take decisions and represent the Secretariat with the level of autonomy required for maintaining the efficient and </w:t>
      </w:r>
      <w:r w:rsidRPr="001E55DD">
        <w:br/>
        <w:t xml:space="preserve">cost-effective operations of the Secretariat. Such delegation covers, inter alia, programme management, financial and physical resources management, human resources management and any other related matters, where decisions by the Executive Secretary may be required for the effective operation of the Secretariat. </w:t>
      </w:r>
    </w:p>
    <w:p w:rsidR="00003D24" w:rsidRPr="001E55DD" w:rsidRDefault="00003D24" w:rsidP="00003D24">
      <w:pPr>
        <w:pStyle w:val="Normal-pool"/>
        <w:numPr>
          <w:ilvl w:val="0"/>
          <w:numId w:val="1"/>
        </w:numPr>
        <w:tabs>
          <w:tab w:val="clear" w:pos="720"/>
          <w:tab w:val="clear" w:pos="1247"/>
          <w:tab w:val="clear" w:pos="1814"/>
          <w:tab w:val="clear" w:pos="2381"/>
          <w:tab w:val="clear" w:pos="2948"/>
          <w:tab w:val="clear" w:pos="3515"/>
          <w:tab w:val="clear" w:pos="4082"/>
          <w:tab w:val="left" w:pos="624"/>
        </w:tabs>
        <w:spacing w:after="120"/>
        <w:ind w:left="1247" w:firstLine="0"/>
      </w:pPr>
      <w:r w:rsidRPr="001E55DD">
        <w:t xml:space="preserve">The Executive Secretary may, in turn, delegate this authority further down </w:t>
      </w:r>
      <w:r w:rsidRPr="001E55DD">
        <w:rPr>
          <w:szCs w:val="22"/>
        </w:rPr>
        <w:t>either along reporting lines and/or to a manager within the Secretariat with a clear understanding that he/she, however, retains full accountability and responsibility for any wrong doing by his/her subordinates.</w:t>
      </w:r>
      <w:r w:rsidRPr="001E55DD">
        <w:t xml:space="preserve"> </w:t>
      </w:r>
    </w:p>
    <w:p w:rsidR="00003D24" w:rsidRPr="001E55DD" w:rsidRDefault="00003D24" w:rsidP="00003D24">
      <w:pPr>
        <w:pStyle w:val="Normal-pool"/>
        <w:numPr>
          <w:ilvl w:val="0"/>
          <w:numId w:val="1"/>
        </w:numPr>
        <w:tabs>
          <w:tab w:val="clear" w:pos="720"/>
          <w:tab w:val="clear" w:pos="1247"/>
          <w:tab w:val="clear" w:pos="1814"/>
          <w:tab w:val="clear" w:pos="2381"/>
          <w:tab w:val="clear" w:pos="2948"/>
          <w:tab w:val="clear" w:pos="3515"/>
          <w:tab w:val="clear" w:pos="4082"/>
          <w:tab w:val="left" w:pos="624"/>
        </w:tabs>
        <w:spacing w:after="120"/>
        <w:ind w:left="1247" w:firstLine="0"/>
      </w:pPr>
      <w:r w:rsidRPr="001E55DD">
        <w:t>UNEP has adopted a delegation of authority policy and framework (DAPF) for the management and administration of the secretariats of multilateral environmental agreements, which came into force on 1 November 2016. The Executive Director will ensure that the Executive Secretary exercises any such delegated authority in accordance with the applicable rules and regulations of the United Nations and UNEP and the Executive Director’s commitments in this Memorandum of Understanding. In the event of intended actions or decisions by the Executive Director in relation to the DAPF having policy or other implications for the operation of the Convention or its Secretariat the Executive Director will involve the Executive Secretary in the decision-making or action-taking process and, if needed, consult with the Conference of the Parties.</w:t>
      </w:r>
    </w:p>
    <w:bookmarkEnd w:id="5"/>
    <w:p w:rsidR="00003D24" w:rsidRPr="001E55DD" w:rsidRDefault="00003D24" w:rsidP="00003D24">
      <w:pPr>
        <w:pStyle w:val="CH2"/>
      </w:pPr>
      <w:r w:rsidRPr="001E55DD">
        <w:tab/>
        <w:t>C.</w:t>
      </w:r>
      <w:r w:rsidRPr="001E55DD">
        <w:tab/>
        <w:t xml:space="preserve">Administrative and programme support costs </w:t>
      </w:r>
    </w:p>
    <w:p w:rsidR="00003D24" w:rsidRPr="001E55DD" w:rsidRDefault="00003D24" w:rsidP="00003D24">
      <w:pPr>
        <w:pStyle w:val="Normal-pool"/>
        <w:numPr>
          <w:ilvl w:val="0"/>
          <w:numId w:val="1"/>
        </w:numPr>
        <w:tabs>
          <w:tab w:val="clear" w:pos="720"/>
          <w:tab w:val="clear" w:pos="1247"/>
          <w:tab w:val="clear" w:pos="1814"/>
          <w:tab w:val="clear" w:pos="2381"/>
          <w:tab w:val="clear" w:pos="2948"/>
          <w:tab w:val="clear" w:pos="3515"/>
          <w:tab w:val="clear" w:pos="4082"/>
          <w:tab w:val="left" w:pos="624"/>
        </w:tabs>
        <w:spacing w:after="120"/>
        <w:ind w:left="1247" w:firstLine="0"/>
      </w:pPr>
      <w:bookmarkStart w:id="6" w:name="_Hlk532997507"/>
      <w:r w:rsidRPr="001E55DD">
        <w:t>The Executive Director will work with the Executive Secretary to determine the Convention’s administrative service requirements and to identify the most efficient means by which to ensure that the Convention receives the necessary administrative and financial support, within the available financial resources, in accordance with the rules and regulations of the UN and UNEP and consistent with the decisions of the Conference of the Parties, in particular decision SC-1/3 of the Conference of the Parties on the “financial rules for the Conference of the Parties, its subsidiary bodies and the Convention Secretariat”, as amended by decision SC-5/2.</w:t>
      </w:r>
    </w:p>
    <w:p w:rsidR="00003D24" w:rsidRPr="001E55DD" w:rsidRDefault="00003D24" w:rsidP="00003D24">
      <w:pPr>
        <w:pStyle w:val="Normal-pool"/>
        <w:numPr>
          <w:ilvl w:val="0"/>
          <w:numId w:val="1"/>
        </w:numPr>
        <w:tabs>
          <w:tab w:val="clear" w:pos="720"/>
          <w:tab w:val="clear" w:pos="1247"/>
          <w:tab w:val="clear" w:pos="1814"/>
          <w:tab w:val="clear" w:pos="2381"/>
          <w:tab w:val="clear" w:pos="2948"/>
          <w:tab w:val="clear" w:pos="3515"/>
          <w:tab w:val="clear" w:pos="4082"/>
          <w:tab w:val="left" w:pos="624"/>
        </w:tabs>
        <w:spacing w:after="120"/>
        <w:ind w:left="1247" w:firstLine="0"/>
      </w:pPr>
      <w:r w:rsidRPr="001E55DD">
        <w:t xml:space="preserve">In particular, the Executive Director will allocate an appropriate share, which should initially not be less than 67% of the annual Programme Support Costs (PSC) income attributable to </w:t>
      </w:r>
      <w:proofErr w:type="gramStart"/>
      <w:r w:rsidRPr="001E55DD">
        <w:t>all of</w:t>
      </w:r>
      <w:proofErr w:type="gramEnd"/>
      <w:r w:rsidRPr="001E55DD">
        <w:t xml:space="preserve"> the trust funds of the Convention to the Secretariat. The allocation will be based upon receipt of an annual cost plan that demonstrates that these funds will be used efficiently and effectively in support of Convention activities.</w:t>
      </w:r>
    </w:p>
    <w:p w:rsidR="00003D24" w:rsidRPr="001E55DD" w:rsidRDefault="00003D24" w:rsidP="00003D24">
      <w:pPr>
        <w:pStyle w:val="Normal-pool"/>
        <w:numPr>
          <w:ilvl w:val="0"/>
          <w:numId w:val="1"/>
        </w:numPr>
        <w:tabs>
          <w:tab w:val="clear" w:pos="720"/>
          <w:tab w:val="clear" w:pos="1247"/>
          <w:tab w:val="clear" w:pos="1814"/>
          <w:tab w:val="clear" w:pos="2381"/>
          <w:tab w:val="clear" w:pos="2948"/>
          <w:tab w:val="clear" w:pos="3515"/>
          <w:tab w:val="clear" w:pos="4082"/>
          <w:tab w:val="left" w:pos="624"/>
        </w:tabs>
        <w:spacing w:after="120"/>
        <w:ind w:left="1247" w:firstLine="0"/>
      </w:pPr>
      <w:r w:rsidRPr="001E55DD">
        <w:t xml:space="preserve">The Executive Director will also allocate an appropriate share, which should initially not be more than 33%, of the PSC income attributable to </w:t>
      </w:r>
      <w:proofErr w:type="gramStart"/>
      <w:r w:rsidRPr="001E55DD">
        <w:t>all of</w:t>
      </w:r>
      <w:proofErr w:type="gramEnd"/>
      <w:r w:rsidRPr="001E55DD">
        <w:t xml:space="preserve"> the trust funds of the Convention to finance the part of UNEP’s central administrative services that support the Stockholm Convention. The central administrative services are set out in English only in the annex to the present Memorandum of Understanding, including those performed by UNON and UNOG on behalf of UNEP, the UN’s Office of Internal Oversight Services (OIOS) and the Board of Auditors. </w:t>
      </w:r>
    </w:p>
    <w:p w:rsidR="00003D24" w:rsidRPr="001E55DD" w:rsidRDefault="00003D24" w:rsidP="00003D24">
      <w:pPr>
        <w:pStyle w:val="Normal-pool"/>
        <w:numPr>
          <w:ilvl w:val="0"/>
          <w:numId w:val="1"/>
        </w:numPr>
        <w:tabs>
          <w:tab w:val="clear" w:pos="720"/>
          <w:tab w:val="clear" w:pos="1247"/>
          <w:tab w:val="clear" w:pos="1814"/>
          <w:tab w:val="clear" w:pos="2381"/>
          <w:tab w:val="clear" w:pos="2948"/>
          <w:tab w:val="clear" w:pos="3515"/>
          <w:tab w:val="clear" w:pos="4082"/>
          <w:tab w:val="left" w:pos="624"/>
        </w:tabs>
        <w:spacing w:after="120"/>
        <w:ind w:left="1247" w:firstLine="0"/>
      </w:pPr>
      <w:r w:rsidRPr="001E55DD">
        <w:lastRenderedPageBreak/>
        <w:t>In accordance with the applicable UN administrative instructions,</w:t>
      </w:r>
      <w:r w:rsidRPr="001E55DD">
        <w:rPr>
          <w:rStyle w:val="FootnoteReference"/>
        </w:rPr>
        <w:footnoteReference w:id="4"/>
      </w:r>
      <w:r w:rsidRPr="001E55DD">
        <w:t xml:space="preserve"> the statement of the Programme Support account will be included in the published financial statements of UNEP. The Executive Director will provide full transparency in respect of the allocation of PSC between the Secretariat and central administrative services.</w:t>
      </w:r>
      <w:r w:rsidRPr="001E55DD" w:rsidDel="00FB526E">
        <w:t xml:space="preserve"> </w:t>
      </w:r>
    </w:p>
    <w:p w:rsidR="00003D24" w:rsidRPr="001E55DD" w:rsidRDefault="00003D24" w:rsidP="00003D24">
      <w:pPr>
        <w:pStyle w:val="Normal-pool"/>
        <w:numPr>
          <w:ilvl w:val="0"/>
          <w:numId w:val="1"/>
        </w:numPr>
        <w:tabs>
          <w:tab w:val="clear" w:pos="720"/>
          <w:tab w:val="clear" w:pos="1247"/>
          <w:tab w:val="clear" w:pos="1814"/>
          <w:tab w:val="clear" w:pos="2381"/>
          <w:tab w:val="clear" w:pos="2948"/>
          <w:tab w:val="clear" w:pos="3515"/>
          <w:tab w:val="clear" w:pos="4082"/>
          <w:tab w:val="left" w:pos="624"/>
        </w:tabs>
        <w:spacing w:after="120"/>
        <w:ind w:left="1247" w:firstLine="0"/>
      </w:pPr>
      <w:r w:rsidRPr="001E55DD">
        <w:t>Pursuant to decision SC-1/3 on the “financial rules for the Conference of the Parties, its subsidiary bodies and the Convention Secretariat”, as amended by decision SC-5/2, the Conference of the Parties reimburses UNEP for the services provided to the Conference of the Parties, its subsidiary bodies and the Convention Secretariat from the funds referred to in rule 4 (paragraphs 1, 3 and 4) of these financial rules and in paragraph 21 of the present Memorandum of Understanding, on such terms as may from time to time be agreed upon in writing between the Conference of the Parties and UNEP, or, in the absence of such agreement, in accordance with the general policy of the United Nations.</w:t>
      </w:r>
    </w:p>
    <w:bookmarkEnd w:id="6"/>
    <w:p w:rsidR="00003D24" w:rsidRPr="001E55DD" w:rsidRDefault="00003D24" w:rsidP="00003D24">
      <w:pPr>
        <w:pStyle w:val="CH2"/>
      </w:pPr>
      <w:r w:rsidRPr="001E55DD">
        <w:tab/>
        <w:t>D.</w:t>
      </w:r>
      <w:r w:rsidRPr="001E55DD">
        <w:tab/>
        <w:t xml:space="preserve">Financial matters and budgets </w:t>
      </w:r>
    </w:p>
    <w:p w:rsidR="00003D24" w:rsidRPr="001E55DD" w:rsidRDefault="00003D24" w:rsidP="00003D24">
      <w:pPr>
        <w:pStyle w:val="Normal-pool"/>
        <w:numPr>
          <w:ilvl w:val="0"/>
          <w:numId w:val="1"/>
        </w:numPr>
        <w:tabs>
          <w:tab w:val="clear" w:pos="720"/>
          <w:tab w:val="clear" w:pos="1247"/>
          <w:tab w:val="clear" w:pos="1814"/>
          <w:tab w:val="clear" w:pos="2381"/>
          <w:tab w:val="clear" w:pos="2948"/>
          <w:tab w:val="clear" w:pos="3515"/>
          <w:tab w:val="clear" w:pos="4082"/>
          <w:tab w:val="left" w:pos="624"/>
        </w:tabs>
        <w:spacing w:after="120"/>
        <w:ind w:left="1247" w:firstLine="0"/>
      </w:pPr>
      <w:r w:rsidRPr="001E55DD">
        <w:t>The financial operations of the Convention are recorded in trust funds established in accordance with Financial Regulations and Rules of the United Nations, Article V of the General Procedures Governing the Operation of the Funds of UNEP and consistent with the financial rules for the Conference of the Parties, its subsidiary bodies and the Convention Secretariat, in particular set out in decision SC-1/3 of the Conference of the Parties as amended by decision SC-5/2. In respect of matters not specifically provided for by the rules as contained in these decisions, the Financial Regulations and Rules of the United Nations shall apply, and in the event of any conflict between the decisions of the Conference of the Parties and the Financial Regulations and Rules of the United</w:t>
      </w:r>
      <w:r>
        <w:t> </w:t>
      </w:r>
      <w:r w:rsidRPr="001E55DD">
        <w:t>Nations, the Financial Regulations and Rules of the United Nations shall prevail.</w:t>
      </w:r>
    </w:p>
    <w:p w:rsidR="00003D24" w:rsidRPr="001E55DD" w:rsidRDefault="00003D24" w:rsidP="00003D24">
      <w:pPr>
        <w:pStyle w:val="Normal-pool"/>
        <w:numPr>
          <w:ilvl w:val="0"/>
          <w:numId w:val="1"/>
        </w:numPr>
        <w:tabs>
          <w:tab w:val="clear" w:pos="720"/>
          <w:tab w:val="clear" w:pos="1247"/>
          <w:tab w:val="clear" w:pos="1814"/>
          <w:tab w:val="clear" w:pos="2381"/>
          <w:tab w:val="clear" w:pos="2948"/>
          <w:tab w:val="clear" w:pos="3515"/>
          <w:tab w:val="clear" w:pos="4082"/>
          <w:tab w:val="left" w:pos="624"/>
        </w:tabs>
        <w:spacing w:after="120"/>
        <w:ind w:left="1247" w:firstLine="0"/>
      </w:pPr>
      <w:r w:rsidRPr="001E55DD">
        <w:t xml:space="preserve">Pursuant to decision SC-1/3 on the “financial rules for the Conference of the Parties, its subsidiary bodies and the Convention Secretariat”, as amended by decision SC-5/2, the accounts and financial management of all funds governed by these rules shall be subject to the internal and external audit process of the United Nations. </w:t>
      </w:r>
      <w:bookmarkStart w:id="7" w:name="_Hlk532997915"/>
      <w:r w:rsidRPr="001E55DD">
        <w:t>An interim statement of accounts for the first year of the financial period shall be provided to the Conference of the Parties during the second year of the period, and a final audited statement of accounts for the full financial period shall be provided to the Conference of the Parties as soon as possible after the accounts for the financial period are closed. The Conference of the Parties shall be informed of any relevant remarks in the reports of the United Nations Board of Auditors on financial statements of UNEP</w:t>
      </w:r>
      <w:bookmarkEnd w:id="7"/>
      <w:r w:rsidRPr="001E55DD">
        <w:t xml:space="preserve">. </w:t>
      </w:r>
    </w:p>
    <w:p w:rsidR="00003D24" w:rsidRPr="001E55DD" w:rsidRDefault="00003D24" w:rsidP="00003D24">
      <w:pPr>
        <w:pStyle w:val="Normal-pool"/>
        <w:numPr>
          <w:ilvl w:val="0"/>
          <w:numId w:val="1"/>
        </w:numPr>
        <w:tabs>
          <w:tab w:val="clear" w:pos="720"/>
          <w:tab w:val="clear" w:pos="1247"/>
          <w:tab w:val="clear" w:pos="1814"/>
          <w:tab w:val="clear" w:pos="2381"/>
          <w:tab w:val="clear" w:pos="2948"/>
          <w:tab w:val="clear" w:pos="3515"/>
          <w:tab w:val="clear" w:pos="4082"/>
          <w:tab w:val="left" w:pos="624"/>
        </w:tabs>
        <w:spacing w:after="120"/>
        <w:ind w:left="1247" w:firstLine="0"/>
      </w:pPr>
      <w:bookmarkStart w:id="8" w:name="_Hlk532997941"/>
      <w:r w:rsidRPr="001E55DD">
        <w:t xml:space="preserve">The Conference of the Parties to the Convention, including through its President, oversee the development and execution of the budget managed by the Secretariat as derived from the trust funds of the Convention. </w:t>
      </w:r>
    </w:p>
    <w:p w:rsidR="00003D24" w:rsidRPr="001E55DD" w:rsidRDefault="00003D24" w:rsidP="00003D24">
      <w:pPr>
        <w:pStyle w:val="Normal-pool"/>
        <w:numPr>
          <w:ilvl w:val="0"/>
          <w:numId w:val="1"/>
        </w:numPr>
        <w:tabs>
          <w:tab w:val="clear" w:pos="720"/>
          <w:tab w:val="clear" w:pos="1247"/>
          <w:tab w:val="clear" w:pos="1814"/>
          <w:tab w:val="clear" w:pos="2381"/>
          <w:tab w:val="clear" w:pos="2948"/>
          <w:tab w:val="clear" w:pos="3515"/>
          <w:tab w:val="clear" w:pos="4082"/>
          <w:tab w:val="left" w:pos="624"/>
        </w:tabs>
        <w:spacing w:after="120"/>
        <w:ind w:left="1247" w:firstLine="0"/>
      </w:pPr>
      <w:r w:rsidRPr="001E55DD">
        <w:t xml:space="preserve">The Executive Director will ensure that the Executive Secretary will comply with the specific decisions adopted at each meeting of the Conference of the Parties, including with respect to matters related to the financing and budgeting of the Secretariat, </w:t>
      </w:r>
      <w:proofErr w:type="gramStart"/>
      <w:r w:rsidRPr="001E55DD">
        <w:t>taking into account</w:t>
      </w:r>
      <w:proofErr w:type="gramEnd"/>
      <w:r w:rsidRPr="001E55DD">
        <w:t xml:space="preserve"> the availability of resources and in accordance with the Financial Regulations and Rules of the United Nations, UNEP.</w:t>
      </w:r>
    </w:p>
    <w:p w:rsidR="00003D24" w:rsidRPr="001E55DD" w:rsidRDefault="00003D24" w:rsidP="00003D24">
      <w:pPr>
        <w:pStyle w:val="Normal-pool"/>
        <w:numPr>
          <w:ilvl w:val="0"/>
          <w:numId w:val="1"/>
        </w:numPr>
        <w:tabs>
          <w:tab w:val="clear" w:pos="720"/>
          <w:tab w:val="clear" w:pos="1247"/>
          <w:tab w:val="clear" w:pos="1814"/>
          <w:tab w:val="clear" w:pos="2381"/>
          <w:tab w:val="clear" w:pos="2948"/>
          <w:tab w:val="clear" w:pos="3515"/>
          <w:tab w:val="clear" w:pos="4082"/>
          <w:tab w:val="left" w:pos="624"/>
        </w:tabs>
        <w:spacing w:after="120"/>
        <w:ind w:left="1247" w:firstLine="0"/>
      </w:pPr>
      <w:r w:rsidRPr="001E55DD">
        <w:t>The Conference of the Parties understands that a copy of the draft Secretariat budget will be shared with the Executive Director for review and comments before the final proposed budget is submitted by the Executive Secretary for consideration by the Conference of the Parties at its next meeting.</w:t>
      </w:r>
    </w:p>
    <w:bookmarkEnd w:id="8"/>
    <w:p w:rsidR="00003D24" w:rsidRPr="001E55DD" w:rsidRDefault="00003D24" w:rsidP="00003D24">
      <w:pPr>
        <w:pStyle w:val="CH2"/>
      </w:pPr>
      <w:r w:rsidRPr="001E55DD">
        <w:tab/>
        <w:t>E.</w:t>
      </w:r>
      <w:r w:rsidRPr="001E55DD">
        <w:tab/>
        <w:t>Performance evaluation and management review</w:t>
      </w:r>
    </w:p>
    <w:p w:rsidR="00003D24" w:rsidRPr="001E55DD" w:rsidRDefault="00003D24" w:rsidP="00003D24">
      <w:pPr>
        <w:pStyle w:val="Normal-pool"/>
        <w:numPr>
          <w:ilvl w:val="0"/>
          <w:numId w:val="1"/>
        </w:numPr>
        <w:tabs>
          <w:tab w:val="clear" w:pos="720"/>
          <w:tab w:val="clear" w:pos="1247"/>
          <w:tab w:val="clear" w:pos="1814"/>
          <w:tab w:val="clear" w:pos="2381"/>
          <w:tab w:val="clear" w:pos="2948"/>
          <w:tab w:val="clear" w:pos="3515"/>
          <w:tab w:val="clear" w:pos="4082"/>
          <w:tab w:val="left" w:pos="624"/>
        </w:tabs>
        <w:spacing w:after="120"/>
        <w:ind w:left="1247" w:firstLine="0"/>
      </w:pPr>
      <w:r w:rsidRPr="001E55DD">
        <w:t xml:space="preserve">Evaluation of the performance of the staff and other relevant personnel of the Secretariat is conducted in accordance with the relevant rules and regulations of the United Nations as applied to UNEP. </w:t>
      </w:r>
    </w:p>
    <w:p w:rsidR="00003D24" w:rsidRPr="001E55DD" w:rsidRDefault="00003D24" w:rsidP="00003D24">
      <w:pPr>
        <w:pStyle w:val="Normal-pool"/>
        <w:numPr>
          <w:ilvl w:val="0"/>
          <w:numId w:val="1"/>
        </w:numPr>
        <w:tabs>
          <w:tab w:val="clear" w:pos="720"/>
          <w:tab w:val="clear" w:pos="1247"/>
          <w:tab w:val="clear" w:pos="1814"/>
          <w:tab w:val="clear" w:pos="2381"/>
          <w:tab w:val="clear" w:pos="2948"/>
          <w:tab w:val="clear" w:pos="3515"/>
          <w:tab w:val="clear" w:pos="4082"/>
          <w:tab w:val="left" w:pos="624"/>
        </w:tabs>
        <w:spacing w:after="120"/>
        <w:ind w:left="1247" w:firstLine="0"/>
      </w:pPr>
      <w:r w:rsidRPr="001E55DD">
        <w:t>Through the delegation of authority referred to in section B above, the Executive Secretary will manage the performance of all staff of the Secretariat other than himself/herself. The Executive Director or his/her Deputy will appraise the performances of the Executive Secretary. Performance appraisal will be conducted through the United Nations performance management and evaluation system currently in use.</w:t>
      </w:r>
    </w:p>
    <w:p w:rsidR="00003D24" w:rsidRPr="001E55DD" w:rsidRDefault="00003D24" w:rsidP="00003D24">
      <w:pPr>
        <w:pStyle w:val="Normal-pool"/>
        <w:numPr>
          <w:ilvl w:val="0"/>
          <w:numId w:val="1"/>
        </w:numPr>
        <w:tabs>
          <w:tab w:val="clear" w:pos="720"/>
          <w:tab w:val="clear" w:pos="1247"/>
          <w:tab w:val="clear" w:pos="1814"/>
          <w:tab w:val="clear" w:pos="2381"/>
          <w:tab w:val="clear" w:pos="2948"/>
          <w:tab w:val="clear" w:pos="3515"/>
          <w:tab w:val="clear" w:pos="4082"/>
          <w:tab w:val="left" w:pos="624"/>
        </w:tabs>
        <w:spacing w:after="120"/>
        <w:ind w:left="1247" w:firstLine="0"/>
      </w:pPr>
      <w:r w:rsidRPr="001E55DD">
        <w:t xml:space="preserve">The Executive Director will ensure the Conference of the Parties has access to information regarding the applicable criteria for performance appraisal under the United Nations performance management and evaluation system. </w:t>
      </w:r>
    </w:p>
    <w:p w:rsidR="00003D24" w:rsidRPr="001E55DD" w:rsidRDefault="00003D24" w:rsidP="00003D24">
      <w:pPr>
        <w:pStyle w:val="Normal-pool"/>
        <w:numPr>
          <w:ilvl w:val="0"/>
          <w:numId w:val="1"/>
        </w:numPr>
        <w:tabs>
          <w:tab w:val="clear" w:pos="720"/>
          <w:tab w:val="clear" w:pos="1247"/>
          <w:tab w:val="clear" w:pos="1814"/>
          <w:tab w:val="clear" w:pos="2381"/>
          <w:tab w:val="clear" w:pos="2948"/>
          <w:tab w:val="clear" w:pos="3515"/>
          <w:tab w:val="clear" w:pos="4082"/>
          <w:tab w:val="left" w:pos="624"/>
        </w:tabs>
        <w:spacing w:after="120"/>
        <w:ind w:left="1247" w:firstLine="0"/>
      </w:pPr>
      <w:r w:rsidRPr="001E55DD">
        <w:lastRenderedPageBreak/>
        <w:t xml:space="preserve">In case of appraising the programmatic performance of the Executive Secretary, and his/her subordinate staff, the Executive Director acknowledges that the substantive work programme of the Secretariat is determined by the Conference of the Parties and its subsidiary bodies alone. </w:t>
      </w:r>
    </w:p>
    <w:p w:rsidR="00003D24" w:rsidRPr="001E55DD" w:rsidRDefault="00003D24" w:rsidP="00003D24">
      <w:pPr>
        <w:pStyle w:val="Normal-pool"/>
        <w:numPr>
          <w:ilvl w:val="0"/>
          <w:numId w:val="1"/>
        </w:numPr>
        <w:tabs>
          <w:tab w:val="clear" w:pos="720"/>
          <w:tab w:val="clear" w:pos="1247"/>
          <w:tab w:val="clear" w:pos="1814"/>
          <w:tab w:val="clear" w:pos="2381"/>
          <w:tab w:val="clear" w:pos="2948"/>
          <w:tab w:val="clear" w:pos="3515"/>
          <w:tab w:val="clear" w:pos="4082"/>
          <w:tab w:val="left" w:pos="624"/>
        </w:tabs>
        <w:spacing w:after="120"/>
        <w:ind w:left="1247" w:firstLine="0"/>
      </w:pPr>
      <w:r w:rsidRPr="001E55DD">
        <w:t xml:space="preserve">The Executive Director will ensure that the Executive Secretary acts in conformity with the provisions of the Convention, </w:t>
      </w:r>
      <w:proofErr w:type="gramStart"/>
      <w:r w:rsidRPr="001E55DD">
        <w:t>in particular with</w:t>
      </w:r>
      <w:proofErr w:type="gramEnd"/>
      <w:r w:rsidRPr="001E55DD">
        <w:t xml:space="preserve"> its Articles 19 and 20, as well as with the rules and regulations of the United Nations on these and other substantive functions as may be entrusted to the Secretariat by the Parties to the Convention.</w:t>
      </w:r>
    </w:p>
    <w:p w:rsidR="00003D24" w:rsidRPr="001E55DD" w:rsidRDefault="00003D24" w:rsidP="00003D24">
      <w:pPr>
        <w:pStyle w:val="Normal-pool"/>
        <w:numPr>
          <w:ilvl w:val="0"/>
          <w:numId w:val="1"/>
        </w:numPr>
        <w:tabs>
          <w:tab w:val="clear" w:pos="720"/>
          <w:tab w:val="clear" w:pos="1247"/>
          <w:tab w:val="clear" w:pos="1814"/>
          <w:tab w:val="clear" w:pos="2381"/>
          <w:tab w:val="clear" w:pos="2948"/>
          <w:tab w:val="clear" w:pos="3515"/>
          <w:tab w:val="clear" w:pos="4082"/>
          <w:tab w:val="left" w:pos="624"/>
        </w:tabs>
        <w:spacing w:after="120"/>
        <w:ind w:left="1247" w:firstLine="0"/>
      </w:pPr>
      <w:r w:rsidRPr="001E55DD">
        <w:t>The Executive Director will ensure that the Executive Secretary implements the decisions and conclusions of the Conference of the Parties, during and between the meetings of the Conference of the Parties.</w:t>
      </w:r>
    </w:p>
    <w:p w:rsidR="00003D24" w:rsidRPr="001E55DD" w:rsidRDefault="00003D24" w:rsidP="00003D24">
      <w:pPr>
        <w:pStyle w:val="Normal-pool"/>
        <w:numPr>
          <w:ilvl w:val="0"/>
          <w:numId w:val="1"/>
        </w:numPr>
        <w:tabs>
          <w:tab w:val="clear" w:pos="720"/>
          <w:tab w:val="clear" w:pos="1247"/>
          <w:tab w:val="clear" w:pos="1814"/>
          <w:tab w:val="clear" w:pos="2381"/>
          <w:tab w:val="clear" w:pos="2948"/>
          <w:tab w:val="clear" w:pos="3515"/>
          <w:tab w:val="clear" w:pos="4082"/>
          <w:tab w:val="left" w:pos="624"/>
        </w:tabs>
        <w:spacing w:after="120"/>
        <w:ind w:left="1247" w:firstLine="0"/>
      </w:pPr>
      <w:r w:rsidRPr="001E55DD">
        <w:t>The Executive Director will consult with the Conference of the Parties on any matter with respect to the performance of the Executive Secretary. The Executive Director will invite the Conference of the Parties, through its President, to provide comments regarding the performance of the Executive Secretary prior to commencing that person’s performance appraisal.</w:t>
      </w:r>
    </w:p>
    <w:p w:rsidR="00003D24" w:rsidRPr="001E55DD" w:rsidRDefault="00003D24" w:rsidP="00003D24">
      <w:pPr>
        <w:pStyle w:val="Normal-pool"/>
        <w:numPr>
          <w:ilvl w:val="0"/>
          <w:numId w:val="1"/>
        </w:numPr>
        <w:tabs>
          <w:tab w:val="clear" w:pos="720"/>
          <w:tab w:val="clear" w:pos="1247"/>
          <w:tab w:val="clear" w:pos="1814"/>
          <w:tab w:val="clear" w:pos="2381"/>
          <w:tab w:val="clear" w:pos="2948"/>
          <w:tab w:val="clear" w:pos="3515"/>
          <w:tab w:val="clear" w:pos="4082"/>
          <w:tab w:val="left" w:pos="624"/>
        </w:tabs>
        <w:spacing w:after="120"/>
        <w:ind w:left="1247" w:firstLine="0"/>
      </w:pPr>
      <w:r w:rsidRPr="001E55DD">
        <w:t xml:space="preserve">At the request of the Executive Director or by his/her own initiative, the Executive Secretary may, in consultation with the Conference of the Parties or at its request, commission an independent management review of the Secretariat and its functions, with a view to promoting cost efficiency, transparency and furthering the goals and implementation of the Convention. Such reviews are not </w:t>
      </w:r>
      <w:proofErr w:type="gramStart"/>
      <w:r w:rsidRPr="001E55DD">
        <w:t>audits</w:t>
      </w:r>
      <w:proofErr w:type="gramEnd"/>
      <w:r w:rsidRPr="001E55DD">
        <w:t xml:space="preserve"> or investigations and will not therefore impinge upon the prerogatives of the Board of Auditors, OIOS and the UN’s information disclosure policies. The Executive Secretary will keep the Conference of the Parties and the Executive Director fully informed of any such reviews that are undertaken.</w:t>
      </w:r>
    </w:p>
    <w:p w:rsidR="00003D24" w:rsidRPr="001E55DD" w:rsidRDefault="00003D24" w:rsidP="00003D24">
      <w:pPr>
        <w:pStyle w:val="CH1"/>
        <w:rPr>
          <w:lang w:eastAsia="ja-JP"/>
        </w:rPr>
      </w:pPr>
      <w:r w:rsidRPr="001E55DD">
        <w:rPr>
          <w:lang w:eastAsia="ja-JP"/>
        </w:rPr>
        <w:tab/>
        <w:t>II.</w:t>
      </w:r>
      <w:r w:rsidRPr="001E55DD">
        <w:rPr>
          <w:lang w:eastAsia="ja-JP"/>
        </w:rPr>
        <w:tab/>
        <w:t>Report</w:t>
      </w:r>
    </w:p>
    <w:p w:rsidR="00003D24" w:rsidRPr="001E55DD" w:rsidRDefault="00003D24" w:rsidP="00003D24">
      <w:pPr>
        <w:pStyle w:val="Normal-pool"/>
        <w:numPr>
          <w:ilvl w:val="0"/>
          <w:numId w:val="1"/>
        </w:numPr>
        <w:tabs>
          <w:tab w:val="clear" w:pos="720"/>
          <w:tab w:val="clear" w:pos="1247"/>
          <w:tab w:val="clear" w:pos="1814"/>
          <w:tab w:val="clear" w:pos="2381"/>
          <w:tab w:val="clear" w:pos="2948"/>
          <w:tab w:val="clear" w:pos="3515"/>
          <w:tab w:val="clear" w:pos="4082"/>
          <w:tab w:val="left" w:pos="624"/>
        </w:tabs>
        <w:spacing w:after="120"/>
        <w:ind w:left="1247" w:firstLine="0"/>
      </w:pPr>
      <w:bookmarkStart w:id="9" w:name="_Hlk532998488"/>
      <w:r w:rsidRPr="001E55DD">
        <w:t xml:space="preserve">The Executive Director will submit, 90 (ninety) days in advance of each ordinary meeting of the Conference of the Parties, a report on the implementation of this Memorandum of Understanding. </w:t>
      </w:r>
    </w:p>
    <w:p w:rsidR="00003D24" w:rsidRPr="001E55DD" w:rsidRDefault="00003D24" w:rsidP="00003D24">
      <w:pPr>
        <w:pStyle w:val="Normal-pool"/>
        <w:numPr>
          <w:ilvl w:val="0"/>
          <w:numId w:val="1"/>
        </w:numPr>
        <w:tabs>
          <w:tab w:val="clear" w:pos="720"/>
          <w:tab w:val="clear" w:pos="1247"/>
          <w:tab w:val="clear" w:pos="1814"/>
          <w:tab w:val="clear" w:pos="2381"/>
          <w:tab w:val="clear" w:pos="2948"/>
          <w:tab w:val="clear" w:pos="3515"/>
          <w:tab w:val="clear" w:pos="4082"/>
          <w:tab w:val="left" w:pos="624"/>
        </w:tabs>
        <w:spacing w:after="120"/>
        <w:ind w:left="1247" w:firstLine="0"/>
        <w:rPr>
          <w:rFonts w:asciiTheme="majorBidi" w:hAnsiTheme="majorBidi" w:cstheme="majorBidi"/>
        </w:rPr>
      </w:pPr>
      <w:r w:rsidRPr="001E55DD">
        <w:t>The report will provide the Parties to the Convention with detailed information on administration services provided</w:t>
      </w:r>
      <w:r w:rsidRPr="001E55DD">
        <w:rPr>
          <w:rFonts w:asciiTheme="majorBidi" w:hAnsiTheme="majorBidi" w:cstheme="majorBidi"/>
        </w:rPr>
        <w:t xml:space="preserve"> to the Convention by UNEP and include a financial statement on the allocation of PSC between the Secretariat and central administrative services with the understanding that the level of details will be consistent with the needs of the Parties to the Convention and within the procedures applicable to UNEP.</w:t>
      </w:r>
    </w:p>
    <w:bookmarkEnd w:id="9"/>
    <w:p w:rsidR="00003D24" w:rsidRPr="001E55DD" w:rsidRDefault="00003D24" w:rsidP="00003D24">
      <w:pPr>
        <w:pStyle w:val="CH1"/>
        <w:rPr>
          <w:lang w:eastAsia="ja-JP"/>
        </w:rPr>
      </w:pPr>
      <w:r w:rsidRPr="001E55DD">
        <w:tab/>
      </w:r>
      <w:r w:rsidRPr="001E55DD">
        <w:rPr>
          <w:lang w:eastAsia="ja-JP"/>
        </w:rPr>
        <w:t>III.</w:t>
      </w:r>
      <w:r w:rsidRPr="001E55DD">
        <w:rPr>
          <w:lang w:eastAsia="ja-JP"/>
        </w:rPr>
        <w:tab/>
        <w:t>Programmatic relationship</w:t>
      </w:r>
    </w:p>
    <w:p w:rsidR="00003D24" w:rsidRPr="001E55DD" w:rsidRDefault="00003D24" w:rsidP="00003D24">
      <w:pPr>
        <w:pStyle w:val="Normal-pool"/>
        <w:numPr>
          <w:ilvl w:val="0"/>
          <w:numId w:val="1"/>
        </w:numPr>
        <w:tabs>
          <w:tab w:val="clear" w:pos="720"/>
          <w:tab w:val="clear" w:pos="1247"/>
          <w:tab w:val="clear" w:pos="1814"/>
          <w:tab w:val="clear" w:pos="2381"/>
          <w:tab w:val="clear" w:pos="2948"/>
          <w:tab w:val="clear" w:pos="3515"/>
          <w:tab w:val="clear" w:pos="4082"/>
          <w:tab w:val="left" w:pos="624"/>
        </w:tabs>
        <w:spacing w:after="120"/>
        <w:ind w:left="1247" w:firstLine="0"/>
      </w:pPr>
      <w:bookmarkStart w:id="10" w:name="_Hlk532998542"/>
      <w:r w:rsidRPr="001E55DD">
        <w:t xml:space="preserve">The Conference of the Parties understands that the Convention may provide a context for implementation of certain aspects of the Medium-term Strategy and the programme of work of UNEP, through its Costed Programme of Work, Revised Strategic Framework, and vice versa, subject to the approval of the Conference of the Parties and to the extent consistent with the Convention. </w:t>
      </w:r>
    </w:p>
    <w:p w:rsidR="00003D24" w:rsidRPr="001E55DD" w:rsidRDefault="00003D24" w:rsidP="00003D24">
      <w:pPr>
        <w:pStyle w:val="Normal-pool"/>
        <w:numPr>
          <w:ilvl w:val="0"/>
          <w:numId w:val="1"/>
        </w:numPr>
        <w:tabs>
          <w:tab w:val="clear" w:pos="720"/>
          <w:tab w:val="clear" w:pos="1247"/>
          <w:tab w:val="clear" w:pos="1814"/>
          <w:tab w:val="clear" w:pos="2381"/>
          <w:tab w:val="clear" w:pos="2948"/>
          <w:tab w:val="clear" w:pos="3515"/>
          <w:tab w:val="clear" w:pos="4082"/>
          <w:tab w:val="left" w:pos="624"/>
        </w:tabs>
        <w:spacing w:after="120"/>
        <w:ind w:left="1247" w:firstLine="0"/>
      </w:pPr>
      <w:r w:rsidRPr="001E55DD">
        <w:t>The Executive Director will consult with the Executive Secretary on activities which UNEP might undertake in providing programmatic support to the Convention. The Executive Secretary will consult with the Executive Director on activities which might be undertaken within the framework and mandate of the Convention for implementation of certain aspects of the Medium-term Strategy and programme of work of UNEP.</w:t>
      </w:r>
    </w:p>
    <w:p w:rsidR="00003D24" w:rsidRPr="001E55DD" w:rsidRDefault="00003D24" w:rsidP="00003D24">
      <w:pPr>
        <w:pStyle w:val="Normal-pool"/>
        <w:numPr>
          <w:ilvl w:val="0"/>
          <w:numId w:val="1"/>
        </w:numPr>
        <w:tabs>
          <w:tab w:val="clear" w:pos="720"/>
          <w:tab w:val="clear" w:pos="1247"/>
          <w:tab w:val="clear" w:pos="1814"/>
          <w:tab w:val="clear" w:pos="2381"/>
          <w:tab w:val="clear" w:pos="2948"/>
          <w:tab w:val="clear" w:pos="3515"/>
          <w:tab w:val="clear" w:pos="4082"/>
          <w:tab w:val="left" w:pos="624"/>
        </w:tabs>
        <w:spacing w:after="120"/>
        <w:ind w:left="1247" w:firstLine="0"/>
      </w:pPr>
      <w:r w:rsidRPr="001E55DD">
        <w:t>The Executive Director and the Executive Secretary will consult with each other in the planning, development and implementation of any projects and programmes that relate to the provision of support for the implementation of the Convention and in any joint funding arrangements for implementing the Convention which are, or are proposed to be, arranged with donors.</w:t>
      </w:r>
    </w:p>
    <w:p w:rsidR="00003D24" w:rsidRPr="001E55DD" w:rsidRDefault="00003D24" w:rsidP="00003D24">
      <w:pPr>
        <w:pStyle w:val="Normal-pool"/>
        <w:numPr>
          <w:ilvl w:val="0"/>
          <w:numId w:val="1"/>
        </w:numPr>
        <w:tabs>
          <w:tab w:val="clear" w:pos="720"/>
          <w:tab w:val="clear" w:pos="1247"/>
          <w:tab w:val="clear" w:pos="1814"/>
          <w:tab w:val="clear" w:pos="2381"/>
          <w:tab w:val="clear" w:pos="2948"/>
          <w:tab w:val="clear" w:pos="3515"/>
          <w:tab w:val="clear" w:pos="4082"/>
          <w:tab w:val="left" w:pos="624"/>
        </w:tabs>
        <w:spacing w:after="120"/>
        <w:ind w:left="1247" w:firstLine="0"/>
      </w:pPr>
      <w:r w:rsidRPr="001E55DD">
        <w:t xml:space="preserve">The Executive Director may call meetings of secretariats of multilateral environmental agreements, as well as joint meetings of all senior staff employed through </w:t>
      </w:r>
      <w:proofErr w:type="gramStart"/>
      <w:r w:rsidRPr="001E55DD">
        <w:t>UNEP, and</w:t>
      </w:r>
      <w:proofErr w:type="gramEnd"/>
      <w:r w:rsidRPr="001E55DD">
        <w:t xml:space="preserve"> invite the Executive Secretary to participate in those meetings. The Executive Director may meet the costs of travel and other expenses related to the Executive Secretary’s participation in any such meetings. </w:t>
      </w:r>
    </w:p>
    <w:p w:rsidR="00003D24" w:rsidRPr="001E55DD" w:rsidRDefault="00003D24" w:rsidP="00003D24">
      <w:pPr>
        <w:pStyle w:val="Normal-pool"/>
        <w:numPr>
          <w:ilvl w:val="0"/>
          <w:numId w:val="1"/>
        </w:numPr>
        <w:tabs>
          <w:tab w:val="clear" w:pos="720"/>
          <w:tab w:val="clear" w:pos="1247"/>
          <w:tab w:val="clear" w:pos="1814"/>
          <w:tab w:val="clear" w:pos="2381"/>
          <w:tab w:val="clear" w:pos="2948"/>
          <w:tab w:val="clear" w:pos="3515"/>
          <w:tab w:val="clear" w:pos="4082"/>
          <w:tab w:val="left" w:pos="624"/>
        </w:tabs>
        <w:spacing w:after="120"/>
        <w:ind w:left="1247" w:firstLine="0"/>
      </w:pPr>
      <w:r w:rsidRPr="001E55DD">
        <w:t>The Conference of the Parties will be informed by the Executive Secretary regarding all proposals relating to programmatic support referred to in paragraph 37 and about the outcome of meetings referred to in paragraph 39</w:t>
      </w:r>
      <w:bookmarkEnd w:id="10"/>
      <w:r w:rsidRPr="001E55DD">
        <w:t>.</w:t>
      </w:r>
    </w:p>
    <w:p w:rsidR="00003D24" w:rsidRPr="001E55DD" w:rsidRDefault="00003D24" w:rsidP="00003D24">
      <w:pPr>
        <w:pStyle w:val="CH1"/>
        <w:rPr>
          <w:lang w:eastAsia="ja-JP"/>
        </w:rPr>
      </w:pPr>
      <w:r w:rsidRPr="001E55DD">
        <w:rPr>
          <w:lang w:eastAsia="ja-JP"/>
        </w:rPr>
        <w:lastRenderedPageBreak/>
        <w:tab/>
      </w:r>
      <w:bookmarkStart w:id="11" w:name="_Hlk532998662"/>
      <w:r w:rsidRPr="001E55DD">
        <w:rPr>
          <w:lang w:eastAsia="ja-JP"/>
        </w:rPr>
        <w:t>IV.</w:t>
      </w:r>
      <w:r w:rsidRPr="001E55DD">
        <w:rPr>
          <w:lang w:eastAsia="ja-JP"/>
        </w:rPr>
        <w:tab/>
      </w:r>
      <w:r w:rsidRPr="001E55DD">
        <w:rPr>
          <w:iCs/>
          <w:lang w:eastAsia="ja-JP"/>
        </w:rPr>
        <w:t>Implementation</w:t>
      </w:r>
      <w:r w:rsidRPr="001E55DD">
        <w:rPr>
          <w:lang w:eastAsia="ja-JP"/>
        </w:rPr>
        <w:t xml:space="preserve"> of the </w:t>
      </w:r>
      <w:r w:rsidRPr="001E55DD">
        <w:t>Agreement</w:t>
      </w:r>
      <w:r w:rsidRPr="001E55DD">
        <w:rPr>
          <w:lang w:eastAsia="ja-JP"/>
        </w:rPr>
        <w:t xml:space="preserve"> </w:t>
      </w:r>
    </w:p>
    <w:p w:rsidR="00003D24" w:rsidRPr="001E55DD" w:rsidRDefault="00003D24" w:rsidP="00003D24">
      <w:pPr>
        <w:pStyle w:val="Normal-pool"/>
        <w:numPr>
          <w:ilvl w:val="0"/>
          <w:numId w:val="1"/>
        </w:numPr>
        <w:tabs>
          <w:tab w:val="clear" w:pos="720"/>
          <w:tab w:val="clear" w:pos="1247"/>
          <w:tab w:val="clear" w:pos="1814"/>
          <w:tab w:val="clear" w:pos="2381"/>
          <w:tab w:val="clear" w:pos="2948"/>
          <w:tab w:val="clear" w:pos="3515"/>
          <w:tab w:val="clear" w:pos="4082"/>
          <w:tab w:val="left" w:pos="624"/>
        </w:tabs>
        <w:spacing w:after="120"/>
        <w:ind w:left="1247" w:firstLine="0"/>
      </w:pPr>
      <w:r w:rsidRPr="001E55DD">
        <w:t xml:space="preserve">The Conference of the Parties and the Executive Director, keeping the Executive Secretary informed, will hold consultations on a regular basis, and as needed, on all issues related to the implementation of the present Memorandum of Understanding. These consultations will be conducted through the President of the Conference of the Parties, who will seek the views of the Parties to the Convention and reflect these during the </w:t>
      </w:r>
      <w:proofErr w:type="gramStart"/>
      <w:r w:rsidRPr="001E55DD">
        <w:t>consultations, or</w:t>
      </w:r>
      <w:proofErr w:type="gramEnd"/>
      <w:r w:rsidRPr="001E55DD">
        <w:t xml:space="preserve"> may be conducted as otherwise mutually determined by the Conference of the Parties and the Executive Director. </w:t>
      </w:r>
    </w:p>
    <w:p w:rsidR="00003D24" w:rsidRPr="001E55DD" w:rsidRDefault="00003D24" w:rsidP="00003D24">
      <w:pPr>
        <w:pStyle w:val="Normal-pool"/>
        <w:numPr>
          <w:ilvl w:val="0"/>
          <w:numId w:val="1"/>
        </w:numPr>
        <w:tabs>
          <w:tab w:val="clear" w:pos="720"/>
          <w:tab w:val="clear" w:pos="1247"/>
          <w:tab w:val="clear" w:pos="1814"/>
          <w:tab w:val="clear" w:pos="2381"/>
          <w:tab w:val="clear" w:pos="2948"/>
          <w:tab w:val="clear" w:pos="3515"/>
          <w:tab w:val="clear" w:pos="4082"/>
          <w:tab w:val="left" w:pos="624"/>
        </w:tabs>
        <w:spacing w:after="120"/>
        <w:ind w:left="1247" w:firstLine="0"/>
      </w:pPr>
      <w:r w:rsidRPr="001E55DD">
        <w:t>On specific issues, the President may designate the Vice-Presidents of the Conference of the Parties to conduct such consultations. The Executive Director, in his/her absence, may be represented by designated senior representatives, or consultations may take place as otherwise mutually determined by the Conference of the Parties and the Executive Director.</w:t>
      </w:r>
    </w:p>
    <w:p w:rsidR="00003D24" w:rsidRPr="001E55DD" w:rsidRDefault="00003D24" w:rsidP="00003D24">
      <w:pPr>
        <w:pStyle w:val="Normal-pool"/>
        <w:numPr>
          <w:ilvl w:val="0"/>
          <w:numId w:val="1"/>
        </w:numPr>
        <w:tabs>
          <w:tab w:val="clear" w:pos="720"/>
          <w:tab w:val="clear" w:pos="1247"/>
          <w:tab w:val="clear" w:pos="1814"/>
          <w:tab w:val="clear" w:pos="2381"/>
          <w:tab w:val="clear" w:pos="2948"/>
          <w:tab w:val="clear" w:pos="3515"/>
          <w:tab w:val="clear" w:pos="4082"/>
          <w:tab w:val="left" w:pos="624"/>
        </w:tabs>
        <w:spacing w:after="120"/>
        <w:ind w:left="1247" w:firstLine="0"/>
      </w:pPr>
      <w:r w:rsidRPr="001E55DD">
        <w:t>In case of any difference of opinion regarding the implementation or interpretation of the present Memorandum of Understanding, the Executive Director and the Conference of the Parties through its President will hold consultations and make every effort to reach a mutually acceptable outcome.</w:t>
      </w:r>
      <w:r w:rsidRPr="001E55DD">
        <w:rPr>
          <w:u w:val="single"/>
        </w:rPr>
        <w:t xml:space="preserve"> </w:t>
      </w:r>
    </w:p>
    <w:p w:rsidR="00003D24" w:rsidRPr="001E55DD" w:rsidRDefault="00003D24" w:rsidP="00003D24">
      <w:pPr>
        <w:pStyle w:val="CH1"/>
        <w:rPr>
          <w:lang w:eastAsia="ja-JP"/>
        </w:rPr>
      </w:pPr>
      <w:r w:rsidRPr="001E55DD">
        <w:rPr>
          <w:lang w:eastAsia="ja-JP"/>
        </w:rPr>
        <w:tab/>
        <w:t>V.</w:t>
      </w:r>
      <w:r w:rsidRPr="001E55DD">
        <w:rPr>
          <w:lang w:eastAsia="ja-JP"/>
        </w:rPr>
        <w:tab/>
        <w:t>Final provisions</w:t>
      </w:r>
    </w:p>
    <w:p w:rsidR="00003D24" w:rsidRPr="001E55DD" w:rsidRDefault="00003D24" w:rsidP="00003D24">
      <w:pPr>
        <w:pStyle w:val="Normal-pool"/>
        <w:numPr>
          <w:ilvl w:val="0"/>
          <w:numId w:val="1"/>
        </w:numPr>
        <w:tabs>
          <w:tab w:val="clear" w:pos="720"/>
          <w:tab w:val="clear" w:pos="1247"/>
          <w:tab w:val="clear" w:pos="1814"/>
          <w:tab w:val="clear" w:pos="2381"/>
          <w:tab w:val="clear" w:pos="2948"/>
          <w:tab w:val="clear" w:pos="3515"/>
          <w:tab w:val="clear" w:pos="4082"/>
          <w:tab w:val="left" w:pos="624"/>
        </w:tabs>
        <w:spacing w:after="120"/>
        <w:ind w:left="1247" w:firstLine="0"/>
      </w:pPr>
      <w:r w:rsidRPr="001E55DD">
        <w:t>The present Memorandum of Understanding does not impose, nor is it intended to impose, any legally binding commitments.</w:t>
      </w:r>
    </w:p>
    <w:p w:rsidR="00003D24" w:rsidRPr="001E55DD" w:rsidRDefault="00003D24" w:rsidP="00003D24">
      <w:pPr>
        <w:pStyle w:val="Normal-pool"/>
        <w:numPr>
          <w:ilvl w:val="0"/>
          <w:numId w:val="1"/>
        </w:numPr>
        <w:tabs>
          <w:tab w:val="clear" w:pos="720"/>
          <w:tab w:val="clear" w:pos="1247"/>
          <w:tab w:val="clear" w:pos="1814"/>
          <w:tab w:val="clear" w:pos="2381"/>
          <w:tab w:val="clear" w:pos="2948"/>
          <w:tab w:val="clear" w:pos="3515"/>
          <w:tab w:val="clear" w:pos="4082"/>
          <w:tab w:val="left" w:pos="624"/>
        </w:tabs>
        <w:spacing w:after="120"/>
        <w:ind w:left="1247" w:firstLine="0"/>
      </w:pPr>
      <w:r w:rsidRPr="001E55DD">
        <w:t xml:space="preserve">The present Memorandum of Understanding is entered into without prejudice to any administrative arrangements which might be agreed upon between UNEP and the Stockholm Convention or any other relevant multilateral environmental agreements in the future. </w:t>
      </w:r>
    </w:p>
    <w:p w:rsidR="00003D24" w:rsidRPr="001E55DD" w:rsidRDefault="00003D24" w:rsidP="00003D24">
      <w:pPr>
        <w:pStyle w:val="Normal-pool"/>
        <w:numPr>
          <w:ilvl w:val="0"/>
          <w:numId w:val="1"/>
        </w:numPr>
        <w:tabs>
          <w:tab w:val="clear" w:pos="720"/>
          <w:tab w:val="clear" w:pos="1247"/>
          <w:tab w:val="clear" w:pos="1814"/>
          <w:tab w:val="clear" w:pos="2381"/>
          <w:tab w:val="clear" w:pos="2948"/>
          <w:tab w:val="clear" w:pos="3515"/>
          <w:tab w:val="clear" w:pos="4082"/>
          <w:tab w:val="left" w:pos="624"/>
        </w:tabs>
        <w:spacing w:after="120"/>
        <w:ind w:left="1247" w:firstLine="0"/>
      </w:pPr>
      <w:r w:rsidRPr="001E55DD">
        <w:t>This Memorandum of Understanding becomes operative on the date on which both the Conference of the Parties, represented by its President, and the Executive Director have signed.</w:t>
      </w:r>
    </w:p>
    <w:p w:rsidR="00003D24" w:rsidRPr="001E55DD" w:rsidRDefault="00003D24" w:rsidP="00003D24">
      <w:pPr>
        <w:pStyle w:val="Normal-pool"/>
        <w:numPr>
          <w:ilvl w:val="0"/>
          <w:numId w:val="1"/>
        </w:numPr>
        <w:tabs>
          <w:tab w:val="clear" w:pos="720"/>
          <w:tab w:val="clear" w:pos="1247"/>
          <w:tab w:val="clear" w:pos="1814"/>
          <w:tab w:val="clear" w:pos="2381"/>
          <w:tab w:val="clear" w:pos="2948"/>
          <w:tab w:val="clear" w:pos="3515"/>
          <w:tab w:val="clear" w:pos="4082"/>
          <w:tab w:val="left" w:pos="624"/>
        </w:tabs>
        <w:spacing w:after="120"/>
        <w:ind w:left="1247" w:firstLine="0"/>
      </w:pPr>
      <w:r w:rsidRPr="001E55DD">
        <w:t>Upon signature by both Parties, this Memorandum of Understanding will supersede any previous agreements between the Parties to it.</w:t>
      </w:r>
    </w:p>
    <w:p w:rsidR="00003D24" w:rsidRPr="001E55DD" w:rsidRDefault="00003D24" w:rsidP="00003D24">
      <w:pPr>
        <w:pStyle w:val="Normal-pool"/>
        <w:numPr>
          <w:ilvl w:val="0"/>
          <w:numId w:val="1"/>
        </w:numPr>
        <w:tabs>
          <w:tab w:val="clear" w:pos="720"/>
          <w:tab w:val="clear" w:pos="1247"/>
          <w:tab w:val="clear" w:pos="1814"/>
          <w:tab w:val="clear" w:pos="2381"/>
          <w:tab w:val="clear" w:pos="2948"/>
          <w:tab w:val="clear" w:pos="3515"/>
          <w:tab w:val="clear" w:pos="4082"/>
          <w:tab w:val="left" w:pos="624"/>
        </w:tabs>
        <w:spacing w:after="120"/>
        <w:ind w:left="1247" w:firstLine="0"/>
      </w:pPr>
      <w:r w:rsidRPr="001E55DD">
        <w:t>The present Memorandum of Understanding may, at the request of the Parties to it, be reviewed at any time, including with a view to amending or terminating it. Without prejudice to the rules of procedure for meetings of the Conference of the Parties, such a request, to be made by the Bureau on behalf of the Conference of the Parties or by the Executive Director will be made at least 4</w:t>
      </w:r>
      <w:r>
        <w:t> </w:t>
      </w:r>
      <w:r w:rsidRPr="001E55DD">
        <w:t>(four) months in advance and will then be addressed at the next meeting of the Conference of the Parties. Any modifications to, including termination of, the present Memorandum of Understanding will be mutually agreed in writing between the Parties to it.</w:t>
      </w:r>
    </w:p>
    <w:bookmarkEnd w:id="11"/>
    <w:p w:rsidR="00003D24" w:rsidRPr="001E55DD" w:rsidRDefault="00003D24" w:rsidP="00003D24">
      <w:pPr>
        <w:pStyle w:val="Normal-pool"/>
        <w:tabs>
          <w:tab w:val="clear" w:pos="1247"/>
          <w:tab w:val="clear" w:pos="1814"/>
          <w:tab w:val="clear" w:pos="2381"/>
          <w:tab w:val="clear" w:pos="2948"/>
          <w:tab w:val="clear" w:pos="3515"/>
        </w:tabs>
        <w:spacing w:before="360"/>
        <w:ind w:left="1134"/>
        <w:rPr>
          <w:rFonts w:cs="Arial"/>
        </w:rPr>
      </w:pPr>
      <w:r w:rsidRPr="001E55DD">
        <w:rPr>
          <w:rFonts w:cs="Arial"/>
        </w:rPr>
        <w:t>IN WITNESS WHEREOF, the duly authorized representatives of the Parties to the present Memorandum of Understanding affix their signatures below.</w:t>
      </w:r>
    </w:p>
    <w:p w:rsidR="00003D24" w:rsidRPr="001E55DD" w:rsidRDefault="00003D24" w:rsidP="00003D24">
      <w:pPr>
        <w:pStyle w:val="Normal-pool"/>
        <w:tabs>
          <w:tab w:val="clear" w:pos="1247"/>
          <w:tab w:val="clear" w:pos="1814"/>
          <w:tab w:val="clear" w:pos="2381"/>
          <w:tab w:val="clear" w:pos="2948"/>
          <w:tab w:val="clear" w:pos="3515"/>
        </w:tabs>
        <w:ind w:left="1134"/>
        <w:rPr>
          <w:rFonts w:cs="Arial"/>
        </w:rPr>
      </w:pPr>
    </w:p>
    <w:p w:rsidR="00003D24" w:rsidRPr="001E55DD" w:rsidRDefault="00003D24" w:rsidP="00003D24">
      <w:pPr>
        <w:tabs>
          <w:tab w:val="left" w:pos="0"/>
        </w:tabs>
      </w:pPr>
    </w:p>
    <w:p w:rsidR="00003D24" w:rsidRPr="001E55DD" w:rsidRDefault="00003D24" w:rsidP="00003D24">
      <w:pPr>
        <w:ind w:left="1134"/>
        <w:rPr>
          <w:b/>
        </w:rPr>
      </w:pPr>
      <w:r w:rsidRPr="001E55DD">
        <w:rPr>
          <w:b/>
        </w:rPr>
        <w:t>For the United Nations</w:t>
      </w:r>
      <w:r w:rsidRPr="001E55DD">
        <w:rPr>
          <w:b/>
        </w:rPr>
        <w:tab/>
      </w:r>
      <w:r w:rsidRPr="001E55DD">
        <w:rPr>
          <w:b/>
        </w:rPr>
        <w:tab/>
      </w:r>
      <w:r w:rsidRPr="001E55DD">
        <w:tab/>
      </w:r>
      <w:r w:rsidRPr="001E55DD">
        <w:tab/>
      </w:r>
      <w:r w:rsidRPr="001E55DD">
        <w:tab/>
      </w:r>
      <w:proofErr w:type="gramStart"/>
      <w:r w:rsidRPr="001E55DD">
        <w:rPr>
          <w:b/>
        </w:rPr>
        <w:t>For</w:t>
      </w:r>
      <w:proofErr w:type="gramEnd"/>
      <w:r w:rsidRPr="001E55DD">
        <w:rPr>
          <w:b/>
        </w:rPr>
        <w:t xml:space="preserve"> the Conference of the Parties Environment</w:t>
      </w:r>
      <w:r w:rsidRPr="001E55DD">
        <w:t xml:space="preserve"> </w:t>
      </w:r>
      <w:r w:rsidRPr="001E55DD">
        <w:rPr>
          <w:b/>
        </w:rPr>
        <w:t xml:space="preserve">Programme: </w:t>
      </w:r>
      <w:r w:rsidRPr="001E55DD">
        <w:rPr>
          <w:b/>
        </w:rPr>
        <w:tab/>
      </w:r>
      <w:r w:rsidRPr="001E55DD">
        <w:rPr>
          <w:b/>
        </w:rPr>
        <w:tab/>
      </w:r>
      <w:r w:rsidRPr="001E55DD">
        <w:rPr>
          <w:b/>
        </w:rPr>
        <w:tab/>
      </w:r>
      <w:r w:rsidRPr="001E55DD">
        <w:rPr>
          <w:b/>
        </w:rPr>
        <w:tab/>
      </w:r>
      <w:r w:rsidRPr="001E55DD">
        <w:rPr>
          <w:b/>
        </w:rPr>
        <w:tab/>
        <w:t xml:space="preserve">to the Stockholm Convention on </w:t>
      </w:r>
    </w:p>
    <w:p w:rsidR="00003D24" w:rsidRPr="001E55DD" w:rsidRDefault="00003D24" w:rsidP="00003D24">
      <w:pPr>
        <w:tabs>
          <w:tab w:val="left" w:pos="0"/>
        </w:tabs>
      </w:pPr>
      <w:r w:rsidRPr="001E55DD">
        <w:rPr>
          <w:b/>
        </w:rPr>
        <w:tab/>
      </w:r>
      <w:r w:rsidRPr="001E55DD">
        <w:rPr>
          <w:b/>
        </w:rPr>
        <w:tab/>
      </w:r>
      <w:r w:rsidRPr="001E55DD">
        <w:rPr>
          <w:b/>
        </w:rPr>
        <w:tab/>
      </w:r>
      <w:r w:rsidRPr="001E55DD">
        <w:rPr>
          <w:b/>
        </w:rPr>
        <w:tab/>
      </w:r>
      <w:r w:rsidRPr="001E55DD">
        <w:rPr>
          <w:b/>
        </w:rPr>
        <w:tab/>
      </w:r>
      <w:r w:rsidRPr="001E55DD">
        <w:rPr>
          <w:b/>
        </w:rPr>
        <w:tab/>
      </w:r>
      <w:r w:rsidRPr="001E55DD">
        <w:rPr>
          <w:b/>
        </w:rPr>
        <w:tab/>
      </w:r>
      <w:r w:rsidRPr="001E55DD">
        <w:rPr>
          <w:b/>
        </w:rPr>
        <w:tab/>
      </w:r>
      <w:r w:rsidRPr="001E55DD">
        <w:rPr>
          <w:b/>
        </w:rPr>
        <w:tab/>
        <w:t>Persistent Organic Pollutants:</w:t>
      </w:r>
    </w:p>
    <w:p w:rsidR="00003D24" w:rsidRPr="001E55DD" w:rsidRDefault="00003D24" w:rsidP="00003D24">
      <w:pPr>
        <w:tabs>
          <w:tab w:val="left" w:pos="4962"/>
        </w:tabs>
        <w:ind w:left="5145" w:hanging="5145"/>
      </w:pPr>
    </w:p>
    <w:p w:rsidR="00003D24" w:rsidRPr="001E55DD" w:rsidRDefault="00003D24" w:rsidP="00003D24">
      <w:pPr>
        <w:tabs>
          <w:tab w:val="left" w:pos="4962"/>
        </w:tabs>
        <w:ind w:left="5145" w:hanging="5145"/>
      </w:pPr>
    </w:p>
    <w:p w:rsidR="00003D24" w:rsidRPr="001E55DD" w:rsidRDefault="00003D24" w:rsidP="00003D24">
      <w:pPr>
        <w:tabs>
          <w:tab w:val="left" w:pos="4962"/>
        </w:tabs>
        <w:ind w:left="5145" w:hanging="5145"/>
      </w:pPr>
    </w:p>
    <w:p w:rsidR="00003D24" w:rsidRPr="001E55DD" w:rsidRDefault="00003D24" w:rsidP="00003D24">
      <w:pPr>
        <w:ind w:left="1134"/>
      </w:pPr>
      <w:r w:rsidRPr="001E55DD">
        <w:t>______________________________</w:t>
      </w:r>
      <w:r w:rsidRPr="001E55DD">
        <w:tab/>
      </w:r>
      <w:r w:rsidRPr="001E55DD">
        <w:tab/>
      </w:r>
      <w:r w:rsidRPr="001E55DD">
        <w:tab/>
        <w:t>_____________________________</w:t>
      </w:r>
    </w:p>
    <w:p w:rsidR="00003D24" w:rsidRPr="001E55DD" w:rsidRDefault="00003D24" w:rsidP="00003D24">
      <w:pPr>
        <w:keepNext/>
        <w:tabs>
          <w:tab w:val="left" w:pos="4962"/>
        </w:tabs>
        <w:spacing w:before="120"/>
        <w:ind w:left="1134"/>
        <w:rPr>
          <w:b/>
        </w:rPr>
      </w:pPr>
      <w:r w:rsidRPr="001E55DD">
        <w:t xml:space="preserve">Ms. Joyce </w:t>
      </w:r>
      <w:proofErr w:type="spellStart"/>
      <w:r w:rsidRPr="001E55DD">
        <w:t>Msuya</w:t>
      </w:r>
      <w:proofErr w:type="spellEnd"/>
      <w:r w:rsidRPr="001E55DD">
        <w:tab/>
      </w:r>
      <w:r w:rsidRPr="001E55DD">
        <w:tab/>
      </w:r>
      <w:r w:rsidRPr="001E55DD">
        <w:rPr>
          <w:b/>
        </w:rPr>
        <w:tab/>
      </w:r>
      <w:r w:rsidRPr="001E55DD">
        <w:rPr>
          <w:b/>
        </w:rPr>
        <w:tab/>
      </w:r>
      <w:r w:rsidRPr="001E55DD">
        <w:rPr>
          <w:b/>
        </w:rPr>
        <w:tab/>
      </w:r>
      <w:r w:rsidRPr="001E55DD">
        <w:t xml:space="preserve">Mr. Mohammed </w:t>
      </w:r>
      <w:proofErr w:type="spellStart"/>
      <w:r w:rsidRPr="001E55DD">
        <w:t>Khashashneh</w:t>
      </w:r>
      <w:proofErr w:type="spellEnd"/>
    </w:p>
    <w:p w:rsidR="00003D24" w:rsidRPr="001E55DD" w:rsidRDefault="00003D24" w:rsidP="00003D24">
      <w:pPr>
        <w:tabs>
          <w:tab w:val="left" w:pos="4962"/>
        </w:tabs>
        <w:ind w:left="1134"/>
      </w:pPr>
      <w:r w:rsidRPr="001E55DD">
        <w:t>Acting Executive Director</w:t>
      </w:r>
      <w:r w:rsidRPr="001E55DD">
        <w:tab/>
      </w:r>
      <w:r w:rsidRPr="001E55DD">
        <w:tab/>
      </w:r>
      <w:r w:rsidRPr="001E55DD">
        <w:tab/>
      </w:r>
      <w:r w:rsidRPr="001E55DD">
        <w:tab/>
        <w:t>President</w:t>
      </w:r>
    </w:p>
    <w:p w:rsidR="00003D24" w:rsidRPr="001E55DD" w:rsidRDefault="00003D24" w:rsidP="00003D24"/>
    <w:p w:rsidR="00003D24" w:rsidRPr="001E55DD" w:rsidRDefault="00003D24" w:rsidP="00003D24"/>
    <w:p w:rsidR="00003D24" w:rsidRPr="001E55DD" w:rsidRDefault="00003D24" w:rsidP="00003D24"/>
    <w:p w:rsidR="00003D24" w:rsidRPr="001E55DD" w:rsidRDefault="00003D24" w:rsidP="00003D24">
      <w:pPr>
        <w:ind w:left="1134"/>
      </w:pPr>
      <w:r w:rsidRPr="001E55DD">
        <w:t>Date: _________________________</w:t>
      </w:r>
      <w:r w:rsidRPr="001E55DD">
        <w:tab/>
      </w:r>
      <w:r w:rsidRPr="001E55DD">
        <w:tab/>
      </w:r>
      <w:r w:rsidRPr="001E55DD">
        <w:tab/>
        <w:t>Date: ________________________</w:t>
      </w:r>
    </w:p>
    <w:p w:rsidR="00003D24" w:rsidRPr="001E55DD" w:rsidRDefault="00003D24" w:rsidP="00003D24"/>
    <w:p w:rsidR="00003D24" w:rsidRPr="001E55DD" w:rsidRDefault="00003D24" w:rsidP="00003D24">
      <w:pPr>
        <w:rPr>
          <w:b/>
          <w:bCs/>
          <w:szCs w:val="24"/>
        </w:rPr>
        <w:sectPr w:rsidR="00003D24" w:rsidRPr="001E55DD" w:rsidSect="00003D24">
          <w:footnotePr>
            <w:numRestart w:val="eachSect"/>
          </w:footnotePr>
          <w:pgSz w:w="11907" w:h="16840" w:code="9"/>
          <w:pgMar w:top="907" w:right="992" w:bottom="1418" w:left="1418" w:header="539" w:footer="975" w:gutter="0"/>
          <w:cols w:space="539"/>
          <w:docGrid w:linePitch="360"/>
        </w:sectPr>
      </w:pPr>
    </w:p>
    <w:p w:rsidR="00003D24" w:rsidRPr="001E55DD" w:rsidRDefault="00003D24" w:rsidP="00003D24">
      <w:pPr>
        <w:pStyle w:val="ZZAnxheader"/>
      </w:pPr>
      <w:r w:rsidRPr="001E55DD">
        <w:lastRenderedPageBreak/>
        <w:t>Annex to the Memorandum of Understanding</w:t>
      </w:r>
    </w:p>
    <w:p w:rsidR="00003D24" w:rsidRPr="001E55DD" w:rsidRDefault="00003D24" w:rsidP="00003D24">
      <w:pPr>
        <w:pStyle w:val="Normal-pool"/>
        <w:spacing w:before="120"/>
        <w:jc w:val="right"/>
      </w:pPr>
      <w:r w:rsidRPr="001E55DD">
        <w:t xml:space="preserve">[English only] </w:t>
      </w:r>
    </w:p>
    <w:p w:rsidR="00003D24" w:rsidRPr="001E55DD" w:rsidRDefault="00003D24" w:rsidP="00003D24">
      <w:pPr>
        <w:pStyle w:val="ZZAnxtitle"/>
      </w:pPr>
      <w:r w:rsidRPr="001E55DD">
        <w:t>UNEP’s core services in support of the Basel, Rotterdam and Stockholm conventions</w:t>
      </w:r>
    </w:p>
    <w:p w:rsidR="00003D24" w:rsidRPr="001E55DD" w:rsidRDefault="00003D24" w:rsidP="00003D24">
      <w:pPr>
        <w:pStyle w:val="Normal-pool"/>
        <w:tabs>
          <w:tab w:val="left" w:pos="180"/>
        </w:tabs>
        <w:spacing w:after="120"/>
        <w:ind w:left="1247"/>
        <w:rPr>
          <w:rFonts w:asciiTheme="majorBidi" w:hAnsiTheme="majorBidi" w:cstheme="majorBidi"/>
        </w:rPr>
      </w:pPr>
      <w:r w:rsidRPr="001E55DD">
        <w:rPr>
          <w:rFonts w:asciiTheme="majorBidi" w:hAnsiTheme="majorBidi" w:cstheme="majorBidi"/>
        </w:rPr>
        <w:t>The table below provides the list of core administrative and support services provided by United</w:t>
      </w:r>
      <w:r>
        <w:rPr>
          <w:rFonts w:asciiTheme="majorBidi" w:hAnsiTheme="majorBidi" w:cstheme="majorBidi"/>
        </w:rPr>
        <w:t> </w:t>
      </w:r>
      <w:r w:rsidRPr="001E55DD">
        <w:rPr>
          <w:rFonts w:asciiTheme="majorBidi" w:hAnsiTheme="majorBidi" w:cstheme="majorBidi"/>
        </w:rPr>
        <w:t xml:space="preserve">Nations Environment Programme (UNEP) in support of the Basel, Rotterdam and Stockholm (BRS) conventions. Core administrative and support services are those services provided by UNEP against the 33% share of the programme support costs income attributable to </w:t>
      </w:r>
      <w:proofErr w:type="gramStart"/>
      <w:r w:rsidRPr="001E55DD">
        <w:rPr>
          <w:rFonts w:asciiTheme="majorBidi" w:hAnsiTheme="majorBidi" w:cstheme="majorBidi"/>
        </w:rPr>
        <w:t>all of</w:t>
      </w:r>
      <w:proofErr w:type="gramEnd"/>
      <w:r w:rsidRPr="001E55DD">
        <w:rPr>
          <w:rFonts w:asciiTheme="majorBidi" w:hAnsiTheme="majorBidi" w:cstheme="majorBidi"/>
        </w:rPr>
        <w:t xml:space="preserve"> the trust funds of the BRS conventions. The list of core services is not exhaustive and may include additional core services, as mutually agreed from time to time between UNEP and the Secretariat of the BRS conventions. The table below is without prejudice to the delegation of authority from the Executive Director of UNEP to the Executive Secretary of the BRS conventions.</w:t>
      </w:r>
    </w:p>
    <w:tbl>
      <w:tblPr>
        <w:tblW w:w="5000" w:type="pct"/>
        <w:tblInd w:w="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36"/>
        <w:gridCol w:w="6314"/>
      </w:tblGrid>
      <w:tr w:rsidR="00003D24" w:rsidRPr="001E55DD" w:rsidTr="00610002">
        <w:trPr>
          <w:trHeight w:val="426"/>
          <w:tblHeader/>
        </w:trPr>
        <w:tc>
          <w:tcPr>
            <w:tcW w:w="3085" w:type="dxa"/>
            <w:shd w:val="clear" w:color="auto" w:fill="BFBFBF" w:themeFill="background1" w:themeFillShade="BF"/>
          </w:tcPr>
          <w:p w:rsidR="00003D24" w:rsidRPr="001E55DD" w:rsidRDefault="00003D24" w:rsidP="00610002">
            <w:pPr>
              <w:pStyle w:val="TableParagraph"/>
              <w:keepNext/>
              <w:keepLines/>
              <w:spacing w:before="40" w:after="40"/>
              <w:ind w:left="103"/>
              <w:rPr>
                <w:rFonts w:ascii="Times New Roman" w:hAnsi="Times New Roman" w:cs="Times New Roman"/>
                <w:b/>
                <w:sz w:val="18"/>
                <w:szCs w:val="18"/>
                <w:lang w:val="en-GB"/>
              </w:rPr>
            </w:pPr>
            <w:r w:rsidRPr="001E55DD">
              <w:rPr>
                <w:rFonts w:ascii="Times New Roman" w:hAnsi="Times New Roman" w:cs="Times New Roman"/>
                <w:b/>
                <w:sz w:val="18"/>
                <w:szCs w:val="18"/>
                <w:lang w:val="en-GB"/>
              </w:rPr>
              <w:t>Service Category</w:t>
            </w:r>
          </w:p>
        </w:tc>
        <w:tc>
          <w:tcPr>
            <w:tcW w:w="6415" w:type="dxa"/>
            <w:shd w:val="clear" w:color="auto" w:fill="BFBFBF" w:themeFill="background1" w:themeFillShade="BF"/>
          </w:tcPr>
          <w:p w:rsidR="00003D24" w:rsidRPr="001E55DD" w:rsidRDefault="00003D24" w:rsidP="00610002">
            <w:pPr>
              <w:pStyle w:val="TableParagraph"/>
              <w:keepNext/>
              <w:keepLines/>
              <w:spacing w:before="40" w:after="40"/>
              <w:rPr>
                <w:rFonts w:ascii="Times New Roman" w:hAnsi="Times New Roman" w:cs="Times New Roman"/>
                <w:b/>
                <w:sz w:val="18"/>
                <w:szCs w:val="18"/>
                <w:lang w:val="en-GB"/>
              </w:rPr>
            </w:pPr>
            <w:r w:rsidRPr="001E55DD">
              <w:rPr>
                <w:rFonts w:ascii="Times New Roman" w:hAnsi="Times New Roman" w:cs="Times New Roman"/>
                <w:b/>
                <w:sz w:val="18"/>
                <w:szCs w:val="18"/>
                <w:lang w:val="en-GB"/>
              </w:rPr>
              <w:t>Description</w:t>
            </w:r>
          </w:p>
        </w:tc>
      </w:tr>
      <w:tr w:rsidR="00003D24" w:rsidRPr="001E55DD" w:rsidTr="00610002">
        <w:trPr>
          <w:trHeight w:val="3595"/>
        </w:trPr>
        <w:tc>
          <w:tcPr>
            <w:tcW w:w="3085" w:type="dxa"/>
            <w:shd w:val="clear" w:color="auto" w:fill="FFFFFF" w:themeFill="background1"/>
          </w:tcPr>
          <w:p w:rsidR="00003D24" w:rsidRPr="001E55DD" w:rsidRDefault="00003D24" w:rsidP="00610002">
            <w:pPr>
              <w:pStyle w:val="TableParagraph"/>
              <w:spacing w:before="40" w:after="40"/>
              <w:ind w:left="103"/>
              <w:rPr>
                <w:rFonts w:ascii="Times New Roman" w:hAnsi="Times New Roman" w:cs="Times New Roman"/>
                <w:b/>
                <w:sz w:val="18"/>
                <w:szCs w:val="18"/>
                <w:lang w:val="en-GB"/>
              </w:rPr>
            </w:pPr>
            <w:r w:rsidRPr="001E55DD">
              <w:rPr>
                <w:rFonts w:ascii="Times New Roman" w:hAnsi="Times New Roman" w:cs="Times New Roman"/>
                <w:b/>
                <w:sz w:val="18"/>
                <w:szCs w:val="18"/>
                <w:lang w:val="en-GB"/>
              </w:rPr>
              <w:t>Policy, guidelines and procedure</w:t>
            </w:r>
            <w:bookmarkStart w:id="12" w:name="_bookmark0"/>
            <w:bookmarkEnd w:id="12"/>
            <w:r w:rsidRPr="001E55DD">
              <w:rPr>
                <w:rFonts w:ascii="Times New Roman" w:hAnsi="Times New Roman" w:cs="Times New Roman"/>
                <w:b/>
                <w:sz w:val="18"/>
                <w:szCs w:val="18"/>
                <w:lang w:val="en-GB"/>
              </w:rPr>
              <w:t>s</w:t>
            </w:r>
          </w:p>
        </w:tc>
        <w:tc>
          <w:tcPr>
            <w:tcW w:w="6415" w:type="dxa"/>
            <w:shd w:val="clear" w:color="auto" w:fill="FFFFFF" w:themeFill="background1"/>
          </w:tcPr>
          <w:p w:rsidR="00003D24" w:rsidRPr="001E55DD" w:rsidRDefault="00003D24" w:rsidP="00610002">
            <w:pPr>
              <w:pStyle w:val="TableParagraph"/>
              <w:spacing w:before="40" w:after="120"/>
              <w:ind w:right="100"/>
              <w:rPr>
                <w:rFonts w:ascii="Times New Roman" w:hAnsi="Times New Roman" w:cs="Times New Roman"/>
                <w:bCs/>
                <w:sz w:val="18"/>
                <w:szCs w:val="18"/>
                <w:lang w:val="en-GB"/>
              </w:rPr>
            </w:pPr>
            <w:r w:rsidRPr="001E55DD">
              <w:rPr>
                <w:rFonts w:ascii="Times New Roman" w:hAnsi="Times New Roman" w:cs="Times New Roman"/>
                <w:bCs/>
                <w:sz w:val="18"/>
                <w:szCs w:val="18"/>
                <w:lang w:val="en-GB"/>
              </w:rPr>
              <w:t>All policies concerning administrative arrangements are governed by the United Nations General Assembly resolutions and those of United Nations Environment Programme’s governing body. United Nations Financial Regulations and Rules supplemented by Multilateral Environmental Agreements’ and entities’ financial procedures or rules ensure effective and efficient use of resources in accordance with the purposes for which funds are provided, within authorized limits and available income. The United Nations Financial Regulations and Rules also regulate the organization’s procurement activities.</w:t>
            </w:r>
          </w:p>
          <w:p w:rsidR="00003D24" w:rsidRPr="001E55DD" w:rsidRDefault="00003D24" w:rsidP="00610002">
            <w:pPr>
              <w:pStyle w:val="TableParagraph"/>
              <w:spacing w:before="40" w:after="120"/>
              <w:ind w:right="106"/>
              <w:rPr>
                <w:rFonts w:ascii="Times New Roman" w:hAnsi="Times New Roman" w:cs="Times New Roman"/>
                <w:bCs/>
                <w:sz w:val="18"/>
                <w:szCs w:val="18"/>
                <w:lang w:val="en-GB"/>
              </w:rPr>
            </w:pPr>
            <w:r w:rsidRPr="001E55DD">
              <w:rPr>
                <w:rFonts w:ascii="Times New Roman" w:hAnsi="Times New Roman" w:cs="Times New Roman"/>
                <w:bCs/>
                <w:sz w:val="18"/>
                <w:szCs w:val="18"/>
                <w:lang w:val="en-GB"/>
              </w:rPr>
              <w:t>United Nations Staff Regulations and Rules set the framework within which United Nations Environment Programme’s personnel, including different categories of staff members, consultants and independent contractors, are recruited and administered.</w:t>
            </w:r>
          </w:p>
          <w:p w:rsidR="00003D24" w:rsidRPr="001E55DD" w:rsidRDefault="00003D24" w:rsidP="00610002">
            <w:pPr>
              <w:pStyle w:val="TableParagraph"/>
              <w:spacing w:before="40" w:after="120"/>
              <w:ind w:right="100"/>
              <w:rPr>
                <w:rFonts w:ascii="Times New Roman" w:hAnsi="Times New Roman" w:cs="Times New Roman"/>
                <w:b/>
                <w:sz w:val="18"/>
                <w:szCs w:val="18"/>
                <w:lang w:val="en-GB"/>
              </w:rPr>
            </w:pPr>
            <w:r w:rsidRPr="001E55DD">
              <w:rPr>
                <w:rFonts w:ascii="Times New Roman" w:hAnsi="Times New Roman" w:cs="Times New Roman"/>
                <w:bCs/>
                <w:sz w:val="18"/>
                <w:szCs w:val="18"/>
                <w:lang w:val="en-GB"/>
              </w:rPr>
              <w:t>United Nations Secretariat policies supplement and provide details on the implementation of the resolutions and regulations. They are embodied in United Nations administrative issuances i.e. Secretary-General’s Bulletins, Administrative Instructions and Information Circulars which may be further interpreted and translated into guidelines and procedures for day to day operations.</w:t>
            </w:r>
          </w:p>
        </w:tc>
      </w:tr>
      <w:tr w:rsidR="00003D24" w:rsidRPr="001E55DD" w:rsidTr="00610002">
        <w:trPr>
          <w:trHeight w:val="565"/>
        </w:trPr>
        <w:tc>
          <w:tcPr>
            <w:tcW w:w="308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003D24" w:rsidRPr="001E55DD" w:rsidRDefault="00003D24" w:rsidP="00610002">
            <w:pPr>
              <w:pStyle w:val="TableParagraph"/>
              <w:spacing w:before="40" w:after="40"/>
              <w:ind w:left="103"/>
              <w:rPr>
                <w:rFonts w:ascii="Times New Roman" w:hAnsi="Times New Roman" w:cs="Times New Roman"/>
                <w:b/>
                <w:sz w:val="18"/>
                <w:szCs w:val="18"/>
                <w:lang w:val="en-GB"/>
              </w:rPr>
            </w:pPr>
            <w:r w:rsidRPr="001E55DD">
              <w:rPr>
                <w:rFonts w:ascii="Times New Roman" w:hAnsi="Times New Roman" w:cs="Times New Roman"/>
                <w:b/>
                <w:sz w:val="18"/>
                <w:szCs w:val="18"/>
                <w:lang w:val="en-GB"/>
              </w:rPr>
              <w:t>Human Resources</w:t>
            </w:r>
          </w:p>
        </w:tc>
        <w:tc>
          <w:tcPr>
            <w:tcW w:w="641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003D24" w:rsidRPr="001E55DD" w:rsidRDefault="00003D24" w:rsidP="00610002">
            <w:pPr>
              <w:pStyle w:val="TableParagraph"/>
              <w:spacing w:before="40" w:after="40"/>
              <w:ind w:right="100"/>
              <w:rPr>
                <w:rFonts w:ascii="Times New Roman" w:hAnsi="Times New Roman" w:cs="Times New Roman"/>
                <w:bCs/>
                <w:sz w:val="18"/>
                <w:szCs w:val="18"/>
                <w:lang w:val="en-GB"/>
              </w:rPr>
            </w:pPr>
            <w:r w:rsidRPr="001E55DD">
              <w:rPr>
                <w:rFonts w:ascii="Times New Roman" w:hAnsi="Times New Roman" w:cs="Times New Roman"/>
                <w:b/>
                <w:sz w:val="18"/>
                <w:szCs w:val="18"/>
                <w:lang w:val="en-GB"/>
              </w:rPr>
              <w:t>Recruitment, staff administration, training, performance management and medical and counselling services</w:t>
            </w:r>
            <w:r w:rsidRPr="001E55DD">
              <w:rPr>
                <w:rFonts w:ascii="Times New Roman" w:hAnsi="Times New Roman" w:cs="Times New Roman"/>
                <w:bCs/>
                <w:sz w:val="18"/>
                <w:szCs w:val="18"/>
                <w:lang w:val="en-GB"/>
              </w:rPr>
              <w:t>.</w:t>
            </w:r>
          </w:p>
        </w:tc>
      </w:tr>
      <w:tr w:rsidR="00003D24" w:rsidRPr="001E55DD" w:rsidTr="00610002">
        <w:trPr>
          <w:trHeight w:val="559"/>
        </w:trPr>
        <w:tc>
          <w:tcPr>
            <w:tcW w:w="308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003D24" w:rsidRPr="001E55DD" w:rsidRDefault="00003D24" w:rsidP="00610002">
            <w:pPr>
              <w:pStyle w:val="TableParagraph"/>
              <w:spacing w:before="40" w:after="40"/>
              <w:ind w:left="103"/>
              <w:rPr>
                <w:rFonts w:ascii="Times New Roman" w:hAnsi="Times New Roman" w:cs="Times New Roman"/>
                <w:bCs/>
                <w:i/>
                <w:iCs/>
                <w:sz w:val="18"/>
                <w:szCs w:val="18"/>
                <w:lang w:val="en-GB"/>
              </w:rPr>
            </w:pPr>
            <w:r w:rsidRPr="001E55DD">
              <w:rPr>
                <w:rFonts w:ascii="Times New Roman" w:hAnsi="Times New Roman" w:cs="Times New Roman"/>
                <w:bCs/>
                <w:i/>
                <w:iCs/>
                <w:sz w:val="18"/>
                <w:szCs w:val="18"/>
                <w:lang w:val="en-GB"/>
              </w:rPr>
              <w:t>Talent Acquisition and Management</w:t>
            </w:r>
          </w:p>
        </w:tc>
        <w:tc>
          <w:tcPr>
            <w:tcW w:w="641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003D24" w:rsidRPr="001E55DD" w:rsidRDefault="00003D24" w:rsidP="00610002">
            <w:pPr>
              <w:pStyle w:val="TableParagraph"/>
              <w:spacing w:before="40" w:after="40"/>
              <w:ind w:right="100"/>
              <w:rPr>
                <w:rFonts w:ascii="Times New Roman" w:hAnsi="Times New Roman" w:cs="Times New Roman"/>
                <w:bCs/>
                <w:sz w:val="18"/>
                <w:szCs w:val="18"/>
                <w:lang w:val="en-GB"/>
              </w:rPr>
            </w:pPr>
            <w:r w:rsidRPr="001E55DD">
              <w:rPr>
                <w:rFonts w:ascii="Times New Roman" w:hAnsi="Times New Roman" w:cs="Times New Roman"/>
                <w:bCs/>
                <w:sz w:val="18"/>
                <w:szCs w:val="18"/>
                <w:lang w:val="en-GB"/>
              </w:rPr>
              <w:t>Developing staffing plans and implementing related recruitment activities namely classification, vacancy announcement, assessments, evaluation, review and selection.</w:t>
            </w:r>
          </w:p>
        </w:tc>
      </w:tr>
      <w:tr w:rsidR="00003D24" w:rsidRPr="001E55DD" w:rsidTr="00610002">
        <w:trPr>
          <w:trHeight w:val="989"/>
        </w:trPr>
        <w:tc>
          <w:tcPr>
            <w:tcW w:w="308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003D24" w:rsidRPr="001E55DD" w:rsidRDefault="00003D24" w:rsidP="00610002">
            <w:pPr>
              <w:pStyle w:val="TableParagraph"/>
              <w:spacing w:before="40" w:after="40"/>
              <w:ind w:left="103"/>
              <w:rPr>
                <w:rFonts w:ascii="Times New Roman" w:hAnsi="Times New Roman" w:cs="Times New Roman"/>
                <w:bCs/>
                <w:i/>
                <w:iCs/>
                <w:sz w:val="18"/>
                <w:szCs w:val="18"/>
                <w:lang w:val="en-GB"/>
              </w:rPr>
            </w:pPr>
            <w:r w:rsidRPr="001E55DD">
              <w:rPr>
                <w:rFonts w:ascii="Times New Roman" w:hAnsi="Times New Roman" w:cs="Times New Roman"/>
                <w:bCs/>
                <w:i/>
                <w:iCs/>
                <w:sz w:val="18"/>
                <w:szCs w:val="18"/>
                <w:lang w:val="en-GB"/>
              </w:rPr>
              <w:t>Staff Administration</w:t>
            </w:r>
          </w:p>
        </w:tc>
        <w:tc>
          <w:tcPr>
            <w:tcW w:w="641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003D24" w:rsidRPr="001E55DD" w:rsidRDefault="00003D24" w:rsidP="00610002">
            <w:pPr>
              <w:pStyle w:val="TableParagraph"/>
              <w:spacing w:before="40" w:after="40"/>
              <w:ind w:right="100"/>
              <w:rPr>
                <w:rFonts w:ascii="Times New Roman" w:hAnsi="Times New Roman" w:cs="Times New Roman"/>
                <w:bCs/>
                <w:sz w:val="18"/>
                <w:szCs w:val="18"/>
                <w:lang w:val="en-GB"/>
              </w:rPr>
            </w:pPr>
            <w:r w:rsidRPr="001E55DD">
              <w:rPr>
                <w:rFonts w:ascii="Times New Roman" w:hAnsi="Times New Roman" w:cs="Times New Roman"/>
                <w:bCs/>
                <w:sz w:val="18"/>
                <w:szCs w:val="18"/>
                <w:lang w:val="en-GB"/>
              </w:rPr>
              <w:t>On-boarding staff, administering contracts, processing entitlements and benefits, review and update of dependency status, leave records, lateral move, separation from service etc. Administering end-of-service and post-retirement benefits including pension fund deductions and After Service Health Insurance scheme.</w:t>
            </w:r>
          </w:p>
        </w:tc>
      </w:tr>
      <w:tr w:rsidR="00003D24" w:rsidRPr="001E55DD" w:rsidTr="00610002">
        <w:trPr>
          <w:trHeight w:val="1627"/>
        </w:trPr>
        <w:tc>
          <w:tcPr>
            <w:tcW w:w="308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003D24" w:rsidRPr="001E55DD" w:rsidRDefault="00003D24" w:rsidP="00610002">
            <w:pPr>
              <w:pStyle w:val="TableParagraph"/>
              <w:spacing w:before="40" w:after="40"/>
              <w:ind w:left="103"/>
              <w:rPr>
                <w:rFonts w:ascii="Times New Roman" w:hAnsi="Times New Roman" w:cs="Times New Roman"/>
                <w:bCs/>
                <w:i/>
                <w:iCs/>
                <w:sz w:val="18"/>
                <w:szCs w:val="18"/>
                <w:lang w:val="en-GB"/>
              </w:rPr>
            </w:pPr>
            <w:r w:rsidRPr="001E55DD">
              <w:rPr>
                <w:rFonts w:ascii="Times New Roman" w:hAnsi="Times New Roman" w:cs="Times New Roman"/>
                <w:bCs/>
                <w:i/>
                <w:iCs/>
                <w:sz w:val="18"/>
                <w:szCs w:val="18"/>
                <w:lang w:val="en-GB"/>
              </w:rPr>
              <w:t>Staff development and training</w:t>
            </w:r>
          </w:p>
        </w:tc>
        <w:tc>
          <w:tcPr>
            <w:tcW w:w="641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003D24" w:rsidRPr="001E55DD" w:rsidRDefault="00003D24" w:rsidP="00610002">
            <w:pPr>
              <w:pStyle w:val="TableParagraph"/>
              <w:spacing w:before="40" w:after="120"/>
              <w:ind w:right="102"/>
              <w:rPr>
                <w:rFonts w:ascii="Times New Roman" w:hAnsi="Times New Roman" w:cs="Times New Roman"/>
                <w:bCs/>
                <w:sz w:val="18"/>
                <w:szCs w:val="18"/>
                <w:lang w:val="en-GB"/>
              </w:rPr>
            </w:pPr>
            <w:r w:rsidRPr="001E55DD">
              <w:rPr>
                <w:rFonts w:ascii="Times New Roman" w:hAnsi="Times New Roman" w:cs="Times New Roman"/>
                <w:bCs/>
                <w:sz w:val="18"/>
                <w:szCs w:val="18"/>
                <w:lang w:val="en-GB"/>
              </w:rPr>
              <w:t>Mandatory training of personnel on issues such as security, ethics and integrity, competency based interviewing skills, management development programme etc.</w:t>
            </w:r>
          </w:p>
          <w:p w:rsidR="00003D24" w:rsidRPr="001E55DD" w:rsidRDefault="00003D24" w:rsidP="00610002">
            <w:pPr>
              <w:pStyle w:val="TableParagraph"/>
              <w:spacing w:before="40" w:after="40"/>
              <w:ind w:right="100"/>
              <w:rPr>
                <w:rFonts w:ascii="Times New Roman" w:hAnsi="Times New Roman" w:cs="Times New Roman"/>
                <w:bCs/>
                <w:sz w:val="18"/>
                <w:szCs w:val="18"/>
                <w:lang w:val="en-GB"/>
              </w:rPr>
            </w:pPr>
            <w:r w:rsidRPr="001E55DD">
              <w:rPr>
                <w:rFonts w:ascii="Times New Roman" w:hAnsi="Times New Roman" w:cs="Times New Roman"/>
                <w:bCs/>
                <w:sz w:val="18"/>
                <w:szCs w:val="18"/>
                <w:lang w:val="en-GB"/>
              </w:rPr>
              <w:t>Identify capacity building needs and provide opportunities for continuous learning with a view to build a multi-skilled workforce promoting career development for staff. These include in-house developed training modules on Results Based Management and Gender Mainstreaming, among others. Including the arrangement of training opportunities for UNEP Geneva colleagues.</w:t>
            </w:r>
          </w:p>
        </w:tc>
      </w:tr>
      <w:tr w:rsidR="00003D24" w:rsidRPr="001E55DD" w:rsidTr="00610002">
        <w:trPr>
          <w:trHeight w:val="970"/>
        </w:trPr>
        <w:tc>
          <w:tcPr>
            <w:tcW w:w="308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003D24" w:rsidRPr="001E55DD" w:rsidRDefault="00003D24" w:rsidP="00610002">
            <w:pPr>
              <w:pStyle w:val="TableParagraph"/>
              <w:spacing w:before="40" w:after="40"/>
              <w:ind w:left="103"/>
              <w:rPr>
                <w:rFonts w:ascii="Times New Roman" w:hAnsi="Times New Roman" w:cs="Times New Roman"/>
                <w:bCs/>
                <w:i/>
                <w:iCs/>
                <w:sz w:val="18"/>
                <w:szCs w:val="18"/>
                <w:lang w:val="en-GB"/>
              </w:rPr>
            </w:pPr>
            <w:r w:rsidRPr="001E55DD">
              <w:rPr>
                <w:rFonts w:ascii="Times New Roman" w:hAnsi="Times New Roman" w:cs="Times New Roman"/>
                <w:bCs/>
                <w:i/>
                <w:iCs/>
                <w:sz w:val="18"/>
                <w:szCs w:val="18"/>
                <w:lang w:val="en-GB"/>
              </w:rPr>
              <w:lastRenderedPageBreak/>
              <w:t>Performance Management</w:t>
            </w:r>
          </w:p>
        </w:tc>
        <w:tc>
          <w:tcPr>
            <w:tcW w:w="641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003D24" w:rsidRPr="001E55DD" w:rsidRDefault="00003D24" w:rsidP="00610002">
            <w:pPr>
              <w:pStyle w:val="TableParagraph"/>
              <w:spacing w:before="40" w:after="40"/>
              <w:ind w:right="100"/>
              <w:rPr>
                <w:rFonts w:ascii="Times New Roman" w:hAnsi="Times New Roman" w:cs="Times New Roman"/>
                <w:bCs/>
                <w:sz w:val="18"/>
                <w:szCs w:val="18"/>
                <w:lang w:val="en-GB"/>
              </w:rPr>
            </w:pPr>
            <w:r w:rsidRPr="001E55DD">
              <w:rPr>
                <w:rFonts w:ascii="Times New Roman" w:hAnsi="Times New Roman" w:cs="Times New Roman"/>
                <w:bCs/>
                <w:sz w:val="18"/>
                <w:szCs w:val="18"/>
                <w:lang w:val="en-GB"/>
              </w:rPr>
              <w:t>Implementing and monitoring compliance with performance management policies, process and tools (INSPIRA) to reward/recognize/retain staff and address underperformance. Supporting rebuttal process guidance and conducting training on writing workplans and performance assessments. Managing the Financial Disclosure programme.</w:t>
            </w:r>
          </w:p>
        </w:tc>
      </w:tr>
      <w:tr w:rsidR="00003D24" w:rsidRPr="001E55DD" w:rsidTr="00610002">
        <w:trPr>
          <w:trHeight w:val="1115"/>
        </w:trPr>
        <w:tc>
          <w:tcPr>
            <w:tcW w:w="308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003D24" w:rsidRPr="001E55DD" w:rsidRDefault="00003D24" w:rsidP="00610002">
            <w:pPr>
              <w:pStyle w:val="TableParagraph"/>
              <w:spacing w:before="40" w:after="40"/>
              <w:ind w:left="103"/>
              <w:rPr>
                <w:rFonts w:ascii="Times New Roman" w:hAnsi="Times New Roman" w:cs="Times New Roman"/>
                <w:bCs/>
                <w:i/>
                <w:iCs/>
                <w:sz w:val="18"/>
                <w:szCs w:val="18"/>
                <w:lang w:val="en-GB"/>
              </w:rPr>
            </w:pPr>
            <w:r w:rsidRPr="001E55DD">
              <w:rPr>
                <w:rFonts w:ascii="Times New Roman" w:hAnsi="Times New Roman" w:cs="Times New Roman"/>
                <w:bCs/>
                <w:i/>
                <w:iCs/>
                <w:sz w:val="18"/>
                <w:szCs w:val="18"/>
                <w:lang w:val="en-GB"/>
              </w:rPr>
              <w:t>Medical and Counselling Services</w:t>
            </w:r>
          </w:p>
        </w:tc>
        <w:tc>
          <w:tcPr>
            <w:tcW w:w="641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003D24" w:rsidRPr="001E55DD" w:rsidRDefault="00003D24" w:rsidP="00610002">
            <w:pPr>
              <w:pStyle w:val="TableParagraph"/>
              <w:spacing w:before="40" w:after="40"/>
              <w:ind w:right="100"/>
              <w:rPr>
                <w:rFonts w:ascii="Times New Roman" w:hAnsi="Times New Roman" w:cs="Times New Roman"/>
                <w:bCs/>
                <w:sz w:val="18"/>
                <w:szCs w:val="18"/>
                <w:lang w:val="en-GB"/>
              </w:rPr>
            </w:pPr>
            <w:r w:rsidRPr="001E55DD">
              <w:rPr>
                <w:rFonts w:ascii="Times New Roman" w:hAnsi="Times New Roman" w:cs="Times New Roman"/>
                <w:bCs/>
                <w:sz w:val="18"/>
                <w:szCs w:val="18"/>
                <w:lang w:val="en-GB"/>
              </w:rPr>
              <w:t xml:space="preserve">Providing occupational health services with emphasis on preventive health care and emergency response. Also includes professional counselling service to address issues such as stress, burnout, depression etc. </w:t>
            </w:r>
          </w:p>
          <w:p w:rsidR="00003D24" w:rsidRPr="001E55DD" w:rsidRDefault="00003D24" w:rsidP="00610002">
            <w:pPr>
              <w:pStyle w:val="TableParagraph"/>
              <w:spacing w:before="40" w:after="40"/>
              <w:ind w:right="100"/>
              <w:rPr>
                <w:rFonts w:ascii="Times New Roman" w:hAnsi="Times New Roman" w:cs="Times New Roman"/>
                <w:bCs/>
                <w:sz w:val="18"/>
                <w:szCs w:val="18"/>
                <w:lang w:val="en-GB"/>
              </w:rPr>
            </w:pPr>
            <w:r w:rsidRPr="001E55DD">
              <w:rPr>
                <w:rFonts w:ascii="Times New Roman" w:hAnsi="Times New Roman" w:cs="Times New Roman"/>
                <w:bCs/>
                <w:sz w:val="18"/>
                <w:szCs w:val="18"/>
                <w:lang w:val="en-GB"/>
              </w:rPr>
              <w:t>UN Cares, the UN system-wide program on HIV, is designed to reduce the impact of HIV in the UN workplace.</w:t>
            </w:r>
          </w:p>
        </w:tc>
      </w:tr>
      <w:tr w:rsidR="00003D24" w:rsidRPr="001E55DD" w:rsidTr="00610002">
        <w:trPr>
          <w:trHeight w:val="522"/>
        </w:trPr>
        <w:tc>
          <w:tcPr>
            <w:tcW w:w="308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03D24" w:rsidRPr="001E55DD" w:rsidRDefault="00003D24" w:rsidP="00610002">
            <w:pPr>
              <w:pStyle w:val="TableParagraph"/>
              <w:spacing w:before="40" w:after="40"/>
              <w:ind w:left="103"/>
              <w:rPr>
                <w:rFonts w:ascii="Times New Roman" w:hAnsi="Times New Roman" w:cs="Times New Roman"/>
                <w:b/>
                <w:sz w:val="18"/>
                <w:szCs w:val="18"/>
                <w:lang w:val="en-GB"/>
              </w:rPr>
            </w:pPr>
            <w:r w:rsidRPr="001E55DD">
              <w:rPr>
                <w:rFonts w:ascii="Times New Roman" w:hAnsi="Times New Roman" w:cs="Times New Roman"/>
                <w:b/>
                <w:sz w:val="18"/>
                <w:szCs w:val="18"/>
                <w:lang w:val="en-GB"/>
              </w:rPr>
              <w:t>Budget and Finance</w:t>
            </w:r>
          </w:p>
        </w:tc>
        <w:tc>
          <w:tcPr>
            <w:tcW w:w="641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03D24" w:rsidRPr="001E55DD" w:rsidRDefault="00003D24" w:rsidP="00610002">
            <w:pPr>
              <w:pStyle w:val="TableParagraph"/>
              <w:spacing w:before="40" w:after="40"/>
              <w:ind w:right="100"/>
              <w:rPr>
                <w:rFonts w:ascii="Times New Roman" w:hAnsi="Times New Roman" w:cs="Times New Roman"/>
                <w:bCs/>
                <w:sz w:val="18"/>
                <w:szCs w:val="18"/>
                <w:lang w:val="en-GB"/>
              </w:rPr>
            </w:pPr>
            <w:r w:rsidRPr="001E55DD">
              <w:rPr>
                <w:rFonts w:ascii="Times New Roman" w:hAnsi="Times New Roman" w:cs="Times New Roman"/>
                <w:b/>
                <w:sz w:val="18"/>
                <w:szCs w:val="18"/>
                <w:lang w:val="en-GB"/>
              </w:rPr>
              <w:t>Preparation, management, oversight and reporting of budgets and financial resources of the governing bodies and donors</w:t>
            </w:r>
            <w:r w:rsidRPr="001E55DD">
              <w:rPr>
                <w:rFonts w:ascii="Times New Roman" w:hAnsi="Times New Roman" w:cs="Times New Roman"/>
                <w:bCs/>
                <w:sz w:val="18"/>
                <w:szCs w:val="18"/>
                <w:lang w:val="en-GB"/>
              </w:rPr>
              <w:t>.</w:t>
            </w:r>
          </w:p>
        </w:tc>
      </w:tr>
      <w:tr w:rsidR="00003D24" w:rsidRPr="001E55DD" w:rsidTr="00610002">
        <w:trPr>
          <w:trHeight w:val="870"/>
        </w:trPr>
        <w:tc>
          <w:tcPr>
            <w:tcW w:w="308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03D24" w:rsidRPr="001E55DD" w:rsidRDefault="00003D24" w:rsidP="00610002">
            <w:pPr>
              <w:pStyle w:val="TableParagraph"/>
              <w:spacing w:before="40" w:after="40"/>
              <w:ind w:left="103"/>
              <w:rPr>
                <w:rFonts w:ascii="Times New Roman" w:hAnsi="Times New Roman" w:cs="Times New Roman"/>
                <w:bCs/>
                <w:i/>
                <w:iCs/>
                <w:sz w:val="18"/>
                <w:szCs w:val="18"/>
                <w:lang w:val="en-GB"/>
              </w:rPr>
            </w:pPr>
            <w:r w:rsidRPr="001E55DD">
              <w:rPr>
                <w:rFonts w:ascii="Times New Roman" w:hAnsi="Times New Roman" w:cs="Times New Roman"/>
                <w:bCs/>
                <w:i/>
                <w:iCs/>
                <w:sz w:val="18"/>
                <w:szCs w:val="18"/>
                <w:lang w:val="en-GB"/>
              </w:rPr>
              <w:t>Budgeting / Fund Management</w:t>
            </w:r>
          </w:p>
        </w:tc>
        <w:tc>
          <w:tcPr>
            <w:tcW w:w="641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03D24" w:rsidRPr="001E55DD" w:rsidRDefault="00003D24" w:rsidP="00610002">
            <w:pPr>
              <w:pStyle w:val="TableParagraph"/>
              <w:spacing w:before="40" w:after="120"/>
              <w:ind w:right="102"/>
              <w:rPr>
                <w:rFonts w:ascii="Times New Roman" w:hAnsi="Times New Roman" w:cs="Times New Roman"/>
                <w:bCs/>
                <w:sz w:val="18"/>
                <w:szCs w:val="18"/>
                <w:lang w:val="en-GB"/>
              </w:rPr>
            </w:pPr>
            <w:r w:rsidRPr="001E55DD">
              <w:rPr>
                <w:rFonts w:ascii="Times New Roman" w:hAnsi="Times New Roman" w:cs="Times New Roman"/>
                <w:bCs/>
                <w:sz w:val="18"/>
                <w:szCs w:val="18"/>
                <w:lang w:val="en-GB"/>
              </w:rPr>
              <w:t>Preparation, presentation and justification of budgets to the governing bodies. Processing budgetary authorizations and financial transactions. Advising staff, management and governing bodies on the use of financial resources.</w:t>
            </w:r>
          </w:p>
          <w:p w:rsidR="00003D24" w:rsidRPr="001E55DD" w:rsidRDefault="00003D24" w:rsidP="00610002">
            <w:pPr>
              <w:pStyle w:val="TableParagraph"/>
              <w:spacing w:before="40" w:after="40"/>
              <w:ind w:right="100"/>
              <w:rPr>
                <w:rFonts w:ascii="Times New Roman" w:hAnsi="Times New Roman" w:cs="Times New Roman"/>
                <w:bCs/>
                <w:sz w:val="18"/>
                <w:szCs w:val="18"/>
                <w:lang w:val="en-GB"/>
              </w:rPr>
            </w:pPr>
            <w:r w:rsidRPr="001E55DD">
              <w:rPr>
                <w:rFonts w:ascii="Times New Roman" w:hAnsi="Times New Roman" w:cs="Times New Roman"/>
                <w:bCs/>
                <w:sz w:val="18"/>
                <w:szCs w:val="18"/>
                <w:lang w:val="en-GB"/>
              </w:rPr>
              <w:t>Creating, maintaining and closing Trust Funds</w:t>
            </w:r>
            <w:hyperlink w:anchor="_bookmark0" w:history="1">
              <w:r w:rsidRPr="001E55DD">
                <w:rPr>
                  <w:rStyle w:val="Hyperlink"/>
                  <w:rFonts w:cs="Times New Roman"/>
                  <w:bCs/>
                  <w:sz w:val="18"/>
                  <w:szCs w:val="18"/>
                  <w:lang w:val="en-GB"/>
                </w:rPr>
                <w:t>.</w:t>
              </w:r>
            </w:hyperlink>
          </w:p>
        </w:tc>
      </w:tr>
      <w:tr w:rsidR="00003D24" w:rsidRPr="001E55DD" w:rsidTr="00610002">
        <w:trPr>
          <w:trHeight w:val="1111"/>
        </w:trPr>
        <w:tc>
          <w:tcPr>
            <w:tcW w:w="308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03D24" w:rsidRPr="001E55DD" w:rsidRDefault="00003D24" w:rsidP="00610002">
            <w:pPr>
              <w:pStyle w:val="TableParagraph"/>
              <w:spacing w:before="40" w:after="40"/>
              <w:ind w:left="103"/>
              <w:rPr>
                <w:rFonts w:ascii="Times New Roman" w:hAnsi="Times New Roman" w:cs="Times New Roman"/>
                <w:bCs/>
                <w:i/>
                <w:iCs/>
                <w:sz w:val="18"/>
                <w:szCs w:val="18"/>
                <w:lang w:val="en-GB"/>
              </w:rPr>
            </w:pPr>
            <w:r w:rsidRPr="001E55DD">
              <w:rPr>
                <w:rFonts w:ascii="Times New Roman" w:hAnsi="Times New Roman" w:cs="Times New Roman"/>
                <w:bCs/>
                <w:i/>
                <w:iCs/>
                <w:sz w:val="18"/>
                <w:szCs w:val="18"/>
                <w:lang w:val="en-GB"/>
              </w:rPr>
              <w:t>General Accounting / Financial</w:t>
            </w:r>
          </w:p>
          <w:p w:rsidR="00003D24" w:rsidRPr="001E55DD" w:rsidRDefault="00003D24" w:rsidP="00610002">
            <w:pPr>
              <w:pStyle w:val="TableParagraph"/>
              <w:spacing w:before="40" w:after="40"/>
              <w:ind w:left="103"/>
              <w:rPr>
                <w:rFonts w:ascii="Times New Roman" w:hAnsi="Times New Roman" w:cs="Times New Roman"/>
                <w:bCs/>
                <w:sz w:val="18"/>
                <w:szCs w:val="18"/>
                <w:lang w:val="en-GB"/>
              </w:rPr>
            </w:pPr>
            <w:r w:rsidRPr="001E55DD">
              <w:rPr>
                <w:rFonts w:ascii="Times New Roman" w:hAnsi="Times New Roman" w:cs="Times New Roman"/>
                <w:bCs/>
                <w:i/>
                <w:iCs/>
                <w:sz w:val="18"/>
                <w:szCs w:val="18"/>
                <w:lang w:val="en-GB"/>
              </w:rPr>
              <w:t>Statements</w:t>
            </w:r>
          </w:p>
        </w:tc>
        <w:tc>
          <w:tcPr>
            <w:tcW w:w="641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03D24" w:rsidRPr="001E55DD" w:rsidRDefault="00003D24" w:rsidP="00610002">
            <w:pPr>
              <w:pStyle w:val="TableParagraph"/>
              <w:spacing w:before="40" w:after="120"/>
              <w:ind w:right="102"/>
              <w:rPr>
                <w:rFonts w:ascii="Times New Roman" w:hAnsi="Times New Roman" w:cs="Times New Roman"/>
                <w:bCs/>
                <w:sz w:val="18"/>
                <w:szCs w:val="18"/>
                <w:lang w:val="en-GB"/>
              </w:rPr>
            </w:pPr>
            <w:r w:rsidRPr="001E55DD">
              <w:rPr>
                <w:rFonts w:ascii="Times New Roman" w:hAnsi="Times New Roman" w:cs="Times New Roman"/>
                <w:bCs/>
                <w:sz w:val="18"/>
                <w:szCs w:val="18"/>
                <w:lang w:val="en-GB"/>
              </w:rPr>
              <w:t>Authority to sign the consolidated financial statements rests with the Executive Director. Extracts from the consolidated statements are signed by UNON.</w:t>
            </w:r>
          </w:p>
          <w:p w:rsidR="00003D24" w:rsidRPr="001E55DD" w:rsidRDefault="00003D24" w:rsidP="00610002">
            <w:pPr>
              <w:pStyle w:val="TableParagraph"/>
              <w:spacing w:before="40" w:after="40"/>
              <w:ind w:right="100"/>
              <w:rPr>
                <w:rFonts w:ascii="Times New Roman" w:hAnsi="Times New Roman" w:cs="Times New Roman"/>
                <w:bCs/>
                <w:sz w:val="18"/>
                <w:szCs w:val="18"/>
                <w:lang w:val="en-GB"/>
              </w:rPr>
            </w:pPr>
            <w:r w:rsidRPr="001E55DD">
              <w:rPr>
                <w:rFonts w:ascii="Times New Roman" w:hAnsi="Times New Roman" w:cs="Times New Roman"/>
                <w:bCs/>
                <w:sz w:val="18"/>
                <w:szCs w:val="18"/>
                <w:lang w:val="en-GB"/>
              </w:rPr>
              <w:t>Maintenance of accounts and preparation of Financial Statements including the Programme Support account. Processing accounting entries/adjustments including donor refunds; year-end accruals; statutory reporting and support to the annual external audit.</w:t>
            </w:r>
          </w:p>
        </w:tc>
      </w:tr>
      <w:tr w:rsidR="00003D24" w:rsidRPr="001E55DD" w:rsidTr="00610002">
        <w:trPr>
          <w:trHeight w:val="353"/>
        </w:trPr>
        <w:tc>
          <w:tcPr>
            <w:tcW w:w="308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03D24" w:rsidRPr="001E55DD" w:rsidRDefault="00003D24" w:rsidP="00610002">
            <w:pPr>
              <w:pStyle w:val="TableParagraph"/>
              <w:spacing w:before="40" w:after="40"/>
              <w:ind w:left="103"/>
              <w:rPr>
                <w:rFonts w:ascii="Times New Roman" w:hAnsi="Times New Roman" w:cs="Times New Roman"/>
                <w:bCs/>
                <w:i/>
                <w:iCs/>
                <w:sz w:val="18"/>
                <w:szCs w:val="18"/>
                <w:lang w:val="en-GB"/>
              </w:rPr>
            </w:pPr>
            <w:r w:rsidRPr="001E55DD">
              <w:rPr>
                <w:rFonts w:ascii="Times New Roman" w:hAnsi="Times New Roman" w:cs="Times New Roman"/>
                <w:bCs/>
                <w:i/>
                <w:iCs/>
                <w:sz w:val="18"/>
                <w:szCs w:val="18"/>
                <w:lang w:val="en-GB"/>
              </w:rPr>
              <w:t>Payments / Expenditure</w:t>
            </w:r>
          </w:p>
        </w:tc>
        <w:tc>
          <w:tcPr>
            <w:tcW w:w="641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03D24" w:rsidRPr="001E55DD" w:rsidRDefault="00003D24" w:rsidP="00610002">
            <w:pPr>
              <w:pStyle w:val="TableParagraph"/>
              <w:spacing w:before="40" w:after="40"/>
              <w:ind w:right="100"/>
              <w:rPr>
                <w:rFonts w:ascii="Times New Roman" w:hAnsi="Times New Roman" w:cs="Times New Roman"/>
                <w:bCs/>
                <w:sz w:val="18"/>
                <w:szCs w:val="18"/>
                <w:lang w:val="en-GB"/>
              </w:rPr>
            </w:pPr>
            <w:r w:rsidRPr="001E55DD">
              <w:rPr>
                <w:rFonts w:ascii="Times New Roman" w:hAnsi="Times New Roman" w:cs="Times New Roman"/>
                <w:bCs/>
                <w:sz w:val="18"/>
                <w:szCs w:val="18"/>
                <w:lang w:val="en-GB"/>
              </w:rPr>
              <w:t>Processing payments to Implementing Partners, consultants, vendors and meeting participants. Monitoring advances and recording expenditures from financial reports received from Implementing Partners.</w:t>
            </w:r>
          </w:p>
        </w:tc>
      </w:tr>
      <w:tr w:rsidR="00003D24" w:rsidRPr="001E55DD" w:rsidTr="00610002">
        <w:trPr>
          <w:trHeight w:val="207"/>
        </w:trPr>
        <w:tc>
          <w:tcPr>
            <w:tcW w:w="308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03D24" w:rsidRPr="001E55DD" w:rsidRDefault="00003D24" w:rsidP="00610002">
            <w:pPr>
              <w:pStyle w:val="TableParagraph"/>
              <w:spacing w:before="40" w:after="40"/>
              <w:ind w:left="103"/>
              <w:rPr>
                <w:rFonts w:ascii="Times New Roman" w:hAnsi="Times New Roman" w:cs="Times New Roman"/>
                <w:bCs/>
                <w:i/>
                <w:iCs/>
                <w:sz w:val="18"/>
                <w:szCs w:val="18"/>
                <w:lang w:val="en-GB"/>
              </w:rPr>
            </w:pPr>
            <w:r w:rsidRPr="001E55DD">
              <w:rPr>
                <w:rFonts w:ascii="Times New Roman" w:hAnsi="Times New Roman" w:cs="Times New Roman"/>
                <w:bCs/>
                <w:i/>
                <w:iCs/>
                <w:sz w:val="18"/>
                <w:szCs w:val="18"/>
                <w:lang w:val="en-GB"/>
              </w:rPr>
              <w:t>Payroll</w:t>
            </w:r>
          </w:p>
        </w:tc>
        <w:tc>
          <w:tcPr>
            <w:tcW w:w="641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03D24" w:rsidRPr="001E55DD" w:rsidRDefault="00003D24" w:rsidP="00610002">
            <w:pPr>
              <w:pStyle w:val="TableParagraph"/>
              <w:spacing w:before="40" w:after="40"/>
              <w:ind w:right="100"/>
              <w:rPr>
                <w:rFonts w:ascii="Times New Roman" w:hAnsi="Times New Roman" w:cs="Times New Roman"/>
                <w:bCs/>
                <w:sz w:val="18"/>
                <w:szCs w:val="18"/>
                <w:lang w:val="en-GB"/>
              </w:rPr>
            </w:pPr>
            <w:r w:rsidRPr="001E55DD">
              <w:rPr>
                <w:rFonts w:ascii="Times New Roman" w:hAnsi="Times New Roman" w:cs="Times New Roman"/>
                <w:bCs/>
                <w:sz w:val="18"/>
                <w:szCs w:val="18"/>
                <w:lang w:val="en-GB"/>
              </w:rPr>
              <w:t>Processing payment of salaries, entitlements and related advances and maintenance of payroll accounts.</w:t>
            </w:r>
          </w:p>
        </w:tc>
      </w:tr>
      <w:tr w:rsidR="00003D24" w:rsidRPr="001E55DD" w:rsidTr="00610002">
        <w:trPr>
          <w:trHeight w:val="1135"/>
        </w:trPr>
        <w:tc>
          <w:tcPr>
            <w:tcW w:w="308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03D24" w:rsidRPr="001E55DD" w:rsidRDefault="00003D24" w:rsidP="00610002">
            <w:pPr>
              <w:pStyle w:val="TableParagraph"/>
              <w:spacing w:before="40" w:after="40"/>
              <w:ind w:left="103"/>
              <w:rPr>
                <w:rFonts w:ascii="Times New Roman" w:hAnsi="Times New Roman" w:cs="Times New Roman"/>
                <w:bCs/>
                <w:i/>
                <w:iCs/>
                <w:sz w:val="18"/>
                <w:szCs w:val="18"/>
                <w:lang w:val="en-GB"/>
              </w:rPr>
            </w:pPr>
            <w:r w:rsidRPr="001E55DD">
              <w:rPr>
                <w:rFonts w:ascii="Times New Roman" w:hAnsi="Times New Roman" w:cs="Times New Roman"/>
                <w:bCs/>
                <w:i/>
                <w:iCs/>
                <w:sz w:val="18"/>
                <w:szCs w:val="18"/>
                <w:lang w:val="en-GB"/>
              </w:rPr>
              <w:t>Contributions /Cash Management</w:t>
            </w:r>
          </w:p>
        </w:tc>
        <w:tc>
          <w:tcPr>
            <w:tcW w:w="641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03D24" w:rsidRPr="001E55DD" w:rsidRDefault="00003D24" w:rsidP="00610002">
            <w:pPr>
              <w:pStyle w:val="TableParagraph"/>
              <w:spacing w:before="40" w:after="120"/>
              <w:ind w:right="102"/>
              <w:rPr>
                <w:rFonts w:ascii="Times New Roman" w:hAnsi="Times New Roman" w:cs="Times New Roman"/>
                <w:bCs/>
                <w:sz w:val="18"/>
                <w:szCs w:val="18"/>
                <w:lang w:val="en-GB"/>
              </w:rPr>
            </w:pPr>
            <w:r w:rsidRPr="001E55DD">
              <w:rPr>
                <w:rFonts w:ascii="Times New Roman" w:hAnsi="Times New Roman" w:cs="Times New Roman"/>
                <w:bCs/>
                <w:sz w:val="18"/>
                <w:szCs w:val="18"/>
                <w:lang w:val="en-GB"/>
              </w:rPr>
              <w:t>Authority to accept contributions from the Parties rests with the United Nations Environment Programme Executive Director.</w:t>
            </w:r>
          </w:p>
          <w:p w:rsidR="00003D24" w:rsidRPr="001E55DD" w:rsidRDefault="00003D24" w:rsidP="00610002">
            <w:pPr>
              <w:pStyle w:val="TableParagraph"/>
              <w:spacing w:before="40" w:after="40"/>
              <w:ind w:right="100"/>
              <w:rPr>
                <w:rFonts w:ascii="Times New Roman" w:hAnsi="Times New Roman" w:cs="Times New Roman"/>
                <w:bCs/>
                <w:sz w:val="18"/>
                <w:szCs w:val="18"/>
                <w:lang w:val="en-GB"/>
              </w:rPr>
            </w:pPr>
            <w:r w:rsidRPr="001E55DD">
              <w:rPr>
                <w:rFonts w:ascii="Times New Roman" w:hAnsi="Times New Roman" w:cs="Times New Roman"/>
                <w:bCs/>
                <w:sz w:val="18"/>
                <w:szCs w:val="18"/>
                <w:lang w:val="en-GB"/>
              </w:rPr>
              <w:t>Issuing invoices to Parties, recording and monitoring contribution receivables, processing contributions upon receipt of payments; reconciling applied deposit accounts.</w:t>
            </w:r>
          </w:p>
        </w:tc>
      </w:tr>
      <w:tr w:rsidR="00003D24" w:rsidRPr="001E55DD" w:rsidTr="00610002">
        <w:trPr>
          <w:trHeight w:val="901"/>
        </w:trPr>
        <w:tc>
          <w:tcPr>
            <w:tcW w:w="308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03D24" w:rsidRPr="001E55DD" w:rsidRDefault="00003D24" w:rsidP="00610002">
            <w:pPr>
              <w:pStyle w:val="TableParagraph"/>
              <w:spacing w:before="40" w:after="40"/>
              <w:ind w:left="103"/>
              <w:rPr>
                <w:rFonts w:ascii="Times New Roman" w:hAnsi="Times New Roman" w:cs="Times New Roman"/>
                <w:bCs/>
                <w:i/>
                <w:iCs/>
                <w:sz w:val="18"/>
                <w:szCs w:val="18"/>
                <w:lang w:val="en-GB"/>
              </w:rPr>
            </w:pPr>
            <w:r w:rsidRPr="001E55DD">
              <w:rPr>
                <w:rFonts w:ascii="Times New Roman" w:hAnsi="Times New Roman" w:cs="Times New Roman"/>
                <w:bCs/>
                <w:i/>
                <w:iCs/>
                <w:sz w:val="18"/>
                <w:szCs w:val="18"/>
                <w:lang w:val="en-GB"/>
              </w:rPr>
              <w:t>Treasury/Banking/ Investment</w:t>
            </w:r>
          </w:p>
        </w:tc>
        <w:tc>
          <w:tcPr>
            <w:tcW w:w="641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03D24" w:rsidRPr="001E55DD" w:rsidRDefault="00003D24" w:rsidP="00610002">
            <w:pPr>
              <w:pStyle w:val="TableParagraph"/>
              <w:spacing w:before="40" w:after="40"/>
              <w:ind w:right="100"/>
              <w:rPr>
                <w:rFonts w:ascii="Times New Roman" w:hAnsi="Times New Roman" w:cs="Times New Roman"/>
                <w:bCs/>
                <w:sz w:val="18"/>
                <w:szCs w:val="18"/>
                <w:lang w:val="en-GB"/>
              </w:rPr>
            </w:pPr>
            <w:r w:rsidRPr="001E55DD">
              <w:rPr>
                <w:rFonts w:ascii="Times New Roman" w:hAnsi="Times New Roman" w:cs="Times New Roman"/>
                <w:bCs/>
                <w:sz w:val="18"/>
                <w:szCs w:val="18"/>
                <w:lang w:val="en-GB"/>
              </w:rPr>
              <w:t>Receipt and disbursement of funds, House Bank management, bank reconciliations. Maintenance of banking details for staff, vendors, implementing partners and consultants. Investment of United Nations Environment Programme funds in the right products is managed by UNHQ Treasury.</w:t>
            </w:r>
          </w:p>
        </w:tc>
      </w:tr>
      <w:tr w:rsidR="00003D24" w:rsidRPr="001E55DD" w:rsidTr="00610002">
        <w:trPr>
          <w:trHeight w:val="353"/>
        </w:trPr>
        <w:tc>
          <w:tcPr>
            <w:tcW w:w="308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03D24" w:rsidRPr="001E55DD" w:rsidRDefault="00003D24" w:rsidP="00610002">
            <w:pPr>
              <w:pStyle w:val="TableParagraph"/>
              <w:spacing w:before="40" w:after="40"/>
              <w:ind w:left="103"/>
              <w:rPr>
                <w:rFonts w:ascii="Times New Roman" w:hAnsi="Times New Roman" w:cs="Times New Roman"/>
                <w:bCs/>
                <w:i/>
                <w:iCs/>
                <w:sz w:val="18"/>
                <w:szCs w:val="18"/>
                <w:lang w:val="en-GB"/>
              </w:rPr>
            </w:pPr>
            <w:r w:rsidRPr="001E55DD">
              <w:rPr>
                <w:rFonts w:ascii="Times New Roman" w:hAnsi="Times New Roman" w:cs="Times New Roman"/>
                <w:bCs/>
                <w:i/>
                <w:iCs/>
                <w:sz w:val="18"/>
                <w:szCs w:val="18"/>
                <w:lang w:val="en-GB"/>
              </w:rPr>
              <w:t>Oversight</w:t>
            </w:r>
          </w:p>
        </w:tc>
        <w:tc>
          <w:tcPr>
            <w:tcW w:w="641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03D24" w:rsidRPr="001E55DD" w:rsidRDefault="00003D24" w:rsidP="00610002">
            <w:pPr>
              <w:pStyle w:val="TableParagraph"/>
              <w:spacing w:before="40" w:after="40"/>
              <w:ind w:right="100"/>
              <w:rPr>
                <w:rFonts w:ascii="Times New Roman" w:hAnsi="Times New Roman" w:cs="Times New Roman"/>
                <w:bCs/>
                <w:sz w:val="18"/>
                <w:szCs w:val="18"/>
                <w:lang w:val="en-GB"/>
              </w:rPr>
            </w:pPr>
            <w:r w:rsidRPr="001E55DD">
              <w:rPr>
                <w:rFonts w:ascii="Times New Roman" w:hAnsi="Times New Roman" w:cs="Times New Roman"/>
                <w:bCs/>
                <w:sz w:val="18"/>
                <w:szCs w:val="18"/>
                <w:lang w:val="en-GB"/>
              </w:rPr>
              <w:t>Coordinate internal audit, investigation, inspection and external audit.</w:t>
            </w:r>
          </w:p>
        </w:tc>
      </w:tr>
      <w:tr w:rsidR="00003D24" w:rsidRPr="001E55DD" w:rsidTr="00610002">
        <w:trPr>
          <w:trHeight w:val="407"/>
        </w:trPr>
        <w:tc>
          <w:tcPr>
            <w:tcW w:w="308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003D24" w:rsidRPr="001E55DD" w:rsidRDefault="00003D24" w:rsidP="00610002">
            <w:pPr>
              <w:pStyle w:val="TableParagraph"/>
              <w:spacing w:before="40" w:after="40"/>
              <w:ind w:left="103"/>
              <w:rPr>
                <w:rFonts w:ascii="Times New Roman" w:hAnsi="Times New Roman" w:cs="Times New Roman"/>
                <w:b/>
                <w:sz w:val="18"/>
                <w:szCs w:val="18"/>
                <w:lang w:val="en-GB"/>
              </w:rPr>
            </w:pPr>
            <w:r w:rsidRPr="001E55DD">
              <w:rPr>
                <w:rFonts w:ascii="Times New Roman" w:hAnsi="Times New Roman" w:cs="Times New Roman"/>
                <w:b/>
                <w:sz w:val="18"/>
                <w:szCs w:val="18"/>
                <w:lang w:val="en-GB"/>
              </w:rPr>
              <w:t>Legal</w:t>
            </w:r>
          </w:p>
        </w:tc>
        <w:tc>
          <w:tcPr>
            <w:tcW w:w="641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003D24" w:rsidRPr="001E55DD" w:rsidRDefault="00003D24" w:rsidP="00610002">
            <w:pPr>
              <w:pStyle w:val="TableParagraph"/>
              <w:spacing w:before="40" w:after="40"/>
              <w:ind w:right="100"/>
              <w:rPr>
                <w:rFonts w:ascii="Times New Roman" w:hAnsi="Times New Roman" w:cs="Times New Roman"/>
                <w:bCs/>
                <w:sz w:val="18"/>
                <w:szCs w:val="18"/>
                <w:lang w:val="en-GB"/>
              </w:rPr>
            </w:pPr>
            <w:r w:rsidRPr="001E55DD">
              <w:rPr>
                <w:rFonts w:ascii="Times New Roman" w:hAnsi="Times New Roman" w:cs="Times New Roman"/>
                <w:b/>
                <w:sz w:val="18"/>
                <w:szCs w:val="18"/>
                <w:lang w:val="en-GB"/>
              </w:rPr>
              <w:t>Legal advice, opinions and representation in the Internal Justice System</w:t>
            </w:r>
            <w:r w:rsidRPr="001E55DD">
              <w:rPr>
                <w:rFonts w:ascii="Times New Roman" w:hAnsi="Times New Roman" w:cs="Times New Roman"/>
                <w:bCs/>
                <w:sz w:val="18"/>
                <w:szCs w:val="18"/>
                <w:lang w:val="en-GB"/>
              </w:rPr>
              <w:t>.</w:t>
            </w:r>
          </w:p>
        </w:tc>
      </w:tr>
      <w:tr w:rsidR="00003D24" w:rsidRPr="001E55DD" w:rsidTr="00610002">
        <w:trPr>
          <w:trHeight w:val="901"/>
        </w:trPr>
        <w:tc>
          <w:tcPr>
            <w:tcW w:w="308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003D24" w:rsidRPr="001E55DD" w:rsidRDefault="00003D24" w:rsidP="00610002">
            <w:pPr>
              <w:pStyle w:val="TableParagraph"/>
              <w:spacing w:before="40" w:after="40"/>
              <w:ind w:left="103"/>
              <w:rPr>
                <w:rFonts w:ascii="Times New Roman" w:hAnsi="Times New Roman" w:cs="Times New Roman"/>
                <w:bCs/>
                <w:i/>
                <w:iCs/>
                <w:sz w:val="18"/>
                <w:szCs w:val="18"/>
                <w:lang w:val="en-GB"/>
              </w:rPr>
            </w:pPr>
            <w:r w:rsidRPr="001E55DD">
              <w:rPr>
                <w:rFonts w:ascii="Times New Roman" w:hAnsi="Times New Roman" w:cs="Times New Roman"/>
                <w:bCs/>
                <w:i/>
                <w:iCs/>
                <w:sz w:val="18"/>
                <w:szCs w:val="18"/>
                <w:lang w:val="en-GB"/>
              </w:rPr>
              <w:t>Advisory and Representation</w:t>
            </w:r>
          </w:p>
        </w:tc>
        <w:tc>
          <w:tcPr>
            <w:tcW w:w="641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003D24" w:rsidRPr="001E55DD" w:rsidRDefault="00003D24" w:rsidP="00610002">
            <w:pPr>
              <w:pStyle w:val="TableParagraph"/>
              <w:spacing w:before="40" w:after="120"/>
              <w:ind w:right="102"/>
              <w:rPr>
                <w:rFonts w:ascii="Times New Roman" w:hAnsi="Times New Roman" w:cs="Times New Roman"/>
                <w:bCs/>
                <w:sz w:val="18"/>
                <w:szCs w:val="18"/>
                <w:lang w:val="en-GB"/>
              </w:rPr>
            </w:pPr>
            <w:r w:rsidRPr="001E55DD">
              <w:rPr>
                <w:rFonts w:ascii="Times New Roman" w:hAnsi="Times New Roman" w:cs="Times New Roman"/>
                <w:bCs/>
                <w:sz w:val="18"/>
                <w:szCs w:val="18"/>
                <w:lang w:val="en-GB"/>
              </w:rPr>
              <w:t>Provision of corporate legal advice and institutional support.</w:t>
            </w:r>
          </w:p>
          <w:p w:rsidR="00003D24" w:rsidRPr="001E55DD" w:rsidRDefault="00003D24" w:rsidP="00610002">
            <w:pPr>
              <w:pStyle w:val="TableParagraph"/>
              <w:spacing w:before="40" w:after="120"/>
              <w:ind w:right="102"/>
              <w:rPr>
                <w:rFonts w:ascii="Times New Roman" w:hAnsi="Times New Roman" w:cs="Times New Roman"/>
                <w:bCs/>
                <w:sz w:val="18"/>
                <w:szCs w:val="18"/>
                <w:lang w:val="en-GB"/>
              </w:rPr>
            </w:pPr>
            <w:r w:rsidRPr="001E55DD">
              <w:rPr>
                <w:rFonts w:ascii="Times New Roman" w:hAnsi="Times New Roman" w:cs="Times New Roman"/>
                <w:bCs/>
                <w:sz w:val="18"/>
                <w:szCs w:val="18"/>
                <w:lang w:val="en-GB"/>
              </w:rPr>
              <w:t>Representing the organisation before the Management Evaluation Unit with regards to requests filed by staff members. Representing the organisation at the United Nations Dispute Tribunal (UNDT) and provision of support to the Office of Legal Affairs with regards to appeals filed at the United Nations Appeals Tribunal.</w:t>
            </w:r>
          </w:p>
          <w:p w:rsidR="00003D24" w:rsidRPr="001E55DD" w:rsidRDefault="00003D24" w:rsidP="00610002">
            <w:pPr>
              <w:pStyle w:val="TableParagraph"/>
              <w:spacing w:before="40" w:after="120"/>
              <w:ind w:right="102"/>
              <w:rPr>
                <w:rFonts w:ascii="Times New Roman" w:hAnsi="Times New Roman" w:cs="Times New Roman"/>
                <w:bCs/>
                <w:sz w:val="18"/>
                <w:szCs w:val="18"/>
                <w:lang w:val="en-GB"/>
              </w:rPr>
            </w:pPr>
            <w:r w:rsidRPr="001E55DD">
              <w:rPr>
                <w:rFonts w:ascii="Times New Roman" w:hAnsi="Times New Roman" w:cs="Times New Roman"/>
                <w:bCs/>
                <w:sz w:val="18"/>
                <w:szCs w:val="18"/>
                <w:lang w:val="en-GB"/>
              </w:rPr>
              <w:t>Negotiating settlements of claims; provision of legal support and advice in mediation, conciliation and arbitration.</w:t>
            </w:r>
          </w:p>
          <w:p w:rsidR="00003D24" w:rsidRPr="001E55DD" w:rsidRDefault="00003D24" w:rsidP="00610002">
            <w:pPr>
              <w:pStyle w:val="TableParagraph"/>
              <w:spacing w:before="40" w:after="120"/>
              <w:ind w:right="102"/>
              <w:rPr>
                <w:rFonts w:ascii="Times New Roman" w:hAnsi="Times New Roman" w:cs="Times New Roman"/>
                <w:bCs/>
                <w:sz w:val="18"/>
                <w:szCs w:val="18"/>
                <w:lang w:val="en-GB"/>
              </w:rPr>
            </w:pPr>
            <w:r w:rsidRPr="001E55DD">
              <w:rPr>
                <w:rFonts w:ascii="Times New Roman" w:hAnsi="Times New Roman" w:cs="Times New Roman"/>
                <w:bCs/>
                <w:sz w:val="18"/>
                <w:szCs w:val="18"/>
                <w:lang w:val="en-GB"/>
              </w:rPr>
              <w:t>Legal and institutional support in disciplinary procedures; provision of legal advice in cases of alleged misconduct and relevant investigations.</w:t>
            </w:r>
          </w:p>
          <w:p w:rsidR="00003D24" w:rsidRPr="001E55DD" w:rsidRDefault="00003D24" w:rsidP="00610002">
            <w:pPr>
              <w:pStyle w:val="TableParagraph"/>
              <w:spacing w:before="40" w:after="120"/>
              <w:ind w:right="102"/>
              <w:rPr>
                <w:rFonts w:ascii="Times New Roman" w:hAnsi="Times New Roman" w:cs="Times New Roman"/>
                <w:bCs/>
                <w:sz w:val="18"/>
                <w:szCs w:val="18"/>
                <w:lang w:val="en-GB"/>
              </w:rPr>
            </w:pPr>
            <w:r w:rsidRPr="001E55DD">
              <w:rPr>
                <w:rFonts w:ascii="Times New Roman" w:hAnsi="Times New Roman" w:cs="Times New Roman"/>
                <w:bCs/>
                <w:sz w:val="18"/>
                <w:szCs w:val="18"/>
                <w:lang w:val="en-GB"/>
              </w:rPr>
              <w:t xml:space="preserve">Reviewing and clearing Host Country Agreements and legal instruments in accordance with the Delegation of Authority Policy and Framework for the </w:t>
            </w:r>
            <w:r w:rsidRPr="001E55DD">
              <w:rPr>
                <w:rFonts w:ascii="Times New Roman" w:hAnsi="Times New Roman" w:cs="Times New Roman"/>
                <w:bCs/>
                <w:sz w:val="18"/>
                <w:szCs w:val="18"/>
                <w:lang w:val="en-GB"/>
              </w:rPr>
              <w:lastRenderedPageBreak/>
              <w:t>Management and Administration of Multilateral Environmental Agreements.</w:t>
            </w:r>
          </w:p>
          <w:p w:rsidR="00003D24" w:rsidRPr="001E55DD" w:rsidRDefault="00003D24" w:rsidP="00610002">
            <w:pPr>
              <w:pStyle w:val="TableParagraph"/>
              <w:spacing w:before="40" w:after="120"/>
              <w:ind w:right="102"/>
              <w:rPr>
                <w:rFonts w:ascii="Times New Roman" w:hAnsi="Times New Roman" w:cs="Times New Roman"/>
                <w:bCs/>
                <w:sz w:val="18"/>
                <w:szCs w:val="18"/>
                <w:lang w:val="en-GB"/>
              </w:rPr>
            </w:pPr>
            <w:r w:rsidRPr="001E55DD">
              <w:rPr>
                <w:rFonts w:ascii="Times New Roman" w:hAnsi="Times New Roman" w:cs="Times New Roman"/>
                <w:bCs/>
                <w:sz w:val="18"/>
                <w:szCs w:val="18"/>
                <w:lang w:val="en-GB"/>
              </w:rPr>
              <w:t>Provision of legal advice on human resources issues e.g., interpretation of the Staff Regulations and Rules, advise on outside activities, separation from employment, settlements.</w:t>
            </w:r>
          </w:p>
          <w:p w:rsidR="00003D24" w:rsidRPr="001E55DD" w:rsidRDefault="00003D24" w:rsidP="00610002">
            <w:pPr>
              <w:pStyle w:val="TableParagraph"/>
              <w:spacing w:before="40" w:after="120"/>
              <w:ind w:right="102"/>
              <w:rPr>
                <w:rFonts w:ascii="Times New Roman" w:hAnsi="Times New Roman" w:cs="Times New Roman"/>
                <w:bCs/>
                <w:sz w:val="18"/>
                <w:szCs w:val="18"/>
                <w:lang w:val="en-GB"/>
              </w:rPr>
            </w:pPr>
            <w:r w:rsidRPr="001E55DD">
              <w:rPr>
                <w:rFonts w:ascii="Times New Roman" w:hAnsi="Times New Roman" w:cs="Times New Roman"/>
                <w:bCs/>
                <w:sz w:val="18"/>
                <w:szCs w:val="18"/>
                <w:lang w:val="en-GB"/>
              </w:rPr>
              <w:t>Coordinating audits, inspections and evaluations undertaken by the Office of Internal Oversight Services.</w:t>
            </w:r>
          </w:p>
          <w:p w:rsidR="00003D24" w:rsidRPr="001E55DD" w:rsidRDefault="00003D24" w:rsidP="00610002">
            <w:pPr>
              <w:pStyle w:val="TableParagraph"/>
              <w:spacing w:before="40" w:after="120"/>
              <w:ind w:right="102"/>
              <w:rPr>
                <w:rFonts w:ascii="Times New Roman" w:hAnsi="Times New Roman" w:cs="Times New Roman"/>
                <w:bCs/>
                <w:sz w:val="18"/>
                <w:szCs w:val="18"/>
                <w:lang w:val="en-GB"/>
              </w:rPr>
            </w:pPr>
            <w:r w:rsidRPr="001E55DD">
              <w:rPr>
                <w:rFonts w:ascii="Times New Roman" w:hAnsi="Times New Roman" w:cs="Times New Roman"/>
                <w:bCs/>
                <w:sz w:val="18"/>
                <w:szCs w:val="18"/>
                <w:lang w:val="en-GB"/>
              </w:rPr>
              <w:t>Providing advice on engaging with implementing partners, provision of templates for this purpose.</w:t>
            </w:r>
          </w:p>
        </w:tc>
      </w:tr>
      <w:tr w:rsidR="00003D24" w:rsidRPr="001E55DD" w:rsidTr="00610002">
        <w:trPr>
          <w:trHeight w:val="587"/>
        </w:trPr>
        <w:tc>
          <w:tcPr>
            <w:tcW w:w="308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03D24" w:rsidRPr="001E55DD" w:rsidRDefault="00003D24" w:rsidP="00610002">
            <w:pPr>
              <w:pStyle w:val="TableParagraph"/>
              <w:keepNext/>
              <w:keepLines/>
              <w:spacing w:before="40" w:after="40"/>
              <w:ind w:left="103"/>
              <w:rPr>
                <w:rFonts w:ascii="Times New Roman" w:hAnsi="Times New Roman" w:cs="Times New Roman"/>
                <w:b/>
                <w:sz w:val="18"/>
                <w:szCs w:val="18"/>
                <w:lang w:val="en-GB"/>
              </w:rPr>
            </w:pPr>
            <w:r w:rsidRPr="001E55DD">
              <w:rPr>
                <w:rFonts w:ascii="Times New Roman" w:hAnsi="Times New Roman" w:cs="Times New Roman"/>
                <w:b/>
                <w:sz w:val="18"/>
                <w:szCs w:val="18"/>
                <w:lang w:val="en-GB"/>
              </w:rPr>
              <w:lastRenderedPageBreak/>
              <w:t>Support Services</w:t>
            </w:r>
          </w:p>
        </w:tc>
        <w:tc>
          <w:tcPr>
            <w:tcW w:w="641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03D24" w:rsidRPr="001E55DD" w:rsidRDefault="00003D24" w:rsidP="00610002">
            <w:pPr>
              <w:pStyle w:val="TableParagraph"/>
              <w:keepNext/>
              <w:keepLines/>
              <w:spacing w:before="40" w:after="40"/>
              <w:ind w:right="100"/>
              <w:rPr>
                <w:rFonts w:ascii="Times New Roman" w:hAnsi="Times New Roman" w:cs="Times New Roman"/>
                <w:b/>
                <w:sz w:val="18"/>
                <w:szCs w:val="18"/>
                <w:lang w:val="en-GB"/>
              </w:rPr>
            </w:pPr>
            <w:r w:rsidRPr="001E55DD">
              <w:rPr>
                <w:rFonts w:ascii="Times New Roman" w:hAnsi="Times New Roman" w:cs="Times New Roman"/>
                <w:b/>
                <w:sz w:val="18"/>
                <w:szCs w:val="18"/>
                <w:lang w:val="en-GB"/>
              </w:rPr>
              <w:t>Services to support operations including office space, premises, host country arrangements and protocols.</w:t>
            </w:r>
          </w:p>
        </w:tc>
      </w:tr>
      <w:tr w:rsidR="00003D24" w:rsidRPr="001E55DD" w:rsidTr="00610002">
        <w:trPr>
          <w:trHeight w:val="1812"/>
        </w:trPr>
        <w:tc>
          <w:tcPr>
            <w:tcW w:w="308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03D24" w:rsidRPr="001E55DD" w:rsidRDefault="00003D24" w:rsidP="00610002">
            <w:pPr>
              <w:pStyle w:val="TableParagraph"/>
              <w:keepNext/>
              <w:keepLines/>
              <w:spacing w:before="40" w:after="40"/>
              <w:ind w:left="103"/>
              <w:rPr>
                <w:rFonts w:ascii="Times New Roman" w:hAnsi="Times New Roman" w:cs="Times New Roman"/>
                <w:bCs/>
                <w:i/>
                <w:iCs/>
                <w:sz w:val="18"/>
                <w:szCs w:val="18"/>
                <w:lang w:val="en-GB"/>
              </w:rPr>
            </w:pPr>
            <w:r w:rsidRPr="001E55DD">
              <w:rPr>
                <w:rFonts w:ascii="Times New Roman" w:hAnsi="Times New Roman" w:cs="Times New Roman"/>
                <w:bCs/>
                <w:i/>
                <w:iCs/>
                <w:sz w:val="18"/>
                <w:szCs w:val="18"/>
                <w:lang w:val="en-GB"/>
              </w:rPr>
              <w:t>Contracts and Procurement</w:t>
            </w:r>
          </w:p>
        </w:tc>
        <w:tc>
          <w:tcPr>
            <w:tcW w:w="641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03D24" w:rsidRPr="001E55DD" w:rsidRDefault="00003D24" w:rsidP="00610002">
            <w:pPr>
              <w:pStyle w:val="TableParagraph"/>
              <w:keepNext/>
              <w:keepLines/>
              <w:spacing w:before="40" w:after="40"/>
              <w:ind w:right="100"/>
              <w:rPr>
                <w:rFonts w:ascii="Times New Roman" w:hAnsi="Times New Roman" w:cs="Times New Roman"/>
                <w:bCs/>
                <w:sz w:val="18"/>
                <w:szCs w:val="18"/>
                <w:lang w:val="en-GB"/>
              </w:rPr>
            </w:pPr>
            <w:r w:rsidRPr="001E55DD">
              <w:rPr>
                <w:rFonts w:ascii="Times New Roman" w:hAnsi="Times New Roman" w:cs="Times New Roman"/>
                <w:bCs/>
                <w:sz w:val="18"/>
                <w:szCs w:val="18"/>
                <w:lang w:val="en-GB"/>
              </w:rPr>
              <w:t xml:space="preserve">Supervising procurement related functions and providing advice on procurement proposals of significant financial or operational impact; reviewing the proposed strategy/approach to best serve office’s interests. Providing oversight over the service providers. Representation at the </w:t>
            </w:r>
            <w:proofErr w:type="gramStart"/>
            <w:r w:rsidRPr="001E55DD">
              <w:rPr>
                <w:rFonts w:ascii="Times New Roman" w:hAnsi="Times New Roman" w:cs="Times New Roman"/>
                <w:bCs/>
                <w:sz w:val="18"/>
                <w:szCs w:val="18"/>
                <w:lang w:val="en-GB"/>
              </w:rPr>
              <w:t>High Level</w:t>
            </w:r>
            <w:proofErr w:type="gramEnd"/>
            <w:r w:rsidRPr="001E55DD">
              <w:rPr>
                <w:rFonts w:ascii="Times New Roman" w:hAnsi="Times New Roman" w:cs="Times New Roman"/>
                <w:bCs/>
                <w:sz w:val="18"/>
                <w:szCs w:val="18"/>
                <w:lang w:val="en-GB"/>
              </w:rPr>
              <w:t xml:space="preserve"> Committee on Management Procurement Network on development of policies and procedures of interest to the office. Liaising with the contracts committee for the preparation and presentation of cases for approval and addressing to follow-up queries. Provision of general contract administration services including amendment, extension or closure. </w:t>
            </w:r>
          </w:p>
        </w:tc>
      </w:tr>
      <w:tr w:rsidR="00003D24" w:rsidRPr="001E55DD" w:rsidTr="00610002">
        <w:trPr>
          <w:trHeight w:val="842"/>
        </w:trPr>
        <w:tc>
          <w:tcPr>
            <w:tcW w:w="308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03D24" w:rsidRPr="001E55DD" w:rsidRDefault="00003D24" w:rsidP="00610002">
            <w:pPr>
              <w:pStyle w:val="TableParagraph"/>
              <w:spacing w:before="40" w:after="40"/>
              <w:ind w:left="103"/>
              <w:rPr>
                <w:rFonts w:ascii="Times New Roman" w:hAnsi="Times New Roman" w:cs="Times New Roman"/>
                <w:bCs/>
                <w:i/>
                <w:iCs/>
                <w:sz w:val="18"/>
                <w:szCs w:val="18"/>
                <w:lang w:val="en-GB"/>
              </w:rPr>
            </w:pPr>
            <w:r w:rsidRPr="001E55DD">
              <w:rPr>
                <w:rFonts w:ascii="Times New Roman" w:hAnsi="Times New Roman" w:cs="Times New Roman"/>
                <w:bCs/>
                <w:i/>
                <w:iCs/>
                <w:sz w:val="18"/>
                <w:szCs w:val="18"/>
                <w:lang w:val="en-GB"/>
              </w:rPr>
              <w:t>Inventory / Asset Management</w:t>
            </w:r>
          </w:p>
        </w:tc>
        <w:tc>
          <w:tcPr>
            <w:tcW w:w="641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03D24" w:rsidRPr="001E55DD" w:rsidRDefault="00003D24" w:rsidP="00610002">
            <w:pPr>
              <w:pStyle w:val="TableParagraph"/>
              <w:spacing w:before="40" w:after="40"/>
              <w:ind w:right="100"/>
              <w:rPr>
                <w:rFonts w:ascii="Times New Roman" w:hAnsi="Times New Roman" w:cs="Times New Roman"/>
                <w:bCs/>
                <w:sz w:val="18"/>
                <w:szCs w:val="18"/>
                <w:lang w:val="en-GB"/>
              </w:rPr>
            </w:pPr>
            <w:r w:rsidRPr="001E55DD">
              <w:rPr>
                <w:rFonts w:ascii="Times New Roman" w:hAnsi="Times New Roman" w:cs="Times New Roman"/>
                <w:bCs/>
                <w:sz w:val="18"/>
                <w:szCs w:val="18"/>
                <w:lang w:val="en-GB"/>
              </w:rPr>
              <w:t>Provision of services to manage inventory of equipment items and assets including bar coding, maintain records and track movement of items; conduct physical inventories; process the disposal of obsolete and unserviceable items.</w:t>
            </w:r>
          </w:p>
        </w:tc>
      </w:tr>
      <w:tr w:rsidR="00003D24" w:rsidRPr="001E55DD" w:rsidTr="00610002">
        <w:trPr>
          <w:trHeight w:val="901"/>
        </w:trPr>
        <w:tc>
          <w:tcPr>
            <w:tcW w:w="308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03D24" w:rsidRPr="001E55DD" w:rsidRDefault="00003D24" w:rsidP="00610002">
            <w:pPr>
              <w:pStyle w:val="TableParagraph"/>
              <w:spacing w:before="40" w:after="40"/>
              <w:ind w:left="103"/>
              <w:rPr>
                <w:rFonts w:ascii="Times New Roman" w:hAnsi="Times New Roman" w:cs="Times New Roman"/>
                <w:bCs/>
                <w:i/>
                <w:iCs/>
                <w:sz w:val="18"/>
                <w:szCs w:val="18"/>
                <w:lang w:val="en-GB"/>
              </w:rPr>
            </w:pPr>
            <w:r w:rsidRPr="001E55DD">
              <w:rPr>
                <w:rFonts w:ascii="Times New Roman" w:hAnsi="Times New Roman" w:cs="Times New Roman"/>
                <w:bCs/>
                <w:i/>
                <w:iCs/>
                <w:sz w:val="18"/>
                <w:szCs w:val="18"/>
                <w:lang w:val="en-GB"/>
              </w:rPr>
              <w:t>Travel, Shipping and Visa</w:t>
            </w:r>
          </w:p>
        </w:tc>
        <w:tc>
          <w:tcPr>
            <w:tcW w:w="641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03D24" w:rsidRPr="001E55DD" w:rsidRDefault="00003D24" w:rsidP="00610002">
            <w:pPr>
              <w:pStyle w:val="TableParagraph"/>
              <w:spacing w:before="40" w:after="40"/>
              <w:ind w:right="100"/>
              <w:rPr>
                <w:rFonts w:ascii="Times New Roman" w:hAnsi="Times New Roman" w:cs="Times New Roman"/>
                <w:bCs/>
                <w:sz w:val="18"/>
                <w:szCs w:val="18"/>
                <w:lang w:val="en-GB"/>
              </w:rPr>
            </w:pPr>
            <w:r w:rsidRPr="001E55DD">
              <w:rPr>
                <w:rFonts w:ascii="Times New Roman" w:hAnsi="Times New Roman" w:cs="Times New Roman"/>
                <w:bCs/>
                <w:sz w:val="18"/>
                <w:szCs w:val="18"/>
                <w:lang w:val="en-GB"/>
              </w:rPr>
              <w:t>Providing advice on developments in Secretariat travel policies and procedures. Processing travel for staff members, consultants and meeting participants for official purposes and staff entitlement related travel; management of travel agent contract and airline negotiations. Shipping services, handled through external vendors under contracts include all aspects of incoming and outgoing official shipments of organizational goods and property as well as staff members' personal effects during recruitment, transfer and separation.</w:t>
            </w:r>
          </w:p>
        </w:tc>
      </w:tr>
      <w:tr w:rsidR="00003D24" w:rsidRPr="001E55DD" w:rsidTr="00610002">
        <w:trPr>
          <w:trHeight w:val="1165"/>
        </w:trPr>
        <w:tc>
          <w:tcPr>
            <w:tcW w:w="3085" w:type="dxa"/>
            <w:tcBorders>
              <w:top w:val="single" w:sz="4" w:space="0" w:color="000000"/>
              <w:left w:val="single" w:sz="4" w:space="0" w:color="000000"/>
              <w:right w:val="single" w:sz="4" w:space="0" w:color="000000"/>
            </w:tcBorders>
            <w:shd w:val="clear" w:color="auto" w:fill="FFFFFF" w:themeFill="background1"/>
          </w:tcPr>
          <w:p w:rsidR="00003D24" w:rsidRPr="001E55DD" w:rsidRDefault="00003D24" w:rsidP="00610002">
            <w:pPr>
              <w:pStyle w:val="TableParagraph"/>
              <w:spacing w:before="40" w:after="40"/>
              <w:ind w:left="103"/>
              <w:rPr>
                <w:rFonts w:ascii="Times New Roman" w:hAnsi="Times New Roman" w:cs="Times New Roman"/>
                <w:bCs/>
                <w:i/>
                <w:iCs/>
                <w:sz w:val="18"/>
                <w:szCs w:val="18"/>
                <w:lang w:val="en-GB"/>
              </w:rPr>
            </w:pPr>
            <w:r w:rsidRPr="001E55DD">
              <w:rPr>
                <w:rFonts w:ascii="Times New Roman" w:hAnsi="Times New Roman" w:cs="Times New Roman"/>
                <w:bCs/>
                <w:i/>
                <w:iCs/>
                <w:sz w:val="18"/>
                <w:szCs w:val="18"/>
                <w:lang w:val="en-GB"/>
              </w:rPr>
              <w:t>Host Country Relations</w:t>
            </w:r>
          </w:p>
        </w:tc>
        <w:tc>
          <w:tcPr>
            <w:tcW w:w="6415" w:type="dxa"/>
            <w:tcBorders>
              <w:top w:val="single" w:sz="4" w:space="0" w:color="000000"/>
              <w:left w:val="single" w:sz="4" w:space="0" w:color="000000"/>
              <w:right w:val="single" w:sz="4" w:space="0" w:color="000000"/>
            </w:tcBorders>
            <w:shd w:val="clear" w:color="auto" w:fill="FFFFFF" w:themeFill="background1"/>
          </w:tcPr>
          <w:p w:rsidR="00003D24" w:rsidRPr="001E55DD" w:rsidRDefault="00003D24" w:rsidP="00610002">
            <w:pPr>
              <w:pStyle w:val="TableParagraph"/>
              <w:spacing w:before="40" w:after="40"/>
              <w:ind w:right="100"/>
              <w:rPr>
                <w:rFonts w:ascii="Times New Roman" w:hAnsi="Times New Roman" w:cs="Times New Roman"/>
                <w:bCs/>
                <w:sz w:val="18"/>
                <w:szCs w:val="18"/>
                <w:lang w:val="en-GB"/>
              </w:rPr>
            </w:pPr>
            <w:r w:rsidRPr="001E55DD">
              <w:rPr>
                <w:rFonts w:ascii="Times New Roman" w:hAnsi="Times New Roman" w:cs="Times New Roman"/>
                <w:bCs/>
                <w:sz w:val="18"/>
                <w:szCs w:val="18"/>
                <w:lang w:val="en-GB"/>
              </w:rPr>
              <w:t>In addition to administering the hosting agreement with the country of duty station, the services include re-entry passes of staff and dependents, consultants and interns; duty free import of goods and fuel; tax exemptions; registration of vehicles, issuance/renewal of driving licenses and transfer of ownership; processing special visa request in emergency situations and for VIPs.</w:t>
            </w:r>
          </w:p>
        </w:tc>
      </w:tr>
      <w:tr w:rsidR="00003D24" w:rsidRPr="001E55DD" w:rsidTr="00610002">
        <w:trPr>
          <w:trHeight w:val="730"/>
        </w:trPr>
        <w:tc>
          <w:tcPr>
            <w:tcW w:w="308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03D24" w:rsidRPr="001E55DD" w:rsidRDefault="00003D24" w:rsidP="00610002">
            <w:pPr>
              <w:pStyle w:val="TableParagraph"/>
              <w:spacing w:before="40" w:after="40"/>
              <w:ind w:left="103"/>
              <w:rPr>
                <w:rFonts w:ascii="Times New Roman" w:hAnsi="Times New Roman" w:cs="Times New Roman"/>
                <w:bCs/>
                <w:i/>
                <w:iCs/>
                <w:sz w:val="18"/>
                <w:szCs w:val="18"/>
                <w:lang w:val="en-GB"/>
              </w:rPr>
            </w:pPr>
            <w:r w:rsidRPr="001E55DD">
              <w:rPr>
                <w:rFonts w:ascii="Times New Roman" w:hAnsi="Times New Roman" w:cs="Times New Roman"/>
                <w:bCs/>
                <w:i/>
                <w:iCs/>
                <w:sz w:val="18"/>
                <w:szCs w:val="18"/>
                <w:lang w:val="en-GB"/>
              </w:rPr>
              <w:t>Facilities Management</w:t>
            </w:r>
          </w:p>
        </w:tc>
        <w:tc>
          <w:tcPr>
            <w:tcW w:w="641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03D24" w:rsidRPr="001E55DD" w:rsidRDefault="00003D24" w:rsidP="00610002">
            <w:pPr>
              <w:pStyle w:val="TableParagraph"/>
              <w:spacing w:before="40" w:after="40"/>
              <w:ind w:right="100"/>
              <w:rPr>
                <w:rFonts w:ascii="Times New Roman" w:hAnsi="Times New Roman" w:cs="Times New Roman"/>
                <w:bCs/>
                <w:sz w:val="18"/>
                <w:szCs w:val="18"/>
                <w:lang w:val="en-GB"/>
              </w:rPr>
            </w:pPr>
            <w:r w:rsidRPr="001E55DD">
              <w:rPr>
                <w:rFonts w:ascii="Times New Roman" w:hAnsi="Times New Roman" w:cs="Times New Roman"/>
                <w:bCs/>
                <w:sz w:val="18"/>
                <w:szCs w:val="18"/>
                <w:lang w:val="en-GB"/>
              </w:rPr>
              <w:t>Provision of comfortable and efficient working environment for the staff well as for the visitors by maintaining office premises including gardening and parking areas; utilities’ supply and maintenance of security systems.</w:t>
            </w:r>
          </w:p>
        </w:tc>
      </w:tr>
      <w:tr w:rsidR="00003D24" w:rsidRPr="001E55DD" w:rsidTr="00610002">
        <w:trPr>
          <w:trHeight w:val="901"/>
        </w:trPr>
        <w:tc>
          <w:tcPr>
            <w:tcW w:w="308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03D24" w:rsidRPr="001E55DD" w:rsidRDefault="00003D24" w:rsidP="00610002">
            <w:pPr>
              <w:pStyle w:val="TableParagraph"/>
              <w:spacing w:before="40" w:after="40"/>
              <w:ind w:left="103"/>
              <w:rPr>
                <w:rFonts w:ascii="Times New Roman" w:hAnsi="Times New Roman" w:cs="Times New Roman"/>
                <w:bCs/>
                <w:i/>
                <w:iCs/>
                <w:sz w:val="18"/>
                <w:szCs w:val="18"/>
                <w:lang w:val="en-GB"/>
              </w:rPr>
            </w:pPr>
            <w:r w:rsidRPr="001E55DD">
              <w:rPr>
                <w:rFonts w:ascii="Times New Roman" w:hAnsi="Times New Roman" w:cs="Times New Roman"/>
                <w:bCs/>
                <w:i/>
                <w:iCs/>
                <w:sz w:val="18"/>
                <w:szCs w:val="18"/>
                <w:lang w:val="en-GB"/>
              </w:rPr>
              <w:t>Mail Pouch</w:t>
            </w:r>
          </w:p>
        </w:tc>
        <w:tc>
          <w:tcPr>
            <w:tcW w:w="641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03D24" w:rsidRPr="001E55DD" w:rsidRDefault="00003D24" w:rsidP="00610002">
            <w:pPr>
              <w:pStyle w:val="TableParagraph"/>
              <w:spacing w:before="40" w:after="40"/>
              <w:ind w:right="100"/>
              <w:rPr>
                <w:rFonts w:ascii="Times New Roman" w:hAnsi="Times New Roman" w:cs="Times New Roman"/>
                <w:bCs/>
                <w:sz w:val="18"/>
                <w:szCs w:val="18"/>
                <w:lang w:val="en-GB"/>
              </w:rPr>
            </w:pPr>
            <w:r w:rsidRPr="001E55DD">
              <w:rPr>
                <w:rFonts w:ascii="Times New Roman" w:hAnsi="Times New Roman" w:cs="Times New Roman"/>
                <w:bCs/>
                <w:sz w:val="18"/>
                <w:szCs w:val="18"/>
                <w:lang w:val="en-GB"/>
              </w:rPr>
              <w:t xml:space="preserve">Providing mail, diplomatic pouch and international courier services; dispatching outbound mail; sorting and delivering all incoming mail; advising on different mail services </w:t>
            </w:r>
            <w:proofErr w:type="spellStart"/>
            <w:r w:rsidRPr="001E55DD">
              <w:rPr>
                <w:rFonts w:ascii="Times New Roman" w:hAnsi="Times New Roman" w:cs="Times New Roman"/>
                <w:bCs/>
                <w:sz w:val="18"/>
                <w:szCs w:val="18"/>
                <w:lang w:val="en-GB"/>
              </w:rPr>
              <w:t>i.e</w:t>
            </w:r>
            <w:proofErr w:type="spellEnd"/>
            <w:r w:rsidRPr="001E55DD">
              <w:rPr>
                <w:rFonts w:ascii="Times New Roman" w:hAnsi="Times New Roman" w:cs="Times New Roman"/>
                <w:bCs/>
                <w:sz w:val="18"/>
                <w:szCs w:val="18"/>
                <w:lang w:val="en-GB"/>
              </w:rPr>
              <w:t xml:space="preserve"> postal, international express courier and diplomatic pouch, including but not limited to cost, transit days, document preparation, etc.</w:t>
            </w:r>
          </w:p>
        </w:tc>
      </w:tr>
      <w:tr w:rsidR="00003D24" w:rsidRPr="001E55DD" w:rsidTr="00610002">
        <w:trPr>
          <w:trHeight w:val="901"/>
        </w:trPr>
        <w:tc>
          <w:tcPr>
            <w:tcW w:w="308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03D24" w:rsidRPr="001E55DD" w:rsidRDefault="00003D24" w:rsidP="00610002">
            <w:pPr>
              <w:pStyle w:val="TableParagraph"/>
              <w:spacing w:before="40" w:after="40"/>
              <w:ind w:left="103"/>
              <w:rPr>
                <w:rFonts w:ascii="Times New Roman" w:hAnsi="Times New Roman" w:cs="Times New Roman"/>
                <w:bCs/>
                <w:i/>
                <w:iCs/>
                <w:sz w:val="18"/>
                <w:szCs w:val="18"/>
                <w:lang w:val="en-GB"/>
              </w:rPr>
            </w:pPr>
            <w:r w:rsidRPr="001E55DD">
              <w:rPr>
                <w:rFonts w:ascii="Times New Roman" w:hAnsi="Times New Roman" w:cs="Times New Roman"/>
                <w:bCs/>
                <w:i/>
                <w:iCs/>
                <w:sz w:val="18"/>
                <w:szCs w:val="18"/>
                <w:lang w:val="en-GB"/>
              </w:rPr>
              <w:t>Archives/Document Management</w:t>
            </w:r>
          </w:p>
        </w:tc>
        <w:tc>
          <w:tcPr>
            <w:tcW w:w="641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03D24" w:rsidRPr="001E55DD" w:rsidRDefault="00003D24" w:rsidP="00610002">
            <w:pPr>
              <w:pStyle w:val="TableParagraph"/>
              <w:spacing w:before="40" w:after="120"/>
              <w:ind w:right="102"/>
              <w:rPr>
                <w:rFonts w:ascii="Times New Roman" w:hAnsi="Times New Roman" w:cs="Times New Roman"/>
                <w:bCs/>
                <w:sz w:val="18"/>
                <w:szCs w:val="18"/>
                <w:lang w:val="en-GB"/>
              </w:rPr>
            </w:pPr>
            <w:r w:rsidRPr="001E55DD">
              <w:rPr>
                <w:rFonts w:ascii="Times New Roman" w:hAnsi="Times New Roman" w:cs="Times New Roman"/>
                <w:bCs/>
                <w:sz w:val="18"/>
                <w:szCs w:val="18"/>
                <w:lang w:val="en-GB"/>
              </w:rPr>
              <w:t>Advising on and overseeing the implementation of policies for the management of archives in accordance with established archival standards and practices</w:t>
            </w:r>
            <w:hyperlink w:anchor="_bookmark0" w:history="1">
              <w:r w:rsidRPr="001E55DD">
                <w:rPr>
                  <w:rStyle w:val="Hyperlink"/>
                  <w:rFonts w:cs="Times New Roman"/>
                  <w:sz w:val="18"/>
                  <w:szCs w:val="18"/>
                  <w:lang w:val="en-GB"/>
                </w:rPr>
                <w:t>.</w:t>
              </w:r>
            </w:hyperlink>
          </w:p>
          <w:p w:rsidR="00003D24" w:rsidRPr="001E55DD" w:rsidRDefault="00003D24" w:rsidP="00610002">
            <w:pPr>
              <w:pStyle w:val="TableParagraph"/>
              <w:spacing w:before="40" w:after="40"/>
              <w:ind w:right="100"/>
              <w:rPr>
                <w:rFonts w:ascii="Times New Roman" w:hAnsi="Times New Roman" w:cs="Times New Roman"/>
                <w:bCs/>
                <w:sz w:val="18"/>
                <w:szCs w:val="18"/>
                <w:lang w:val="en-GB"/>
              </w:rPr>
            </w:pPr>
            <w:r w:rsidRPr="001E55DD">
              <w:rPr>
                <w:rFonts w:ascii="Times New Roman" w:hAnsi="Times New Roman" w:cs="Times New Roman"/>
                <w:bCs/>
                <w:sz w:val="18"/>
                <w:szCs w:val="18"/>
                <w:lang w:val="en-GB"/>
              </w:rPr>
              <w:t>Maintaining and managing archives.</w:t>
            </w:r>
          </w:p>
        </w:tc>
      </w:tr>
      <w:tr w:rsidR="00003D24" w:rsidRPr="001E55DD" w:rsidTr="00610002">
        <w:trPr>
          <w:trHeight w:val="712"/>
        </w:trPr>
        <w:tc>
          <w:tcPr>
            <w:tcW w:w="308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03D24" w:rsidRPr="001E55DD" w:rsidRDefault="00003D24" w:rsidP="00610002">
            <w:pPr>
              <w:pStyle w:val="TableParagraph"/>
              <w:spacing w:before="40" w:after="40"/>
              <w:ind w:left="103"/>
              <w:rPr>
                <w:rFonts w:ascii="Times New Roman" w:hAnsi="Times New Roman" w:cs="Times New Roman"/>
                <w:bCs/>
                <w:i/>
                <w:iCs/>
                <w:sz w:val="18"/>
                <w:szCs w:val="18"/>
                <w:lang w:val="en-GB"/>
              </w:rPr>
            </w:pPr>
            <w:r w:rsidRPr="001E55DD">
              <w:rPr>
                <w:rFonts w:ascii="Times New Roman" w:hAnsi="Times New Roman" w:cs="Times New Roman"/>
                <w:bCs/>
                <w:i/>
                <w:iCs/>
                <w:sz w:val="18"/>
                <w:szCs w:val="18"/>
                <w:lang w:val="en-GB"/>
              </w:rPr>
              <w:t>Security and Safety</w:t>
            </w:r>
          </w:p>
        </w:tc>
        <w:tc>
          <w:tcPr>
            <w:tcW w:w="641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03D24" w:rsidRPr="001E55DD" w:rsidRDefault="00003D24" w:rsidP="00610002">
            <w:pPr>
              <w:pStyle w:val="TableParagraph"/>
              <w:spacing w:before="40" w:after="40"/>
              <w:ind w:right="100"/>
              <w:rPr>
                <w:rFonts w:ascii="Times New Roman" w:hAnsi="Times New Roman" w:cs="Times New Roman"/>
                <w:bCs/>
                <w:sz w:val="18"/>
                <w:szCs w:val="18"/>
                <w:lang w:val="en-GB"/>
              </w:rPr>
            </w:pPr>
            <w:r w:rsidRPr="001E55DD">
              <w:rPr>
                <w:rFonts w:ascii="Times New Roman" w:hAnsi="Times New Roman" w:cs="Times New Roman"/>
                <w:bCs/>
                <w:sz w:val="18"/>
                <w:szCs w:val="18"/>
                <w:lang w:val="en-GB"/>
              </w:rPr>
              <w:t xml:space="preserve">Protection of UN personnel and property by providing a safe and secure work environment and regular security advisories; issuance of IDs for staff and visitors to the UN offices. </w:t>
            </w:r>
          </w:p>
        </w:tc>
      </w:tr>
      <w:tr w:rsidR="00003D24" w:rsidRPr="001E55DD" w:rsidTr="00610002">
        <w:trPr>
          <w:trHeight w:val="901"/>
        </w:trPr>
        <w:tc>
          <w:tcPr>
            <w:tcW w:w="308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03D24" w:rsidRPr="001E55DD" w:rsidRDefault="00003D24" w:rsidP="00610002">
            <w:pPr>
              <w:pStyle w:val="TableParagraph"/>
              <w:spacing w:before="40" w:after="40"/>
              <w:ind w:left="103"/>
              <w:rPr>
                <w:rFonts w:ascii="Times New Roman" w:hAnsi="Times New Roman" w:cs="Times New Roman"/>
                <w:bCs/>
                <w:i/>
                <w:iCs/>
                <w:sz w:val="18"/>
                <w:szCs w:val="18"/>
                <w:lang w:val="en-GB"/>
              </w:rPr>
            </w:pPr>
            <w:r w:rsidRPr="001E55DD">
              <w:rPr>
                <w:rFonts w:ascii="Times New Roman" w:hAnsi="Times New Roman" w:cs="Times New Roman"/>
                <w:bCs/>
                <w:i/>
                <w:iCs/>
                <w:sz w:val="18"/>
                <w:szCs w:val="18"/>
                <w:lang w:val="en-GB"/>
              </w:rPr>
              <w:t>Enterprise Resource Programme (ERP)</w:t>
            </w:r>
          </w:p>
          <w:p w:rsidR="00003D24" w:rsidRPr="001E55DD" w:rsidRDefault="00003D24" w:rsidP="00610002">
            <w:pPr>
              <w:pStyle w:val="TableParagraph"/>
              <w:spacing w:before="40" w:after="40"/>
              <w:ind w:left="103"/>
              <w:rPr>
                <w:rFonts w:ascii="Times New Roman" w:hAnsi="Times New Roman" w:cs="Times New Roman"/>
                <w:bCs/>
                <w:i/>
                <w:iCs/>
                <w:sz w:val="18"/>
                <w:szCs w:val="18"/>
                <w:lang w:val="en-GB"/>
              </w:rPr>
            </w:pPr>
            <w:r w:rsidRPr="001E55DD">
              <w:rPr>
                <w:rFonts w:ascii="Times New Roman" w:hAnsi="Times New Roman" w:cs="Times New Roman"/>
                <w:bCs/>
                <w:i/>
                <w:iCs/>
                <w:sz w:val="18"/>
                <w:szCs w:val="18"/>
                <w:lang w:val="en-GB"/>
              </w:rPr>
              <w:t>– Umoja***</w:t>
            </w:r>
          </w:p>
        </w:tc>
        <w:tc>
          <w:tcPr>
            <w:tcW w:w="641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03D24" w:rsidRPr="001E55DD" w:rsidRDefault="00003D24" w:rsidP="00610002">
            <w:pPr>
              <w:pStyle w:val="TableParagraph"/>
              <w:spacing w:before="40" w:after="120"/>
              <w:ind w:right="102"/>
              <w:rPr>
                <w:rFonts w:ascii="Times New Roman" w:hAnsi="Times New Roman" w:cs="Times New Roman"/>
                <w:bCs/>
                <w:sz w:val="18"/>
                <w:szCs w:val="18"/>
                <w:lang w:val="en-GB"/>
              </w:rPr>
            </w:pPr>
            <w:r w:rsidRPr="001E55DD">
              <w:rPr>
                <w:rFonts w:ascii="Times New Roman" w:hAnsi="Times New Roman" w:cs="Times New Roman"/>
                <w:bCs/>
                <w:sz w:val="18"/>
                <w:szCs w:val="18"/>
                <w:lang w:val="en-GB"/>
              </w:rPr>
              <w:t>Advising on all aspects of workflow analysis, business process reengineering and organizational transformation</w:t>
            </w:r>
            <w:hyperlink w:anchor="_bookmark0" w:history="1">
              <w:r w:rsidRPr="001E55DD">
                <w:rPr>
                  <w:rStyle w:val="Hyperlink"/>
                  <w:rFonts w:cs="Times New Roman"/>
                  <w:sz w:val="18"/>
                  <w:szCs w:val="18"/>
                  <w:lang w:val="en-GB"/>
                </w:rPr>
                <w:t>.</w:t>
              </w:r>
            </w:hyperlink>
          </w:p>
          <w:p w:rsidR="00003D24" w:rsidRPr="001E55DD" w:rsidRDefault="00003D24" w:rsidP="00610002">
            <w:pPr>
              <w:pStyle w:val="TableParagraph"/>
              <w:spacing w:before="40" w:after="40"/>
              <w:ind w:right="100"/>
              <w:rPr>
                <w:rFonts w:ascii="Times New Roman" w:hAnsi="Times New Roman" w:cs="Times New Roman"/>
                <w:bCs/>
                <w:sz w:val="18"/>
                <w:szCs w:val="18"/>
                <w:lang w:val="en-GB"/>
              </w:rPr>
            </w:pPr>
            <w:r w:rsidRPr="001E55DD">
              <w:rPr>
                <w:rFonts w:ascii="Times New Roman" w:hAnsi="Times New Roman" w:cs="Times New Roman"/>
                <w:bCs/>
                <w:sz w:val="18"/>
                <w:szCs w:val="18"/>
                <w:lang w:val="en-GB"/>
              </w:rPr>
              <w:t xml:space="preserve">Managing core transformational activities connected to the Umoja implementation and system life cycle. Providing training and guidance on Umoja functionality, </w:t>
            </w:r>
            <w:r w:rsidRPr="001E55DD">
              <w:rPr>
                <w:rFonts w:ascii="Times New Roman" w:hAnsi="Times New Roman" w:cs="Times New Roman"/>
                <w:bCs/>
                <w:sz w:val="18"/>
                <w:szCs w:val="18"/>
                <w:lang w:val="en-GB"/>
              </w:rPr>
              <w:lastRenderedPageBreak/>
              <w:t>access and modality for the execution of administrative processes.</w:t>
            </w:r>
          </w:p>
        </w:tc>
      </w:tr>
      <w:tr w:rsidR="00003D24" w:rsidRPr="001E55DD" w:rsidTr="00610002">
        <w:trPr>
          <w:trHeight w:val="901"/>
        </w:trPr>
        <w:tc>
          <w:tcPr>
            <w:tcW w:w="308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03D24" w:rsidRPr="001E55DD" w:rsidRDefault="00003D24" w:rsidP="00610002">
            <w:pPr>
              <w:pStyle w:val="TableParagraph"/>
              <w:spacing w:before="40" w:after="40"/>
              <w:ind w:left="103"/>
              <w:rPr>
                <w:rFonts w:ascii="Times New Roman" w:hAnsi="Times New Roman" w:cs="Times New Roman"/>
                <w:bCs/>
                <w:i/>
                <w:iCs/>
                <w:sz w:val="18"/>
                <w:szCs w:val="18"/>
                <w:lang w:val="en-GB"/>
              </w:rPr>
            </w:pPr>
            <w:r w:rsidRPr="001E55DD">
              <w:rPr>
                <w:rFonts w:ascii="Times New Roman" w:hAnsi="Times New Roman" w:cs="Times New Roman"/>
                <w:bCs/>
                <w:i/>
                <w:iCs/>
                <w:sz w:val="18"/>
                <w:szCs w:val="18"/>
                <w:lang w:val="en-GB"/>
              </w:rPr>
              <w:lastRenderedPageBreak/>
              <w:t>Enterprise Risk Management (ERM)</w:t>
            </w:r>
          </w:p>
          <w:p w:rsidR="00003D24" w:rsidRPr="001E55DD" w:rsidRDefault="00003D24" w:rsidP="00610002">
            <w:pPr>
              <w:pStyle w:val="TableParagraph"/>
              <w:spacing w:before="40" w:after="40"/>
              <w:ind w:left="103"/>
              <w:rPr>
                <w:rFonts w:ascii="Times New Roman" w:hAnsi="Times New Roman" w:cs="Times New Roman"/>
                <w:bCs/>
                <w:i/>
                <w:iCs/>
                <w:sz w:val="18"/>
                <w:szCs w:val="18"/>
                <w:lang w:val="en-GB"/>
              </w:rPr>
            </w:pPr>
            <w:r w:rsidRPr="001E55DD">
              <w:rPr>
                <w:rFonts w:ascii="Times New Roman" w:hAnsi="Times New Roman" w:cs="Times New Roman"/>
                <w:bCs/>
                <w:i/>
                <w:iCs/>
                <w:sz w:val="18"/>
                <w:szCs w:val="18"/>
                <w:lang w:val="en-GB"/>
              </w:rPr>
              <w:t>and Internal Controls</w:t>
            </w:r>
          </w:p>
        </w:tc>
        <w:tc>
          <w:tcPr>
            <w:tcW w:w="641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03D24" w:rsidRPr="001E55DD" w:rsidRDefault="00003D24" w:rsidP="00610002">
            <w:pPr>
              <w:pStyle w:val="TableParagraph"/>
              <w:spacing w:before="40" w:after="40"/>
              <w:ind w:right="100"/>
              <w:rPr>
                <w:rFonts w:ascii="Times New Roman" w:hAnsi="Times New Roman" w:cs="Times New Roman"/>
                <w:bCs/>
                <w:sz w:val="18"/>
                <w:szCs w:val="18"/>
                <w:lang w:val="en-GB"/>
              </w:rPr>
            </w:pPr>
            <w:r w:rsidRPr="001E55DD">
              <w:rPr>
                <w:rFonts w:ascii="Times New Roman" w:hAnsi="Times New Roman" w:cs="Times New Roman"/>
                <w:bCs/>
                <w:sz w:val="18"/>
                <w:szCs w:val="18"/>
                <w:lang w:val="en-GB"/>
              </w:rPr>
              <w:t>Implementation of the United Nations Secretariat ERM policy and framework, its monitoring and development. Advise on developments and activities related to the life cycle of ERM. Liaison directly with the UN Secretariat’s Department of Management for all issues relating to ERM and IC implementation and update of the ERM treatment plan.</w:t>
            </w:r>
          </w:p>
        </w:tc>
      </w:tr>
      <w:tr w:rsidR="00003D24" w:rsidRPr="001E55DD" w:rsidTr="00610002">
        <w:trPr>
          <w:trHeight w:val="418"/>
        </w:trPr>
        <w:tc>
          <w:tcPr>
            <w:tcW w:w="308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003D24" w:rsidRPr="001E55DD" w:rsidRDefault="00003D24" w:rsidP="00610002">
            <w:pPr>
              <w:pStyle w:val="TableParagraph"/>
              <w:keepNext/>
              <w:keepLines/>
              <w:spacing w:before="40" w:after="40"/>
              <w:ind w:left="103"/>
              <w:rPr>
                <w:rFonts w:ascii="Times New Roman" w:hAnsi="Times New Roman" w:cs="Times New Roman"/>
                <w:b/>
                <w:sz w:val="18"/>
                <w:szCs w:val="18"/>
                <w:lang w:val="en-GB"/>
              </w:rPr>
            </w:pPr>
            <w:r w:rsidRPr="001E55DD">
              <w:rPr>
                <w:rFonts w:ascii="Times New Roman" w:hAnsi="Times New Roman" w:cs="Times New Roman"/>
                <w:b/>
                <w:sz w:val="18"/>
                <w:szCs w:val="18"/>
                <w:lang w:val="en-GB"/>
              </w:rPr>
              <w:t>Information and Communications Technology</w:t>
            </w:r>
          </w:p>
        </w:tc>
        <w:tc>
          <w:tcPr>
            <w:tcW w:w="641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003D24" w:rsidRPr="001E55DD" w:rsidRDefault="00003D24" w:rsidP="00610002">
            <w:pPr>
              <w:pStyle w:val="TableParagraph"/>
              <w:keepNext/>
              <w:keepLines/>
              <w:spacing w:before="40" w:after="40"/>
              <w:ind w:right="100"/>
              <w:rPr>
                <w:rFonts w:ascii="Times New Roman" w:hAnsi="Times New Roman" w:cs="Times New Roman"/>
                <w:bCs/>
                <w:sz w:val="18"/>
                <w:szCs w:val="18"/>
                <w:lang w:val="en-GB"/>
              </w:rPr>
            </w:pPr>
            <w:r w:rsidRPr="001E55DD">
              <w:rPr>
                <w:rFonts w:ascii="Times New Roman" w:hAnsi="Times New Roman" w:cs="Times New Roman"/>
                <w:b/>
                <w:sz w:val="18"/>
                <w:szCs w:val="18"/>
                <w:lang w:val="en-GB"/>
              </w:rPr>
              <w:t>Computing, telecommunications, office automation, infrastructure support including electronic mail as well as consulting, advisory and help desk services</w:t>
            </w:r>
            <w:r w:rsidRPr="001E55DD">
              <w:rPr>
                <w:rFonts w:ascii="Times New Roman" w:hAnsi="Times New Roman" w:cs="Times New Roman"/>
                <w:bCs/>
                <w:sz w:val="18"/>
                <w:szCs w:val="18"/>
                <w:lang w:val="en-GB"/>
              </w:rPr>
              <w:t>.</w:t>
            </w:r>
          </w:p>
        </w:tc>
      </w:tr>
      <w:tr w:rsidR="00003D24" w:rsidRPr="001E55DD" w:rsidTr="00610002">
        <w:trPr>
          <w:trHeight w:val="541"/>
        </w:trPr>
        <w:tc>
          <w:tcPr>
            <w:tcW w:w="308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003D24" w:rsidRPr="001E55DD" w:rsidRDefault="00003D24" w:rsidP="00610002">
            <w:pPr>
              <w:pStyle w:val="TableParagraph"/>
              <w:keepNext/>
              <w:keepLines/>
              <w:spacing w:before="40" w:after="40"/>
              <w:ind w:left="103"/>
              <w:rPr>
                <w:rFonts w:ascii="Times New Roman" w:hAnsi="Times New Roman" w:cs="Times New Roman"/>
                <w:bCs/>
                <w:i/>
                <w:iCs/>
                <w:sz w:val="18"/>
                <w:szCs w:val="18"/>
                <w:lang w:val="en-GB"/>
              </w:rPr>
            </w:pPr>
            <w:r w:rsidRPr="001E55DD">
              <w:rPr>
                <w:rFonts w:ascii="Times New Roman" w:hAnsi="Times New Roman" w:cs="Times New Roman"/>
                <w:bCs/>
                <w:i/>
                <w:iCs/>
                <w:sz w:val="18"/>
                <w:szCs w:val="18"/>
                <w:lang w:val="en-GB"/>
              </w:rPr>
              <w:t>ICT Infrastructure and services</w:t>
            </w:r>
          </w:p>
        </w:tc>
        <w:tc>
          <w:tcPr>
            <w:tcW w:w="641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003D24" w:rsidRPr="001E55DD" w:rsidRDefault="00003D24" w:rsidP="00610002">
            <w:pPr>
              <w:pStyle w:val="TableParagraph"/>
              <w:keepNext/>
              <w:keepLines/>
              <w:spacing w:before="40" w:after="120"/>
              <w:ind w:right="102"/>
              <w:rPr>
                <w:rFonts w:ascii="Times New Roman" w:hAnsi="Times New Roman" w:cs="Times New Roman"/>
                <w:bCs/>
                <w:sz w:val="18"/>
                <w:szCs w:val="18"/>
                <w:lang w:val="en-GB"/>
              </w:rPr>
            </w:pPr>
            <w:r w:rsidRPr="001E55DD">
              <w:rPr>
                <w:rFonts w:ascii="Times New Roman" w:hAnsi="Times New Roman" w:cs="Times New Roman"/>
                <w:bCs/>
                <w:sz w:val="18"/>
                <w:szCs w:val="18"/>
                <w:lang w:val="en-GB"/>
              </w:rPr>
              <w:t xml:space="preserve">Provision of secure infrastructure services such as internet connectivity and </w:t>
            </w:r>
            <w:proofErr w:type="spellStart"/>
            <w:r w:rsidRPr="001E55DD">
              <w:rPr>
                <w:rFonts w:ascii="Times New Roman" w:hAnsi="Times New Roman" w:cs="Times New Roman"/>
                <w:bCs/>
                <w:sz w:val="18"/>
                <w:szCs w:val="18"/>
                <w:lang w:val="en-GB"/>
              </w:rPr>
              <w:t>WiFi</w:t>
            </w:r>
            <w:proofErr w:type="spellEnd"/>
            <w:r w:rsidRPr="001E55DD">
              <w:rPr>
                <w:rFonts w:ascii="Times New Roman" w:hAnsi="Times New Roman" w:cs="Times New Roman"/>
                <w:bCs/>
                <w:sz w:val="18"/>
                <w:szCs w:val="18"/>
                <w:lang w:val="en-GB"/>
              </w:rPr>
              <w:t xml:space="preserve"> access; local area network and systems directory services; office computer, standard software productivity tools and security software; email, file storage and sharing, print, IP telephony; computer and video conference services. Provision of cloud and </w:t>
            </w:r>
            <w:r w:rsidRPr="001E55DD">
              <w:rPr>
                <w:rFonts w:ascii="Times New Roman" w:hAnsi="Times New Roman" w:cs="Times New Roman"/>
                <w:bCs/>
                <w:sz w:val="18"/>
                <w:szCs w:val="18"/>
                <w:lang w:val="en-GB"/>
              </w:rPr>
              <w:br/>
              <w:t>on-premise hosting services for websites, software applications, and databases.</w:t>
            </w:r>
          </w:p>
          <w:p w:rsidR="00003D24" w:rsidRPr="001E55DD" w:rsidRDefault="00003D24" w:rsidP="00610002">
            <w:pPr>
              <w:pStyle w:val="TableParagraph"/>
              <w:keepNext/>
              <w:keepLines/>
              <w:spacing w:before="40" w:after="40"/>
              <w:ind w:right="100"/>
              <w:rPr>
                <w:rFonts w:ascii="Times New Roman" w:hAnsi="Times New Roman" w:cs="Times New Roman"/>
                <w:bCs/>
                <w:sz w:val="18"/>
                <w:szCs w:val="18"/>
                <w:lang w:val="en-GB"/>
              </w:rPr>
            </w:pPr>
            <w:r w:rsidRPr="001E55DD">
              <w:rPr>
                <w:rFonts w:ascii="Times New Roman" w:hAnsi="Times New Roman" w:cs="Times New Roman"/>
                <w:bCs/>
                <w:sz w:val="18"/>
                <w:szCs w:val="18"/>
                <w:lang w:val="en-GB"/>
              </w:rPr>
              <w:t>Access to corporate internet/intranet and mail systems</w:t>
            </w:r>
            <w:hyperlink w:anchor="_bookmark0" w:history="1">
              <w:r w:rsidRPr="001E55DD">
                <w:rPr>
                  <w:rStyle w:val="Hyperlink"/>
                  <w:rFonts w:cs="Times New Roman"/>
                  <w:sz w:val="18"/>
                  <w:szCs w:val="18"/>
                  <w:lang w:val="en-GB"/>
                </w:rPr>
                <w:t>.</w:t>
              </w:r>
            </w:hyperlink>
          </w:p>
        </w:tc>
      </w:tr>
      <w:tr w:rsidR="00003D24" w:rsidRPr="001E55DD" w:rsidTr="00610002">
        <w:trPr>
          <w:trHeight w:val="901"/>
        </w:trPr>
        <w:tc>
          <w:tcPr>
            <w:tcW w:w="308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003D24" w:rsidRPr="001E55DD" w:rsidRDefault="00003D24" w:rsidP="00610002">
            <w:pPr>
              <w:pStyle w:val="TableParagraph"/>
              <w:spacing w:before="40" w:after="40"/>
              <w:ind w:left="103"/>
              <w:rPr>
                <w:rFonts w:ascii="Times New Roman" w:hAnsi="Times New Roman" w:cs="Times New Roman"/>
                <w:bCs/>
                <w:i/>
                <w:iCs/>
                <w:sz w:val="18"/>
                <w:szCs w:val="18"/>
                <w:lang w:val="en-GB"/>
              </w:rPr>
            </w:pPr>
            <w:r w:rsidRPr="001E55DD">
              <w:rPr>
                <w:rFonts w:ascii="Times New Roman" w:hAnsi="Times New Roman" w:cs="Times New Roman"/>
                <w:bCs/>
                <w:i/>
                <w:iCs/>
                <w:sz w:val="18"/>
                <w:szCs w:val="18"/>
                <w:lang w:val="en-GB"/>
              </w:rPr>
              <w:t xml:space="preserve">Software development and </w:t>
            </w:r>
            <w:r w:rsidRPr="001E55DD">
              <w:rPr>
                <w:rFonts w:ascii="Times New Roman" w:hAnsi="Times New Roman" w:cs="Times New Roman"/>
                <w:bCs/>
                <w:i/>
                <w:iCs/>
                <w:sz w:val="18"/>
                <w:szCs w:val="18"/>
                <w:lang w:val="en-GB"/>
              </w:rPr>
              <w:br/>
              <w:t>maintenance</w:t>
            </w:r>
          </w:p>
        </w:tc>
        <w:tc>
          <w:tcPr>
            <w:tcW w:w="641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003D24" w:rsidRPr="001E55DD" w:rsidRDefault="00003D24" w:rsidP="00610002">
            <w:pPr>
              <w:pStyle w:val="TableParagraph"/>
              <w:spacing w:before="40" w:after="40"/>
              <w:ind w:right="100"/>
              <w:rPr>
                <w:rFonts w:ascii="Times New Roman" w:hAnsi="Times New Roman" w:cs="Times New Roman"/>
                <w:bCs/>
                <w:sz w:val="18"/>
                <w:szCs w:val="18"/>
                <w:lang w:val="en-GB"/>
              </w:rPr>
            </w:pPr>
            <w:r w:rsidRPr="001E55DD">
              <w:rPr>
                <w:rFonts w:ascii="Times New Roman" w:hAnsi="Times New Roman" w:cs="Times New Roman"/>
                <w:bCs/>
                <w:sz w:val="18"/>
                <w:szCs w:val="18"/>
                <w:lang w:val="en-GB"/>
              </w:rPr>
              <w:t>Providing advice from tactical, operational and strategic aspects with consideration to the specific needs of the office. Making recommendations on cost effective options e.g. outsourcing or in-house IT services. Provision of customised / off the shelf software applications to support the specific needs of office.</w:t>
            </w:r>
          </w:p>
        </w:tc>
      </w:tr>
      <w:tr w:rsidR="00003D24" w:rsidRPr="001E55DD" w:rsidTr="00610002">
        <w:trPr>
          <w:trHeight w:val="566"/>
        </w:trPr>
        <w:tc>
          <w:tcPr>
            <w:tcW w:w="308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003D24" w:rsidRPr="001E55DD" w:rsidRDefault="00003D24" w:rsidP="00610002">
            <w:pPr>
              <w:pStyle w:val="TableParagraph"/>
              <w:spacing w:before="40" w:after="40"/>
              <w:ind w:left="103"/>
              <w:rPr>
                <w:rFonts w:ascii="Times New Roman" w:hAnsi="Times New Roman" w:cs="Times New Roman"/>
                <w:bCs/>
                <w:i/>
                <w:iCs/>
                <w:sz w:val="18"/>
                <w:szCs w:val="18"/>
                <w:lang w:val="en-GB"/>
              </w:rPr>
            </w:pPr>
            <w:r w:rsidRPr="001E55DD">
              <w:rPr>
                <w:rFonts w:ascii="Times New Roman" w:hAnsi="Times New Roman" w:cs="Times New Roman"/>
                <w:bCs/>
                <w:i/>
                <w:iCs/>
                <w:sz w:val="18"/>
                <w:szCs w:val="18"/>
                <w:lang w:val="en-GB"/>
              </w:rPr>
              <w:t>Help desk services</w:t>
            </w:r>
          </w:p>
        </w:tc>
        <w:tc>
          <w:tcPr>
            <w:tcW w:w="641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003D24" w:rsidRPr="001E55DD" w:rsidRDefault="00003D24" w:rsidP="00610002">
            <w:pPr>
              <w:pStyle w:val="TableParagraph"/>
              <w:spacing w:before="40" w:after="40"/>
              <w:ind w:right="100"/>
              <w:rPr>
                <w:rFonts w:ascii="Times New Roman" w:hAnsi="Times New Roman" w:cs="Times New Roman"/>
                <w:bCs/>
                <w:sz w:val="18"/>
                <w:szCs w:val="18"/>
                <w:lang w:val="en-GB"/>
              </w:rPr>
            </w:pPr>
            <w:r w:rsidRPr="001E55DD">
              <w:rPr>
                <w:rFonts w:ascii="Times New Roman" w:hAnsi="Times New Roman" w:cs="Times New Roman"/>
                <w:bCs/>
                <w:sz w:val="18"/>
                <w:szCs w:val="18"/>
                <w:lang w:val="en-GB"/>
              </w:rPr>
              <w:t>Provision of local and global services to staff in resolving various IT related issues for the UN enterprise applications.</w:t>
            </w:r>
          </w:p>
        </w:tc>
      </w:tr>
    </w:tbl>
    <w:p w:rsidR="00003D24" w:rsidRDefault="00003D24" w:rsidP="00003D24">
      <w:pPr>
        <w:pStyle w:val="Normal-pool"/>
        <w:spacing w:before="120"/>
        <w:ind w:left="1247"/>
        <w:rPr>
          <w:sz w:val="17"/>
          <w:szCs w:val="17"/>
        </w:rPr>
      </w:pPr>
      <w:r w:rsidRPr="001E55DD">
        <w:rPr>
          <w:sz w:val="17"/>
          <w:szCs w:val="17"/>
        </w:rPr>
        <w:t xml:space="preserve">*** Umoja project and maintenance costs are apportioned based on expenditure incurred and met by respective divisions and MEAs as common costs. These include service fees and costs associated with Umoja (such as license fees), requests raised through </w:t>
      </w:r>
      <w:proofErr w:type="spellStart"/>
      <w:r>
        <w:rPr>
          <w:sz w:val="17"/>
          <w:szCs w:val="17"/>
        </w:rPr>
        <w:t>iN</w:t>
      </w:r>
      <w:r w:rsidRPr="001E55DD">
        <w:rPr>
          <w:sz w:val="17"/>
          <w:szCs w:val="17"/>
        </w:rPr>
        <w:t>eed</w:t>
      </w:r>
      <w:proofErr w:type="spellEnd"/>
      <w:r w:rsidRPr="001E55DD">
        <w:rPr>
          <w:sz w:val="17"/>
          <w:szCs w:val="17"/>
        </w:rPr>
        <w:t xml:space="preserve"> and any administrative costs associated with services provided by UNON and UNOG especially those that were delivered through OSC (travel, payment of invoices, HR/consultant services) </w:t>
      </w:r>
    </w:p>
    <w:p w:rsidR="00003D24" w:rsidRPr="001E55DD" w:rsidRDefault="00003D24" w:rsidP="00003D24">
      <w:pPr>
        <w:pStyle w:val="Normalpool"/>
        <w:rPr>
          <w:lang w:val="en-GB"/>
        </w:rPr>
      </w:pPr>
      <w:bookmarkStart w:id="13" w:name="_GoBack"/>
      <w:bookmarkEnd w:id="13"/>
    </w:p>
    <w:p w:rsidR="00F935A6" w:rsidRDefault="00F935A6"/>
    <w:sectPr w:rsidR="00F935A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5A5A" w:rsidRDefault="00BD5A5A" w:rsidP="00003D24">
      <w:r>
        <w:separator/>
      </w:r>
    </w:p>
  </w:endnote>
  <w:endnote w:type="continuationSeparator" w:id="0">
    <w:p w:rsidR="00BD5A5A" w:rsidRDefault="00BD5A5A" w:rsidP="00003D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D24" w:rsidRDefault="00003D24">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108</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D24" w:rsidRDefault="00003D24" w:rsidP="00035EDE">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107</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396894"/>
      <w:docPartObj>
        <w:docPartGallery w:val="Page Numbers (Bottom of Page)"/>
        <w:docPartUnique/>
      </w:docPartObj>
    </w:sdtPr>
    <w:sdtEndPr>
      <w:rPr>
        <w:b/>
        <w:noProof/>
      </w:rPr>
    </w:sdtEndPr>
    <w:sdtContent>
      <w:p w:rsidR="00003D24" w:rsidRPr="000F40ED" w:rsidRDefault="00003D24" w:rsidP="000F40ED">
        <w:pPr>
          <w:pStyle w:val="Footer"/>
          <w:rPr>
            <w:b/>
          </w:rPr>
        </w:pPr>
        <w:r w:rsidRPr="000F40ED">
          <w:rPr>
            <w:b/>
          </w:rPr>
          <w:fldChar w:fldCharType="begin"/>
        </w:r>
        <w:r w:rsidRPr="000F40ED">
          <w:rPr>
            <w:b/>
          </w:rPr>
          <w:instrText xml:space="preserve"> PAGE   \* MERGEFORMAT </w:instrText>
        </w:r>
        <w:r w:rsidRPr="000F40ED">
          <w:rPr>
            <w:b/>
          </w:rPr>
          <w:fldChar w:fldCharType="separate"/>
        </w:r>
        <w:r>
          <w:rPr>
            <w:b/>
            <w:noProof/>
          </w:rPr>
          <w:t>96</w:t>
        </w:r>
        <w:r w:rsidRPr="000F40ED">
          <w:rPr>
            <w:b/>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5A5A" w:rsidRDefault="00BD5A5A" w:rsidP="00003D24">
      <w:r>
        <w:separator/>
      </w:r>
    </w:p>
  </w:footnote>
  <w:footnote w:type="continuationSeparator" w:id="0">
    <w:p w:rsidR="00BD5A5A" w:rsidRDefault="00BD5A5A" w:rsidP="00003D24">
      <w:r>
        <w:continuationSeparator/>
      </w:r>
    </w:p>
  </w:footnote>
  <w:footnote w:id="1">
    <w:p w:rsidR="00003D24" w:rsidRPr="007D12AB" w:rsidRDefault="00003D24" w:rsidP="00003D24">
      <w:pPr>
        <w:pStyle w:val="NormalNonumber"/>
        <w:tabs>
          <w:tab w:val="left" w:pos="624"/>
        </w:tabs>
        <w:spacing w:before="20" w:after="40"/>
        <w:rPr>
          <w:sz w:val="18"/>
          <w:szCs w:val="18"/>
        </w:rPr>
      </w:pPr>
      <w:r w:rsidRPr="007D12AB">
        <w:rPr>
          <w:rStyle w:val="FootnoteReference"/>
          <w:sz w:val="18"/>
        </w:rPr>
        <w:footnoteRef/>
      </w:r>
      <w:r w:rsidRPr="007D12AB">
        <w:rPr>
          <w:sz w:val="18"/>
          <w:szCs w:val="18"/>
        </w:rPr>
        <w:t xml:space="preserve"> UNEP/CHW.14/INF/50–UNEP/FAO/RC/COP.9/INF/43–UNEP/POPS/COP.9/INF/55.</w:t>
      </w:r>
    </w:p>
  </w:footnote>
  <w:footnote w:id="2">
    <w:p w:rsidR="00003D24" w:rsidRPr="007D12AB" w:rsidRDefault="00003D24" w:rsidP="00003D24">
      <w:pPr>
        <w:pStyle w:val="NormalNonumber"/>
        <w:tabs>
          <w:tab w:val="left" w:pos="624"/>
        </w:tabs>
        <w:spacing w:before="20" w:after="40"/>
        <w:rPr>
          <w:sz w:val="18"/>
          <w:szCs w:val="18"/>
        </w:rPr>
      </w:pPr>
      <w:r w:rsidRPr="007D12AB">
        <w:rPr>
          <w:rStyle w:val="FootnoteReference"/>
          <w:sz w:val="18"/>
        </w:rPr>
        <w:footnoteRef/>
      </w:r>
      <w:r w:rsidRPr="007D12AB">
        <w:rPr>
          <w:sz w:val="18"/>
          <w:szCs w:val="18"/>
        </w:rPr>
        <w:t xml:space="preserve"> UNEP/CHW.14/INF/49–UNEP/FAO/RC/COP.9/INF/42–UNEP/POPS/COP.9/INF/54.</w:t>
      </w:r>
    </w:p>
  </w:footnote>
  <w:footnote w:id="3">
    <w:p w:rsidR="00003D24" w:rsidRPr="007D12AB" w:rsidRDefault="00003D24" w:rsidP="00003D24">
      <w:pPr>
        <w:pStyle w:val="FootnoteText"/>
        <w:tabs>
          <w:tab w:val="left" w:pos="624"/>
        </w:tabs>
        <w:rPr>
          <w:szCs w:val="18"/>
          <w:lang w:val="en-GB"/>
        </w:rPr>
      </w:pPr>
      <w:r w:rsidRPr="007D12AB">
        <w:rPr>
          <w:rStyle w:val="FootnoteReference"/>
          <w:sz w:val="18"/>
        </w:rPr>
        <w:footnoteRef/>
      </w:r>
      <w:r w:rsidRPr="007D12AB">
        <w:rPr>
          <w:szCs w:val="18"/>
          <w:lang w:val="en-GB"/>
        </w:rPr>
        <w:t xml:space="preserve"> The present annex is reproduced as received, without formal editing.</w:t>
      </w:r>
    </w:p>
  </w:footnote>
  <w:footnote w:id="4">
    <w:p w:rsidR="00003D24" w:rsidRPr="007D12AB" w:rsidRDefault="00003D24" w:rsidP="00003D24">
      <w:pPr>
        <w:pStyle w:val="NormalNonumber"/>
        <w:tabs>
          <w:tab w:val="left" w:pos="624"/>
        </w:tabs>
        <w:spacing w:before="20" w:after="40"/>
        <w:rPr>
          <w:sz w:val="18"/>
          <w:szCs w:val="18"/>
        </w:rPr>
      </w:pPr>
      <w:r w:rsidRPr="007D12AB">
        <w:rPr>
          <w:rStyle w:val="FootnoteReference"/>
          <w:sz w:val="18"/>
        </w:rPr>
        <w:footnoteRef/>
      </w:r>
      <w:r w:rsidRPr="007D12AB">
        <w:rPr>
          <w:sz w:val="18"/>
          <w:szCs w:val="18"/>
        </w:rPr>
        <w:t xml:space="preserve"> ST/AI/286.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D24" w:rsidRPr="00772E66" w:rsidRDefault="00003D24" w:rsidP="004B15BF">
    <w:pPr>
      <w:pStyle w:val="Header"/>
      <w:rPr>
        <w:szCs w:val="18"/>
      </w:rPr>
    </w:pPr>
    <w:r w:rsidRPr="006B5835">
      <w:rPr>
        <w:szCs w:val="18"/>
      </w:rPr>
      <w:t>UNEP/POPS/COP.9/</w:t>
    </w:r>
    <w:r>
      <w:rPr>
        <w:szCs w:val="18"/>
      </w:rPr>
      <w:t>30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D24" w:rsidRDefault="00003D24" w:rsidP="00035EDE">
    <w:pPr>
      <w:pStyle w:val="Header"/>
      <w:jc w:val="right"/>
    </w:pPr>
    <w:r w:rsidRPr="006B5835">
      <w:rPr>
        <w:szCs w:val="18"/>
      </w:rPr>
      <w:t>UNEP/POPS/COP.9/</w:t>
    </w:r>
    <w:r>
      <w:rPr>
        <w:szCs w:val="18"/>
      </w:rPr>
      <w:t>30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D24" w:rsidRDefault="00003D24" w:rsidP="000F40ED">
    <w:pPr>
      <w:pStyle w:val="Header"/>
    </w:pPr>
    <w:r w:rsidRPr="00B13A5D">
      <w:rPr>
        <w:szCs w:val="18"/>
        <w:lang w:val="en-US"/>
      </w:rPr>
      <w:t>UNEP/POPS/COP.9/</w:t>
    </w:r>
    <w:r>
      <w:rPr>
        <w:szCs w:val="18"/>
        <w:lang w:val="en-US"/>
      </w:rPr>
      <w:t>30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3F2CF3"/>
    <w:multiLevelType w:val="hybridMultilevel"/>
    <w:tmpl w:val="BE9867F6"/>
    <w:lvl w:ilvl="0" w:tplc="F474A468">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rPr>
        <w:rFonts w:hint="default"/>
      </w:rPr>
    </w:lvl>
    <w:lvl w:ilvl="2" w:tplc="0809001B">
      <w:start w:val="1"/>
      <w:numFmt w:val="lowerRoman"/>
      <w:lvlText w:val="(%3)"/>
      <w:lvlJc w:val="right"/>
      <w:pPr>
        <w:tabs>
          <w:tab w:val="num" w:pos="2340"/>
        </w:tabs>
        <w:ind w:left="2340" w:hanging="360"/>
      </w:pPr>
      <w:rPr>
        <w:rFonts w:hint="default"/>
      </w:rPr>
    </w:lvl>
    <w:lvl w:ilvl="3" w:tplc="0809000F">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numRestart w:val="eachSec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D24"/>
    <w:rsid w:val="00003D24"/>
    <w:rsid w:val="00BD5A5A"/>
    <w:rsid w:val="00F935A6"/>
    <w:rsid w:val="00FA6F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6701A"/>
  <w15:chartTrackingRefBased/>
  <w15:docId w15:val="{AF7BDA47-DECA-4DFB-928C-2C4763EDE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3D24"/>
    <w:pPr>
      <w:tabs>
        <w:tab w:val="left" w:pos="1247"/>
        <w:tab w:val="left" w:pos="1814"/>
        <w:tab w:val="left" w:pos="2381"/>
        <w:tab w:val="left" w:pos="2948"/>
        <w:tab w:val="left" w:pos="3515"/>
      </w:tabs>
      <w:spacing w:after="0" w:line="240" w:lineRule="auto"/>
    </w:pPr>
    <w:rPr>
      <w:rFonts w:ascii="Times New Roman" w:eastAsia="Times New Roman" w:hAnsi="Times New Roman" w:cs="Times New Roman"/>
      <w:sz w:val="20"/>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rsid w:val="00003D24"/>
    <w:rPr>
      <w:rFonts w:ascii="Times New Roman" w:hAnsi="Times New Roman"/>
      <w:b/>
      <w:sz w:val="18"/>
    </w:rPr>
  </w:style>
  <w:style w:type="paragraph" w:customStyle="1" w:styleId="CH1">
    <w:name w:val="CH1"/>
    <w:basedOn w:val="Normalpool"/>
    <w:next w:val="CH2"/>
    <w:rsid w:val="00003D24"/>
    <w:pPr>
      <w:keepNext/>
      <w:keepLines/>
      <w:tabs>
        <w:tab w:val="right" w:pos="851"/>
      </w:tabs>
      <w:suppressAutoHyphens/>
      <w:spacing w:before="240" w:after="120"/>
      <w:ind w:left="1247" w:right="284" w:hanging="1247"/>
    </w:pPr>
    <w:rPr>
      <w:b/>
      <w:sz w:val="28"/>
      <w:szCs w:val="28"/>
      <w:lang w:val="en-GB"/>
    </w:rPr>
  </w:style>
  <w:style w:type="paragraph" w:customStyle="1" w:styleId="CH2">
    <w:name w:val="CH2"/>
    <w:basedOn w:val="Normalpool"/>
    <w:next w:val="Normal"/>
    <w:link w:val="CH2Char"/>
    <w:rsid w:val="00003D24"/>
    <w:pPr>
      <w:keepNext/>
      <w:keepLines/>
      <w:tabs>
        <w:tab w:val="right" w:pos="851"/>
      </w:tabs>
      <w:suppressAutoHyphens/>
      <w:spacing w:before="240" w:after="120"/>
      <w:ind w:left="1247" w:right="284" w:hanging="1247"/>
    </w:pPr>
    <w:rPr>
      <w:b/>
      <w:sz w:val="24"/>
      <w:szCs w:val="24"/>
      <w:lang w:val="en-GB"/>
    </w:rPr>
  </w:style>
  <w:style w:type="paragraph" w:customStyle="1" w:styleId="Normalpool">
    <w:name w:val="Normal_pool"/>
    <w:link w:val="NormalpoolChar"/>
    <w:rsid w:val="00003D24"/>
    <w:pPr>
      <w:tabs>
        <w:tab w:val="left" w:pos="1247"/>
        <w:tab w:val="left" w:pos="1814"/>
        <w:tab w:val="left" w:pos="2381"/>
        <w:tab w:val="left" w:pos="2948"/>
        <w:tab w:val="left" w:pos="3515"/>
        <w:tab w:val="left" w:pos="4082"/>
      </w:tabs>
      <w:spacing w:after="0" w:line="240" w:lineRule="auto"/>
    </w:pPr>
    <w:rPr>
      <w:rFonts w:ascii="Times New Roman" w:eastAsia="Times New Roman" w:hAnsi="Times New Roman" w:cs="Times New Roman"/>
      <w:sz w:val="20"/>
      <w:szCs w:val="20"/>
      <w:lang w:val="fr-FR" w:eastAsia="en-US"/>
    </w:rPr>
  </w:style>
  <w:style w:type="paragraph" w:customStyle="1" w:styleId="Normal-pool">
    <w:name w:val="Normal-pool"/>
    <w:link w:val="Normal-poolChar"/>
    <w:qFormat/>
    <w:rsid w:val="00003D24"/>
    <w:pPr>
      <w:tabs>
        <w:tab w:val="left" w:pos="1247"/>
        <w:tab w:val="left" w:pos="1814"/>
        <w:tab w:val="left" w:pos="2381"/>
        <w:tab w:val="left" w:pos="2948"/>
        <w:tab w:val="left" w:pos="3515"/>
        <w:tab w:val="left" w:pos="4082"/>
      </w:tabs>
      <w:spacing w:after="0" w:line="240" w:lineRule="auto"/>
    </w:pPr>
    <w:rPr>
      <w:rFonts w:ascii="Times New Roman" w:eastAsia="Times New Roman" w:hAnsi="Times New Roman" w:cs="Times New Roman"/>
      <w:sz w:val="20"/>
      <w:szCs w:val="20"/>
      <w:lang w:val="en-GB" w:eastAsia="en-US"/>
    </w:rPr>
  </w:style>
  <w:style w:type="character" w:styleId="FootnoteReference">
    <w:name w:val="footnote reference"/>
    <w:aliases w:val="16 Point,Superscript 6 Point,ftref,(Ref. de nota al pie),number,SUPERS,Footnote Reference Superscript,Footnote Reference1,Ref,de nota al pie,註腳內容,de nota al pie + (Asian) MS Mincho,11 pt,Ref. de nota de rodapé1,stylish,Footnote symbol"/>
    <w:basedOn w:val="DefaultParagraphFont"/>
    <w:link w:val="BVIfnrCharCharCharChar"/>
    <w:qFormat/>
    <w:rsid w:val="00003D24"/>
    <w:rPr>
      <w:rFonts w:ascii="Times New Roman" w:hAnsi="Times New Roman"/>
      <w:sz w:val="20"/>
      <w:szCs w:val="18"/>
      <w:vertAlign w:val="superscript"/>
    </w:rPr>
  </w:style>
  <w:style w:type="paragraph" w:styleId="FootnoteText">
    <w:name w:val="footnote text"/>
    <w:aliases w:val="Geneva 9,Font: Geneva 9,Boston 10,f,FOOTNOTES,fn,single space,Footnote Text Rail EIS,ft,Char,footnote text,Footnotes,Footnote ak,fn cafc,Footnotes Char Char,Footnote Text Char Char,fn Char Char,footnote text Char Char Char Ch,DNV-FT,text,9"/>
    <w:basedOn w:val="Normalpool"/>
    <w:link w:val="FootnoteTextChar"/>
    <w:qFormat/>
    <w:rsid w:val="00003D24"/>
    <w:pPr>
      <w:spacing w:before="20" w:after="40"/>
      <w:ind w:left="1247"/>
    </w:pPr>
    <w:rPr>
      <w:sz w:val="18"/>
    </w:rPr>
  </w:style>
  <w:style w:type="character" w:customStyle="1" w:styleId="FootnoteTextChar">
    <w:name w:val="Footnote Text Char"/>
    <w:aliases w:val="Geneva 9 Char,Font: Geneva 9 Char,Boston 10 Char,f Char,FOOTNOTES Char,fn Char,single space Char,Footnote Text Rail EIS Char,ft Char,Char Char,footnote text Char,Footnotes Char,Footnote ak Char,fn cafc Char,Footnotes Char Char Char"/>
    <w:basedOn w:val="DefaultParagraphFont"/>
    <w:link w:val="FootnoteText"/>
    <w:rsid w:val="00003D24"/>
    <w:rPr>
      <w:rFonts w:ascii="Times New Roman" w:eastAsia="Times New Roman" w:hAnsi="Times New Roman" w:cs="Times New Roman"/>
      <w:sz w:val="18"/>
      <w:szCs w:val="20"/>
      <w:lang w:val="fr-FR" w:eastAsia="en-US"/>
    </w:rPr>
  </w:style>
  <w:style w:type="paragraph" w:styleId="Footer">
    <w:name w:val="footer"/>
    <w:basedOn w:val="Normal"/>
    <w:link w:val="FooterChar"/>
    <w:uiPriority w:val="99"/>
    <w:rsid w:val="00003D24"/>
    <w:pPr>
      <w:tabs>
        <w:tab w:val="center" w:pos="4320"/>
        <w:tab w:val="right" w:pos="8640"/>
      </w:tabs>
      <w:spacing w:before="60" w:after="120"/>
    </w:pPr>
    <w:rPr>
      <w:sz w:val="18"/>
    </w:rPr>
  </w:style>
  <w:style w:type="character" w:customStyle="1" w:styleId="FooterChar">
    <w:name w:val="Footer Char"/>
    <w:basedOn w:val="DefaultParagraphFont"/>
    <w:link w:val="Footer"/>
    <w:uiPriority w:val="99"/>
    <w:rsid w:val="00003D24"/>
    <w:rPr>
      <w:rFonts w:ascii="Times New Roman" w:eastAsia="Times New Roman" w:hAnsi="Times New Roman" w:cs="Times New Roman"/>
      <w:sz w:val="18"/>
      <w:szCs w:val="20"/>
      <w:lang w:val="en-GB" w:eastAsia="en-US"/>
    </w:rPr>
  </w:style>
  <w:style w:type="paragraph" w:styleId="Header">
    <w:name w:val="header"/>
    <w:basedOn w:val="Normal"/>
    <w:link w:val="HeaderChar"/>
    <w:rsid w:val="00003D24"/>
    <w:pPr>
      <w:pBdr>
        <w:bottom w:val="single" w:sz="4" w:space="1" w:color="auto"/>
      </w:pBdr>
      <w:tabs>
        <w:tab w:val="clear" w:pos="1814"/>
        <w:tab w:val="clear" w:pos="2381"/>
        <w:tab w:val="clear" w:pos="2948"/>
        <w:tab w:val="clear" w:pos="3515"/>
        <w:tab w:val="center" w:pos="4536"/>
        <w:tab w:val="right" w:pos="9072"/>
      </w:tabs>
      <w:spacing w:after="120"/>
    </w:pPr>
    <w:rPr>
      <w:b/>
      <w:sz w:val="18"/>
    </w:rPr>
  </w:style>
  <w:style w:type="character" w:customStyle="1" w:styleId="HeaderChar">
    <w:name w:val="Header Char"/>
    <w:basedOn w:val="DefaultParagraphFont"/>
    <w:link w:val="Header"/>
    <w:rsid w:val="00003D24"/>
    <w:rPr>
      <w:rFonts w:ascii="Times New Roman" w:eastAsia="Times New Roman" w:hAnsi="Times New Roman" w:cs="Times New Roman"/>
      <w:b/>
      <w:sz w:val="18"/>
      <w:szCs w:val="20"/>
      <w:lang w:val="en-GB" w:eastAsia="en-US"/>
    </w:rPr>
  </w:style>
  <w:style w:type="character" w:styleId="Hyperlink">
    <w:name w:val="Hyperlink"/>
    <w:basedOn w:val="DefaultParagraphFont"/>
    <w:uiPriority w:val="99"/>
    <w:rsid w:val="00003D24"/>
    <w:rPr>
      <w:rFonts w:ascii="Times New Roman" w:hAnsi="Times New Roman"/>
      <w:color w:val="auto"/>
      <w:sz w:val="20"/>
      <w:szCs w:val="20"/>
      <w:u w:val="none"/>
      <w:lang w:val="fr-FR"/>
    </w:rPr>
  </w:style>
  <w:style w:type="paragraph" w:customStyle="1" w:styleId="NormalNonumber">
    <w:name w:val="Normal_No_number"/>
    <w:basedOn w:val="Normalpool"/>
    <w:link w:val="NormalNonumberChar"/>
    <w:qFormat/>
    <w:rsid w:val="00003D24"/>
    <w:pPr>
      <w:spacing w:after="120"/>
      <w:ind w:left="1247"/>
    </w:pPr>
    <w:rPr>
      <w:lang w:val="en-GB"/>
    </w:rPr>
  </w:style>
  <w:style w:type="paragraph" w:customStyle="1" w:styleId="ZZAnxheader">
    <w:name w:val="ZZ_Anx_header"/>
    <w:basedOn w:val="Normalpool"/>
    <w:link w:val="ZZAnxheaderChar"/>
    <w:rsid w:val="00003D24"/>
    <w:rPr>
      <w:b/>
      <w:bCs/>
      <w:sz w:val="28"/>
      <w:szCs w:val="22"/>
      <w:lang w:val="en-GB"/>
    </w:rPr>
  </w:style>
  <w:style w:type="paragraph" w:customStyle="1" w:styleId="ZZAnxtitle">
    <w:name w:val="ZZ_Anx_title"/>
    <w:basedOn w:val="Normalpool"/>
    <w:rsid w:val="00003D24"/>
    <w:pPr>
      <w:spacing w:before="360" w:after="120"/>
      <w:ind w:left="1247"/>
    </w:pPr>
    <w:rPr>
      <w:b/>
      <w:bCs/>
      <w:sz w:val="28"/>
      <w:szCs w:val="26"/>
      <w:lang w:val="en-GB"/>
    </w:rPr>
  </w:style>
  <w:style w:type="character" w:customStyle="1" w:styleId="Normal-poolChar">
    <w:name w:val="Normal-pool Char"/>
    <w:link w:val="Normal-pool"/>
    <w:rsid w:val="00003D24"/>
    <w:rPr>
      <w:rFonts w:ascii="Times New Roman" w:eastAsia="Times New Roman" w:hAnsi="Times New Roman" w:cs="Times New Roman"/>
      <w:sz w:val="20"/>
      <w:szCs w:val="20"/>
      <w:lang w:val="en-GB" w:eastAsia="en-US"/>
    </w:rPr>
  </w:style>
  <w:style w:type="character" w:customStyle="1" w:styleId="CH2Char">
    <w:name w:val="CH2 Char"/>
    <w:link w:val="CH2"/>
    <w:rsid w:val="00003D24"/>
    <w:rPr>
      <w:rFonts w:ascii="Times New Roman" w:eastAsia="Times New Roman" w:hAnsi="Times New Roman" w:cs="Times New Roman"/>
      <w:b/>
      <w:sz w:val="24"/>
      <w:szCs w:val="24"/>
      <w:lang w:val="en-GB" w:eastAsia="en-US"/>
    </w:rPr>
  </w:style>
  <w:style w:type="character" w:customStyle="1" w:styleId="NormalNonumberChar">
    <w:name w:val="Normal_No_number Char"/>
    <w:link w:val="NormalNonumber"/>
    <w:locked/>
    <w:rsid w:val="00003D24"/>
    <w:rPr>
      <w:rFonts w:ascii="Times New Roman" w:eastAsia="Times New Roman" w:hAnsi="Times New Roman" w:cs="Times New Roman"/>
      <w:sz w:val="20"/>
      <w:szCs w:val="20"/>
      <w:lang w:val="en-GB" w:eastAsia="en-US"/>
    </w:rPr>
  </w:style>
  <w:style w:type="paragraph" w:customStyle="1" w:styleId="BVIfnrCharCharCharChar">
    <w:name w:val="BVI fnr Char Char Char Char"/>
    <w:aliases w:val="BVI fnr Car Car Char Char Char Char,BVI fnr Car Char Char Char Char,BVI fnr Car Car Car Car Char Char Char Char,BVI fnr Car Car Car Car Char Char Char1 Char Char, BVI fnr Car Car Char Char Char Char"/>
    <w:basedOn w:val="Normal"/>
    <w:link w:val="FootnoteReference"/>
    <w:rsid w:val="00003D24"/>
    <w:pPr>
      <w:tabs>
        <w:tab w:val="clear" w:pos="1247"/>
        <w:tab w:val="clear" w:pos="1814"/>
        <w:tab w:val="clear" w:pos="2381"/>
        <w:tab w:val="clear" w:pos="2948"/>
        <w:tab w:val="clear" w:pos="3515"/>
      </w:tabs>
      <w:spacing w:before="120" w:after="160" w:line="240" w:lineRule="exact"/>
    </w:pPr>
    <w:rPr>
      <w:rFonts w:eastAsiaTheme="minorEastAsia" w:cstheme="minorBidi"/>
      <w:szCs w:val="18"/>
      <w:vertAlign w:val="superscript"/>
      <w:lang w:val="en-US" w:eastAsia="zh-CN"/>
    </w:rPr>
  </w:style>
  <w:style w:type="character" w:customStyle="1" w:styleId="ZZAnxheaderChar">
    <w:name w:val="ZZ_Anx_header Char"/>
    <w:link w:val="ZZAnxheader"/>
    <w:locked/>
    <w:rsid w:val="00003D24"/>
    <w:rPr>
      <w:rFonts w:ascii="Times New Roman" w:eastAsia="Times New Roman" w:hAnsi="Times New Roman" w:cs="Times New Roman"/>
      <w:b/>
      <w:bCs/>
      <w:sz w:val="28"/>
      <w:lang w:val="en-GB" w:eastAsia="en-US"/>
    </w:rPr>
  </w:style>
  <w:style w:type="character" w:customStyle="1" w:styleId="NormalpoolChar">
    <w:name w:val="Normal_pool Char"/>
    <w:link w:val="Normalpool"/>
    <w:rsid w:val="00003D24"/>
    <w:rPr>
      <w:rFonts w:ascii="Times New Roman" w:eastAsia="Times New Roman" w:hAnsi="Times New Roman" w:cs="Times New Roman"/>
      <w:sz w:val="20"/>
      <w:szCs w:val="20"/>
      <w:lang w:val="fr-FR" w:eastAsia="en-US"/>
    </w:rPr>
  </w:style>
  <w:style w:type="paragraph" w:customStyle="1" w:styleId="Hd7">
    <w:name w:val="Hd7"/>
    <w:basedOn w:val="Normal"/>
    <w:next w:val="Normal"/>
    <w:rsid w:val="00003D24"/>
    <w:pPr>
      <w:keepNext/>
      <w:keepLines/>
      <w:widowControl w:val="0"/>
      <w:tabs>
        <w:tab w:val="clear" w:pos="1247"/>
        <w:tab w:val="clear" w:pos="1814"/>
        <w:tab w:val="clear" w:pos="2381"/>
        <w:tab w:val="clear" w:pos="2948"/>
        <w:tab w:val="clear" w:pos="3515"/>
        <w:tab w:val="left" w:pos="397"/>
        <w:tab w:val="left" w:pos="794"/>
        <w:tab w:val="left" w:pos="1191"/>
        <w:tab w:val="left" w:pos="1588"/>
        <w:tab w:val="left" w:pos="1985"/>
      </w:tabs>
      <w:suppressAutoHyphens/>
      <w:spacing w:after="260"/>
      <w:jc w:val="center"/>
    </w:pPr>
    <w:rPr>
      <w:rFonts w:ascii="Arial" w:eastAsia="MS Mincho" w:hAnsi="Arial" w:cs="Arial"/>
      <w:caps/>
      <w:color w:val="000000"/>
      <w:spacing w:val="-2"/>
      <w:kern w:val="20"/>
    </w:rPr>
  </w:style>
  <w:style w:type="paragraph" w:customStyle="1" w:styleId="TableParagraph">
    <w:name w:val="Table Paragraph"/>
    <w:basedOn w:val="Normal"/>
    <w:uiPriority w:val="1"/>
    <w:qFormat/>
    <w:rsid w:val="00003D24"/>
    <w:pPr>
      <w:widowControl w:val="0"/>
      <w:tabs>
        <w:tab w:val="clear" w:pos="1247"/>
        <w:tab w:val="clear" w:pos="1814"/>
        <w:tab w:val="clear" w:pos="2381"/>
        <w:tab w:val="clear" w:pos="2948"/>
        <w:tab w:val="clear" w:pos="3515"/>
      </w:tabs>
      <w:autoSpaceDE w:val="0"/>
      <w:autoSpaceDN w:val="0"/>
      <w:spacing w:before="1"/>
      <w:ind w:left="102"/>
    </w:pPr>
    <w:rPr>
      <w:rFonts w:ascii="Calibri" w:eastAsia="Calibri" w:hAnsi="Calibri" w:cs="Calibr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5764</Words>
  <Characters>32857</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Gong</dc:creator>
  <cp:keywords/>
  <dc:description/>
  <cp:lastModifiedBy>Le Gong</cp:lastModifiedBy>
  <cp:revision>1</cp:revision>
  <dcterms:created xsi:type="dcterms:W3CDTF">2020-01-16T08:03:00Z</dcterms:created>
  <dcterms:modified xsi:type="dcterms:W3CDTF">2020-01-16T08:03:00Z</dcterms:modified>
</cp:coreProperties>
</file>