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8F" w:rsidRPr="008C3D23" w:rsidRDefault="00B96B8F" w:rsidP="00B96B8F">
      <w:pPr>
        <w:spacing w:after="120"/>
        <w:ind w:left="124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8C3D23">
        <w:rPr>
          <w:b/>
          <w:bCs/>
          <w:sz w:val="28"/>
          <w:szCs w:val="28"/>
        </w:rPr>
        <w:t xml:space="preserve">К-9/1: </w:t>
      </w:r>
      <w:r w:rsidRPr="002B7F51">
        <w:rPr>
          <w:b/>
          <w:bCs/>
          <w:sz w:val="28"/>
          <w:szCs w:val="28"/>
        </w:rPr>
        <w:t>Ход осуществления Конвенции</w:t>
      </w:r>
    </w:p>
    <w:p w:rsidR="00B96B8F" w:rsidRPr="00EC6975" w:rsidRDefault="00B96B8F" w:rsidP="00B96B8F">
      <w:pPr>
        <w:suppressAutoHyphens/>
        <w:spacing w:after="120"/>
        <w:ind w:left="1247" w:firstLine="624"/>
      </w:pPr>
      <w:r w:rsidRPr="00342566">
        <w:rPr>
          <w:i/>
        </w:rPr>
        <w:t>Конференция Сторон</w:t>
      </w:r>
      <w:r>
        <w:rPr>
          <w:i/>
        </w:rPr>
        <w:t>: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1.</w:t>
      </w:r>
      <w:r w:rsidRPr="00342566">
        <w:tab/>
      </w:r>
      <w:r w:rsidRPr="00342566">
        <w:rPr>
          <w:i/>
        </w:rPr>
        <w:t>принимает к сведению</w:t>
      </w:r>
      <w:r w:rsidRPr="00342566">
        <w:t xml:space="preserve"> предоставленную информацию о ходе осуществления</w:t>
      </w:r>
      <w:r>
        <w:t xml:space="preserve"> </w:t>
      </w:r>
      <w:r w:rsidRPr="008C3D23">
        <w:t>Роттердамской конвенции о процедуре предварительного обоснованного согласия в отношении отдельных опасных химических веществ и пестицидов в международной торговле</w:t>
      </w:r>
      <w:r w:rsidRPr="00342566">
        <w:t>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2.</w:t>
      </w:r>
      <w:r w:rsidRPr="00342566">
        <w:tab/>
      </w:r>
      <w:r w:rsidRPr="00342566">
        <w:rPr>
          <w:i/>
        </w:rPr>
        <w:t>призывает</w:t>
      </w:r>
      <w:r w:rsidRPr="00342566">
        <w:t xml:space="preserve"> Стороны:</w:t>
      </w:r>
    </w:p>
    <w:p w:rsidR="00B96B8F" w:rsidRDefault="00B96B8F" w:rsidP="00B96B8F">
      <w:pPr>
        <w:suppressAutoHyphens/>
        <w:spacing w:after="120"/>
        <w:ind w:left="1247" w:firstLine="624"/>
      </w:pPr>
      <w:r w:rsidRPr="00342566">
        <w:rPr>
          <w:lang w:val="en-GB"/>
        </w:rPr>
        <w:t>a</w:t>
      </w:r>
      <w:r w:rsidRPr="00342566">
        <w:t>)</w:t>
      </w:r>
      <w:r w:rsidRPr="00342566">
        <w:tab/>
        <w:t xml:space="preserve">в кратчайшие сроки принять национальное определение термина «пестициды», если они еще этого не сделали, обратившись </w:t>
      </w:r>
      <w:r>
        <w:t>к</w:t>
      </w:r>
      <w:r w:rsidRPr="00342566">
        <w:t xml:space="preserve"> секретариату с запросом об оказании технической помощи, если при этом у них возникнут проблемы, и напомина</w:t>
      </w:r>
      <w:r>
        <w:t>я</w:t>
      </w:r>
      <w:r w:rsidRPr="00342566">
        <w:t xml:space="preserve"> Сторонам о наличии определения этого термина в «Международном кодексе поведения в области управления использования пестицидов»;</w:t>
      </w:r>
    </w:p>
    <w:p w:rsidR="00B96B8F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b</w:t>
      </w:r>
      <w:r w:rsidRPr="00B96B8F">
        <w:t>)</w:t>
      </w:r>
      <w:r>
        <w:tab/>
        <w:t xml:space="preserve">сообщить секретариату </w:t>
      </w:r>
      <w:r w:rsidRPr="00342566">
        <w:t>национальное определение термина «пестициды»</w:t>
      </w:r>
      <w:r>
        <w:t>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c</w:t>
      </w:r>
      <w:r w:rsidRPr="00B96B8F">
        <w:t>)</w:t>
      </w:r>
      <w:r>
        <w:tab/>
        <w:t xml:space="preserve">принимать во внимание различия между Сторонами в </w:t>
      </w:r>
      <w:r w:rsidRPr="00342566">
        <w:t>определени</w:t>
      </w:r>
      <w:r>
        <w:t>и</w:t>
      </w:r>
      <w:r w:rsidRPr="00342566">
        <w:t xml:space="preserve"> термина «пестициды»</w:t>
      </w:r>
      <w:r>
        <w:t xml:space="preserve"> в ходе коммуникации с другими Сторонами посредством уведомлений об экспорте и ответов в отношении импорта;     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d</w:t>
      </w:r>
      <w:r w:rsidRPr="00342566">
        <w:t>)</w:t>
      </w:r>
      <w:r w:rsidRPr="00342566">
        <w:tab/>
        <w:t xml:space="preserve">обеспечивать эффективное функционирование </w:t>
      </w:r>
      <w:r>
        <w:t>Роттердамской к</w:t>
      </w:r>
      <w:r w:rsidRPr="00342566">
        <w:t>онвенции, в частности статей 5, 6 и 10, представляя уведомления об окончательных регламентационных постановлениях, предложения о включении особо опасных пестицидных составов и ответы в отношении импорта химических веществ, включенных в перечень;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>
        <w:rPr>
          <w:lang w:val="en-GB"/>
        </w:rPr>
        <w:t>e</w:t>
      </w:r>
      <w:r w:rsidRPr="00342566">
        <w:t>)</w:t>
      </w:r>
      <w:r w:rsidRPr="00342566">
        <w:tab/>
        <w:t>использовать пособие по оценке для окончательных регламентационных постановлений, справочник для принятия решений при регулировании химических веществ Межорганизационной программы по рациональному регулированию химических веществ и другие соответствующие инструменты для национальной оценки рисков и принятия решений, а также для подготовки уведомлений об окончательных регламентационных постановлениях;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f</w:t>
      </w:r>
      <w:r w:rsidRPr="00342566">
        <w:t>)</w:t>
      </w:r>
      <w:r w:rsidRPr="00342566">
        <w:tab/>
        <w:t>направлять в секретариат информацию, которая может помочь другим Сторонам при подготовке и направлении уведомлений об окончательных регламентационных постановлениях, в том числе:</w:t>
      </w:r>
    </w:p>
    <w:p w:rsidR="00B96B8F" w:rsidRPr="00342566" w:rsidRDefault="00B96B8F" w:rsidP="00B96B8F">
      <w:pPr>
        <w:suppressAutoHyphens/>
        <w:spacing w:after="120"/>
        <w:ind w:left="3120" w:hanging="624"/>
      </w:pPr>
      <w:proofErr w:type="spellStart"/>
      <w:r w:rsidRPr="00342566">
        <w:rPr>
          <w:lang w:val="en-GB"/>
        </w:rPr>
        <w:t>i</w:t>
      </w:r>
      <w:proofErr w:type="spellEnd"/>
      <w:r w:rsidRPr="00342566">
        <w:t>)</w:t>
      </w:r>
      <w:r w:rsidRPr="00342566">
        <w:tab/>
        <w:t>научно-техническую информацию, касающуюся оценки рисков и принятия решений по вопросам опасных химических веществ и пестицидов;</w:t>
      </w:r>
    </w:p>
    <w:p w:rsidR="00B96B8F" w:rsidRPr="00B96B8F" w:rsidRDefault="00B96B8F" w:rsidP="00B96B8F">
      <w:pPr>
        <w:suppressAutoHyphens/>
        <w:spacing w:after="120"/>
        <w:ind w:left="3120" w:hanging="630"/>
      </w:pPr>
      <w:r w:rsidRPr="00342566">
        <w:rPr>
          <w:lang w:val="en-GB"/>
        </w:rPr>
        <w:t>ii</w:t>
      </w:r>
      <w:r w:rsidRPr="00342566">
        <w:t>)</w:t>
      </w:r>
      <w:r w:rsidRPr="00342566">
        <w:tab/>
        <w:t>тексты национального законодательства и информацию о других мерах, принимаемых ими для осуществления Конвенции;</w:t>
      </w:r>
      <w:r w:rsidRPr="00B96B8F">
        <w:t xml:space="preserve"> 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g</w:t>
      </w:r>
      <w:r w:rsidRPr="00342566">
        <w:t>)</w:t>
      </w:r>
      <w:r w:rsidRPr="00342566">
        <w:tab/>
        <w:t>предоставлять информацию об осуществлении ими пункта 2 статьи 11 и статей 12 и 14 Конвенции путем представления ответов на периодическую анкету об осуществлении этих статей;</w:t>
      </w:r>
    </w:p>
    <w:p w:rsidR="00B96B8F" w:rsidRPr="00342566" w:rsidRDefault="00B96B8F" w:rsidP="00B96B8F">
      <w:pPr>
        <w:keepNext/>
        <w:suppressAutoHyphens/>
        <w:spacing w:after="120"/>
        <w:ind w:left="1247" w:firstLine="624"/>
      </w:pPr>
      <w:r w:rsidRPr="00342566">
        <w:t>3.</w:t>
      </w:r>
      <w:r w:rsidRPr="00342566">
        <w:tab/>
      </w:r>
      <w:r w:rsidRPr="00342566">
        <w:rPr>
          <w:i/>
        </w:rPr>
        <w:t>призывает</w:t>
      </w:r>
      <w:r w:rsidRPr="00342566">
        <w:t xml:space="preserve"> Стороны: </w:t>
      </w:r>
    </w:p>
    <w:p w:rsidR="00B96B8F" w:rsidRDefault="00B96B8F" w:rsidP="00B96B8F">
      <w:pPr>
        <w:suppressAutoHyphens/>
        <w:spacing w:after="120"/>
        <w:ind w:left="1247" w:firstLine="624"/>
      </w:pPr>
      <w:r w:rsidRPr="00342566">
        <w:rPr>
          <w:lang w:val="en-GB"/>
        </w:rPr>
        <w:t>a</w:t>
      </w:r>
      <w:r w:rsidRPr="00342566">
        <w:t>)</w:t>
      </w:r>
      <w:r w:rsidRPr="00342566">
        <w:tab/>
        <w:t xml:space="preserve">обеспечивать эффективное осуществление статьи 11 </w:t>
      </w:r>
      <w:r>
        <w:t>Роттердамской к</w:t>
      </w:r>
      <w:r w:rsidRPr="00342566">
        <w:t>онвенции</w:t>
      </w:r>
      <w:r>
        <w:t>, которая представляет собой важный вклад в борьбу с незаконной торговлей химическими веществами, являющимися предметом Конвенции</w:t>
      </w:r>
      <w:r w:rsidRPr="00342566">
        <w:t xml:space="preserve">; </w:t>
      </w:r>
    </w:p>
    <w:p w:rsidR="00B96B8F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b</w:t>
      </w:r>
      <w:r w:rsidRPr="00B96B8F">
        <w:t>)</w:t>
      </w:r>
      <w:r>
        <w:tab/>
        <w:t xml:space="preserve">обеспечивать надлежащее осуществление статьи 13, в частности положения о том, чтобы </w:t>
      </w:r>
      <w:r w:rsidRPr="00FA4468">
        <w:t>форма данных, касающихся безопасности, которая соответств</w:t>
      </w:r>
      <w:r>
        <w:t>уе</w:t>
      </w:r>
      <w:r w:rsidRPr="00FA4468">
        <w:t>т</w:t>
      </w:r>
      <w:r>
        <w:t xml:space="preserve"> </w:t>
      </w:r>
      <w:r w:rsidRPr="00FA4468">
        <w:t>международно признанному формату,</w:t>
      </w:r>
      <w:r>
        <w:t xml:space="preserve"> </w:t>
      </w:r>
      <w:r w:rsidRPr="00FA4468">
        <w:t>направлялась каждому импортеру</w:t>
      </w:r>
      <w:r>
        <w:t xml:space="preserve"> химических веществ, перечисленных в приложении </w:t>
      </w:r>
      <w:r>
        <w:rPr>
          <w:lang w:val="en-US"/>
        </w:rPr>
        <w:t>III</w:t>
      </w:r>
      <w:r>
        <w:t>, и химических веществ, которые запрещены или строго ограничены на территории страны-экспортера, для использования в профессиональных целях, на одном или нескольких официальных языках импортирующей Стороны, насколько это практически возможно;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lastRenderedPageBreak/>
        <w:t>c</w:t>
      </w:r>
      <w:r w:rsidRPr="00B96B8F">
        <w:t>)</w:t>
      </w:r>
      <w:r>
        <w:tab/>
        <w:t xml:space="preserve">обеспечивать, чтобы </w:t>
      </w:r>
      <w:r w:rsidRPr="00FF5C55">
        <w:t>в сопроводительном документе</w:t>
      </w:r>
      <w:r>
        <w:t xml:space="preserve"> для отдельного химического вещества или группы химических веществ, перечисленных в приложении </w:t>
      </w:r>
      <w:r>
        <w:rPr>
          <w:lang w:val="en-US"/>
        </w:rPr>
        <w:t>III</w:t>
      </w:r>
      <w:r>
        <w:t xml:space="preserve">, </w:t>
      </w:r>
      <w:r w:rsidRPr="00FF5C55">
        <w:t>был указан</w:t>
      </w:r>
      <w:r>
        <w:t xml:space="preserve"> соответствующий таможенный код Согласованной системы при экспорте данных химических веществ в</w:t>
      </w:r>
      <w:r w:rsidRPr="00FF5C55">
        <w:t>о всех случаях, когда тако</w:t>
      </w:r>
      <w:r>
        <w:t xml:space="preserve">й </w:t>
      </w:r>
      <w:r w:rsidRPr="00FF5C55">
        <w:t xml:space="preserve">код </w:t>
      </w:r>
      <w:r>
        <w:t xml:space="preserve">был </w:t>
      </w:r>
      <w:r w:rsidRPr="00FF5C55">
        <w:t>присвоен</w:t>
      </w:r>
      <w:r>
        <w:t>;</w:t>
      </w:r>
      <w:r w:rsidRPr="00FF5C55">
        <w:t xml:space="preserve"> 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4.</w:t>
      </w:r>
      <w:r w:rsidRPr="00342566">
        <w:tab/>
      </w:r>
      <w:r w:rsidRPr="00342566">
        <w:rPr>
          <w:i/>
        </w:rPr>
        <w:t>постановляет</w:t>
      </w:r>
      <w:r w:rsidRPr="00342566">
        <w:t xml:space="preserve"> скорректировать состав регионов, охватываемых процедурой предварительного обоснованного согласия, для целей осуществления пункта 5 статьи 5 Роттердамской конвенции, как изложено в приложении к решению</w:t>
      </w:r>
      <w:r w:rsidRPr="00342566">
        <w:rPr>
          <w:lang w:val="en-GB"/>
        </w:rPr>
        <w:t> </w:t>
      </w:r>
      <w:r w:rsidRPr="00342566">
        <w:t>РК-1/2, путем: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a)</w:t>
      </w:r>
      <w:r w:rsidRPr="00342566">
        <w:tab/>
        <w:t xml:space="preserve">добавления Государства Палестина в Ближневосточный регион, охватываемый процедурой предварительного обоснованного согласия; 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b)</w:t>
      </w:r>
      <w:r w:rsidRPr="00342566">
        <w:tab/>
        <w:t>добавления Южного Судана в Африканский регион, охватываемый процедурой предварительного обоснованного согласия;</w:t>
      </w:r>
    </w:p>
    <w:p w:rsidR="00B96B8F" w:rsidRPr="00342566" w:rsidRDefault="00B96B8F" w:rsidP="00B96B8F">
      <w:pPr>
        <w:suppressAutoHyphens/>
        <w:spacing w:after="120"/>
        <w:ind w:left="1247" w:firstLine="624"/>
        <w:rPr>
          <w:rFonts w:eastAsia="SimSun"/>
        </w:rPr>
      </w:pPr>
      <w:r w:rsidRPr="00342566">
        <w:t>5.</w:t>
      </w:r>
      <w:r w:rsidRPr="00342566">
        <w:tab/>
      </w:r>
      <w:r w:rsidRPr="00342566">
        <w:rPr>
          <w:i/>
        </w:rPr>
        <w:t xml:space="preserve">поручает </w:t>
      </w:r>
      <w:r w:rsidRPr="00342566">
        <w:t>секретариату подготовить и вести пересмотренный перечень состава регионов, охватываемых процедурой предварительного обоснованного согласия, учитывая все возникающие изменения в названиях Сторон, и разместить его на веб</w:t>
      </w:r>
      <w:r>
        <w:t>-</w:t>
      </w:r>
      <w:r w:rsidRPr="00342566">
        <w:t xml:space="preserve">сайте </w:t>
      </w:r>
      <w:r>
        <w:t>Роттердамской к</w:t>
      </w:r>
      <w:r w:rsidRPr="00342566">
        <w:t>онвенции;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6.</w:t>
      </w:r>
      <w:r w:rsidRPr="00342566">
        <w:tab/>
      </w:r>
      <w:r w:rsidRPr="00342566">
        <w:rPr>
          <w:i/>
        </w:rPr>
        <w:t>также поручает</w:t>
      </w:r>
      <w:r w:rsidRPr="00342566">
        <w:t xml:space="preserve"> секретариату продолжать следить за ситуацией и сообщать Конференции Сторон о любой возможной необходимости вносить изменения в состав регионов, охватываемых процедурой предварительного обоснованного согласия</w:t>
      </w:r>
      <w:r>
        <w:t>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7.</w:t>
      </w:r>
      <w:r w:rsidRPr="00342566">
        <w:tab/>
      </w:r>
      <w:r w:rsidRPr="00342566">
        <w:rPr>
          <w:i/>
        </w:rPr>
        <w:t>предлагает</w:t>
      </w:r>
      <w:r w:rsidRPr="00342566">
        <w:t xml:space="preserve"> Сторонам, государствам, не являющимся Сторонами, промышленным кругам, гражданскому обществу и другим заинтересованным субъектам представить секретариату: 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rPr>
          <w:lang w:val="en-GB"/>
        </w:rPr>
        <w:t>a</w:t>
      </w:r>
      <w:r w:rsidRPr="00342566">
        <w:t>)</w:t>
      </w:r>
      <w:r w:rsidRPr="00342566">
        <w:tab/>
        <w:t xml:space="preserve">данные о международной торговле химическими веществами, включенными или рекомендованными для включения в приложение III к </w:t>
      </w:r>
      <w:r>
        <w:t>Роттердамской к</w:t>
      </w:r>
      <w:r w:rsidRPr="00342566">
        <w:t>онвенции;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rPr>
          <w:lang w:val="en-GB"/>
        </w:rPr>
        <w:t>b</w:t>
      </w:r>
      <w:r w:rsidRPr="00342566">
        <w:t>)</w:t>
      </w:r>
      <w:r w:rsidRPr="00342566">
        <w:tab/>
        <w:t>информацию об измеримом воздействии включения химических веществ в приложение III к Конвенции;</w:t>
      </w:r>
    </w:p>
    <w:p w:rsidR="00B96B8F" w:rsidRPr="00342566" w:rsidRDefault="00B96B8F" w:rsidP="00B96B8F">
      <w:pPr>
        <w:suppressAutoHyphens/>
        <w:spacing w:after="120"/>
        <w:ind w:left="1247" w:firstLine="624"/>
      </w:pPr>
      <w:r w:rsidRPr="00342566">
        <w:t>8.</w:t>
      </w:r>
      <w:r w:rsidRPr="00342566">
        <w:tab/>
      </w:r>
      <w:r w:rsidRPr="00342566">
        <w:rPr>
          <w:i/>
        </w:rPr>
        <w:t>поручает</w:t>
      </w:r>
      <w:r w:rsidRPr="00342566">
        <w:t xml:space="preserve"> секретариату:</w:t>
      </w:r>
    </w:p>
    <w:p w:rsidR="00B96B8F" w:rsidRDefault="00B96B8F" w:rsidP="00B96B8F">
      <w:pPr>
        <w:suppressAutoHyphens/>
        <w:spacing w:after="120"/>
        <w:ind w:left="1247" w:firstLine="624"/>
      </w:pPr>
      <w:r w:rsidRPr="00342566">
        <w:rPr>
          <w:lang w:val="en-GB"/>
        </w:rPr>
        <w:t>a</w:t>
      </w:r>
      <w:r w:rsidRPr="00342566">
        <w:t>)</w:t>
      </w:r>
      <w:r w:rsidRPr="00342566">
        <w:tab/>
        <w:t>продолжать сбор и предоставление Сторонам и другим заинтересованным субъектам в удобном формате информации, упомянутой в пунктах</w:t>
      </w:r>
      <w:r>
        <w:t xml:space="preserve"> 2 </w:t>
      </w:r>
      <w:r>
        <w:rPr>
          <w:lang w:val="en-US"/>
        </w:rPr>
        <w:t>f</w:t>
      </w:r>
      <w:r w:rsidRPr="00342566">
        <w:t xml:space="preserve">) и </w:t>
      </w:r>
      <w:r>
        <w:t>7</w:t>
      </w:r>
      <w:r w:rsidRPr="00342566">
        <w:t xml:space="preserve"> настоящего решения;</w:t>
      </w:r>
    </w:p>
    <w:p w:rsidR="00B96B8F" w:rsidRPr="00B96B8F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b</w:t>
      </w:r>
      <w:r w:rsidRPr="00B96B8F">
        <w:t>)</w:t>
      </w:r>
      <w:r w:rsidRPr="00B96B8F">
        <w:tab/>
      </w:r>
      <w:r w:rsidRPr="00342566">
        <w:t>оказывать Сторонам помощь, при условии наличия ресурсов, с целью содействия</w:t>
      </w:r>
      <w:r>
        <w:t xml:space="preserve"> осуществлению Роттердамской конвенции, включая представление ответов в отношении импорта;</w:t>
      </w:r>
    </w:p>
    <w:p w:rsidR="00B96B8F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c</w:t>
      </w:r>
      <w:r w:rsidRPr="00342566">
        <w:t>)</w:t>
      </w:r>
      <w:r w:rsidRPr="00342566">
        <w:tab/>
        <w:t xml:space="preserve">оказывать Сторонам помощь, при условии наличия ресурсов, с целью содействия представлению уведомлений об окончательных регламентационных постановлениях и предложений о включении особо опасных пестицидных составов, включая индивидуальную помощь для обеспечения соответствия уведомлений требованиям к информации, предусмотренным в приложении I или приложении IV, в соответствующих случаях, к </w:t>
      </w:r>
      <w:r>
        <w:t>К</w:t>
      </w:r>
      <w:r w:rsidRPr="00342566">
        <w:t>онвенции</w:t>
      </w:r>
      <w:r>
        <w:t>;</w:t>
      </w:r>
    </w:p>
    <w:p w:rsidR="00B96B8F" w:rsidRPr="00B96B8F" w:rsidRDefault="00B96B8F" w:rsidP="00B96B8F">
      <w:pPr>
        <w:suppressAutoHyphens/>
        <w:spacing w:after="120"/>
        <w:ind w:left="1247" w:firstLine="624"/>
      </w:pPr>
      <w:r>
        <w:rPr>
          <w:lang w:val="en-US"/>
        </w:rPr>
        <w:t>d</w:t>
      </w:r>
      <w:r w:rsidRPr="00B96B8F">
        <w:t>)</w:t>
      </w:r>
      <w:r w:rsidRPr="00B96B8F">
        <w:tab/>
      </w:r>
      <w:r w:rsidRPr="00342566">
        <w:t>продолжать, при условии наличия ресурсов</w:t>
      </w:r>
      <w:r>
        <w:t xml:space="preserve">, </w:t>
      </w:r>
      <w:r w:rsidRPr="00342566">
        <w:t>сбор и предоставление Сторонам и другим заинтересованным субъектам</w:t>
      </w:r>
      <w:r>
        <w:t xml:space="preserve"> информации о применяемом Сторонами определении термина «пестициды»; </w:t>
      </w:r>
    </w:p>
    <w:p w:rsidR="00B96B8F" w:rsidRPr="00B96B8F" w:rsidRDefault="00B96B8F" w:rsidP="00B96B8F">
      <w:pPr>
        <w:ind w:left="1247" w:firstLine="624"/>
        <w:rPr>
          <w:sz w:val="24"/>
          <w:szCs w:val="24"/>
        </w:rPr>
      </w:pPr>
      <w:r>
        <w:rPr>
          <w:lang w:val="en-US"/>
        </w:rPr>
        <w:t>e</w:t>
      </w:r>
      <w:r w:rsidRPr="00342566">
        <w:t>)</w:t>
      </w:r>
      <w:r w:rsidRPr="00342566">
        <w:tab/>
        <w:t>продолжать, при условии наличия ресурсов, осуществление положений решения РК-7/2, в частности, путем оказания содействия обмену информацией и предоставления помощи Сторонам, по их просьбе, в деле осуществления положений пункта 2 с) статьи 11 и статей 12 и 14 Конвенции.</w:t>
      </w:r>
      <w:r w:rsidRPr="00B96B8F">
        <w:rPr>
          <w:sz w:val="24"/>
          <w:szCs w:val="24"/>
        </w:rPr>
        <w:t xml:space="preserve"> </w:t>
      </w:r>
    </w:p>
    <w:p w:rsidR="00B96B8F" w:rsidRPr="008C3D23" w:rsidRDefault="00B96B8F" w:rsidP="00B96B8F">
      <w:pPr>
        <w:spacing w:after="120"/>
      </w:pPr>
    </w:p>
    <w:p w:rsidR="00F935A6" w:rsidRDefault="00F935A6">
      <w:bookmarkStart w:id="0" w:name="_GoBack"/>
      <w:bookmarkEnd w:id="0"/>
    </w:p>
    <w:sectPr w:rsidR="00F9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8F"/>
    <w:rsid w:val="00B96B8F"/>
    <w:rsid w:val="00F935A6"/>
    <w:rsid w:val="00FA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4DE19-8082-432B-9441-71B28E4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B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Gong</dc:creator>
  <cp:keywords/>
  <dc:description/>
  <cp:lastModifiedBy>Le Gong</cp:lastModifiedBy>
  <cp:revision>1</cp:revision>
  <dcterms:created xsi:type="dcterms:W3CDTF">2019-11-27T21:40:00Z</dcterms:created>
  <dcterms:modified xsi:type="dcterms:W3CDTF">2019-11-27T21:41:00Z</dcterms:modified>
</cp:coreProperties>
</file>