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3E02" w:rsidRPr="00080C66" w:rsidRDefault="00273E02" w:rsidP="00273E02">
      <w:pPr>
        <w:pStyle w:val="CH1"/>
      </w:pPr>
      <w:r w:rsidRPr="00080C66">
        <w:t xml:space="preserve">BC-14/24: Synergies in preventing and combating illegal traffic and trade in hazardous chemicals and wastes </w:t>
      </w:r>
    </w:p>
    <w:p w:rsidR="00273E02" w:rsidRPr="00080C66" w:rsidRDefault="00273E02" w:rsidP="00273E02">
      <w:pPr>
        <w:autoSpaceDE w:val="0"/>
        <w:autoSpaceDN w:val="0"/>
        <w:adjustRightInd w:val="0"/>
        <w:spacing w:after="120"/>
        <w:ind w:left="1247" w:firstLine="624"/>
        <w:rPr>
          <w:i/>
          <w:iCs/>
          <w:lang w:val="en-GB"/>
        </w:rPr>
      </w:pPr>
      <w:r w:rsidRPr="00080C66">
        <w:rPr>
          <w:i/>
          <w:iCs/>
          <w:lang w:val="en-GB"/>
        </w:rPr>
        <w:t>The Conference of the Parties,</w:t>
      </w:r>
    </w:p>
    <w:p w:rsidR="00273E02" w:rsidRPr="00080C66" w:rsidRDefault="00273E02" w:rsidP="00273E02">
      <w:pPr>
        <w:tabs>
          <w:tab w:val="left" w:pos="624"/>
        </w:tabs>
        <w:autoSpaceDE w:val="0"/>
        <w:autoSpaceDN w:val="0"/>
        <w:adjustRightInd w:val="0"/>
        <w:spacing w:after="120"/>
        <w:ind w:left="1247" w:firstLine="624"/>
        <w:rPr>
          <w:lang w:val="en-GB"/>
        </w:rPr>
      </w:pPr>
      <w:r w:rsidRPr="00080C66">
        <w:rPr>
          <w:i/>
          <w:lang w:val="en-GB"/>
        </w:rPr>
        <w:t xml:space="preserve">Recalling </w:t>
      </w:r>
      <w:r w:rsidRPr="00080C66">
        <w:rPr>
          <w:lang w:val="en-GB"/>
        </w:rPr>
        <w:t>decisions BC-13/21, RC-8/14 and SC-8/24, on synergies in preventing and combating illegal traffic and trade in hazardous chemicals and wastes,</w:t>
      </w:r>
    </w:p>
    <w:p w:rsidR="00273E02" w:rsidRPr="00080C66" w:rsidRDefault="00273E02" w:rsidP="00273E02">
      <w:pPr>
        <w:numPr>
          <w:ilvl w:val="0"/>
          <w:numId w:val="4"/>
        </w:numPr>
        <w:tabs>
          <w:tab w:val="clear" w:pos="1247"/>
          <w:tab w:val="clear" w:pos="1814"/>
          <w:tab w:val="clear" w:pos="2381"/>
          <w:tab w:val="clear" w:pos="2948"/>
          <w:tab w:val="clear" w:pos="3515"/>
          <w:tab w:val="left" w:pos="624"/>
        </w:tabs>
        <w:autoSpaceDE w:val="0"/>
        <w:autoSpaceDN w:val="0"/>
        <w:adjustRightInd w:val="0"/>
        <w:spacing w:after="120"/>
        <w:ind w:left="1247" w:firstLine="624"/>
        <w:rPr>
          <w:lang w:val="en-GB"/>
        </w:rPr>
      </w:pPr>
      <w:r w:rsidRPr="00080C66">
        <w:rPr>
          <w:i/>
          <w:iCs/>
          <w:color w:val="000000"/>
          <w:lang w:val="en-GB"/>
        </w:rPr>
        <w:t xml:space="preserve">Takes note </w:t>
      </w:r>
      <w:r w:rsidRPr="00080C66">
        <w:rPr>
          <w:color w:val="000000"/>
          <w:lang w:val="en-GB"/>
        </w:rPr>
        <w:t xml:space="preserve">of the information provided by Parties about their </w:t>
      </w:r>
      <w:r w:rsidRPr="00080C66">
        <w:rPr>
          <w:lang w:val="en-GB"/>
        </w:rPr>
        <w:t>experience with the establishment of coordinating mechanisms and lessons learned from such experience, and about cases of illegal trade in hazardous chemicals and wastes;</w:t>
      </w:r>
      <w:r w:rsidRPr="00080C66">
        <w:rPr>
          <w:rStyle w:val="FootnoteReference"/>
          <w:lang w:val="en-GB"/>
        </w:rPr>
        <w:footnoteReference w:id="1"/>
      </w:r>
    </w:p>
    <w:p w:rsidR="00273E02" w:rsidRPr="00080C66" w:rsidRDefault="00273E02" w:rsidP="00273E02">
      <w:pPr>
        <w:numPr>
          <w:ilvl w:val="0"/>
          <w:numId w:val="4"/>
        </w:numPr>
        <w:tabs>
          <w:tab w:val="clear" w:pos="1247"/>
          <w:tab w:val="clear" w:pos="1814"/>
          <w:tab w:val="clear" w:pos="2381"/>
          <w:tab w:val="clear" w:pos="2948"/>
          <w:tab w:val="clear" w:pos="3515"/>
          <w:tab w:val="left" w:pos="624"/>
        </w:tabs>
        <w:autoSpaceDE w:val="0"/>
        <w:autoSpaceDN w:val="0"/>
        <w:adjustRightInd w:val="0"/>
        <w:spacing w:after="120"/>
        <w:ind w:left="1247" w:firstLine="624"/>
        <w:rPr>
          <w:lang w:val="en-GB"/>
        </w:rPr>
      </w:pPr>
      <w:r w:rsidRPr="00080C66">
        <w:rPr>
          <w:i/>
          <w:iCs/>
          <w:color w:val="000000"/>
          <w:lang w:val="en-GB"/>
        </w:rPr>
        <w:t>Encourages</w:t>
      </w:r>
      <w:r w:rsidRPr="00080C66">
        <w:rPr>
          <w:color w:val="000000"/>
          <w:lang w:val="en-GB"/>
        </w:rPr>
        <w:t xml:space="preserve"> Parties that have not yet done so to </w:t>
      </w:r>
      <w:r w:rsidRPr="00080C66">
        <w:rPr>
          <w:lang w:val="en-GB"/>
        </w:rPr>
        <w:t>establish national-level coordination mechanisms with a view to facilitating the exchange of information among relevant authorities responsible for the implementation and enforcement of the provisions of the Basel Convention on the Control of Transboundary Movements of Hazardous Wastes and Their Disposal, the Rotterdam Convention on the Prior Informed Consent Procedure for Certain Hazardous Chemicals and Pesticides in International Trade and the Stockholm Convention on Persistent Organic Pollutants, aimed at controlling the export and import of the chemicals and wastes covered under the conventions, and encourages Parties to provide information to the Secretariat about cases of illegal traffic and trade in the chemicals and wastes covered by the Basel, Rotterdam and Stockholm conventions, where the provision of such information is appropriate under existing reporting procedures;</w:t>
      </w:r>
    </w:p>
    <w:p w:rsidR="00273E02" w:rsidRPr="00080C66" w:rsidRDefault="00273E02" w:rsidP="00273E02">
      <w:pPr>
        <w:numPr>
          <w:ilvl w:val="0"/>
          <w:numId w:val="4"/>
        </w:numPr>
        <w:tabs>
          <w:tab w:val="clear" w:pos="1247"/>
          <w:tab w:val="clear" w:pos="1814"/>
          <w:tab w:val="clear" w:pos="2381"/>
          <w:tab w:val="clear" w:pos="2948"/>
          <w:tab w:val="clear" w:pos="3515"/>
          <w:tab w:val="left" w:pos="624"/>
        </w:tabs>
        <w:autoSpaceDE w:val="0"/>
        <w:autoSpaceDN w:val="0"/>
        <w:adjustRightInd w:val="0"/>
        <w:spacing w:after="120"/>
        <w:ind w:left="1247" w:firstLine="624"/>
        <w:rPr>
          <w:lang w:val="en-GB"/>
        </w:rPr>
      </w:pPr>
      <w:r w:rsidRPr="00080C66">
        <w:rPr>
          <w:i/>
          <w:iCs/>
          <w:color w:val="000000"/>
          <w:lang w:val="en-GB"/>
        </w:rPr>
        <w:t>Takes note</w:t>
      </w:r>
      <w:r w:rsidRPr="00080C66">
        <w:rPr>
          <w:color w:val="000000"/>
          <w:lang w:val="en-GB"/>
        </w:rPr>
        <w:t xml:space="preserve"> of the report, </w:t>
      </w:r>
      <w:r w:rsidRPr="00080C66">
        <w:rPr>
          <w:lang w:val="en-GB"/>
        </w:rPr>
        <w:t>including recommendations, on further areas for improved legal clarity prepared by the Secretariat;</w:t>
      </w:r>
      <w:r w:rsidRPr="00080C66">
        <w:rPr>
          <w:rStyle w:val="FootnoteReference"/>
          <w:lang w:val="en-GB"/>
        </w:rPr>
        <w:footnoteReference w:id="2"/>
      </w:r>
    </w:p>
    <w:p w:rsidR="00273E02" w:rsidRPr="00080C66" w:rsidRDefault="00273E02" w:rsidP="00273E02">
      <w:pPr>
        <w:numPr>
          <w:ilvl w:val="0"/>
          <w:numId w:val="4"/>
        </w:numPr>
        <w:tabs>
          <w:tab w:val="clear" w:pos="1247"/>
          <w:tab w:val="clear" w:pos="1814"/>
          <w:tab w:val="clear" w:pos="2381"/>
          <w:tab w:val="clear" w:pos="2948"/>
          <w:tab w:val="clear" w:pos="3515"/>
          <w:tab w:val="left" w:pos="624"/>
        </w:tabs>
        <w:autoSpaceDE w:val="0"/>
        <w:autoSpaceDN w:val="0"/>
        <w:adjustRightInd w:val="0"/>
        <w:spacing w:after="120"/>
        <w:ind w:left="1247" w:firstLine="624"/>
        <w:rPr>
          <w:lang w:val="en-GB"/>
        </w:rPr>
      </w:pPr>
      <w:r w:rsidRPr="00080C66">
        <w:rPr>
          <w:i/>
          <w:iCs/>
          <w:color w:val="000000"/>
          <w:lang w:val="en-GB"/>
        </w:rPr>
        <w:t xml:space="preserve">Also takes note </w:t>
      </w:r>
      <w:r w:rsidRPr="00080C66">
        <w:rPr>
          <w:color w:val="000000"/>
          <w:lang w:val="en-GB"/>
        </w:rPr>
        <w:t xml:space="preserve">of the information provided by </w:t>
      </w:r>
      <w:r w:rsidRPr="00080C66">
        <w:rPr>
          <w:lang w:val="en-GB"/>
        </w:rPr>
        <w:t>the member organizations of the Inter</w:t>
      </w:r>
      <w:r w:rsidRPr="00080C66">
        <w:rPr>
          <w:lang w:val="en-GB"/>
        </w:rPr>
        <w:noBreakHyphen/>
        <w:t>Organization Programme for the Sound Management of Chemicals, the Basel Convention and Stockholm Convention regional centres, the International Criminal Police Organization, the World Customs Organization, the secretariat of the Montreal Protocol on Substances that Deplete the Ozone Layer and relevant global and regional enforcement networks about their activities aimed at preventing and combating illegal traffic and trade in hazardous chemicals and wastes as well as lessons learned from those activities;</w:t>
      </w:r>
      <w:r w:rsidRPr="00080C66">
        <w:rPr>
          <w:rStyle w:val="FootnoteReference"/>
          <w:lang w:val="en-GB"/>
        </w:rPr>
        <w:footnoteReference w:id="3"/>
      </w:r>
      <w:r w:rsidRPr="00080C66">
        <w:rPr>
          <w:lang w:val="en-GB"/>
        </w:rPr>
        <w:t xml:space="preserve"> </w:t>
      </w:r>
    </w:p>
    <w:p w:rsidR="00273E02" w:rsidRPr="00080C66" w:rsidRDefault="00273E02" w:rsidP="00273E02">
      <w:pPr>
        <w:numPr>
          <w:ilvl w:val="0"/>
          <w:numId w:val="4"/>
        </w:numPr>
        <w:tabs>
          <w:tab w:val="clear" w:pos="1247"/>
          <w:tab w:val="clear" w:pos="1814"/>
          <w:tab w:val="clear" w:pos="2381"/>
          <w:tab w:val="clear" w:pos="2948"/>
          <w:tab w:val="clear" w:pos="3515"/>
          <w:tab w:val="left" w:pos="624"/>
        </w:tabs>
        <w:autoSpaceDE w:val="0"/>
        <w:autoSpaceDN w:val="0"/>
        <w:adjustRightInd w:val="0"/>
        <w:spacing w:after="120"/>
        <w:ind w:left="1247" w:firstLine="624"/>
        <w:rPr>
          <w:lang w:val="en-GB"/>
        </w:rPr>
      </w:pPr>
      <w:r w:rsidRPr="00080C66">
        <w:rPr>
          <w:i/>
          <w:iCs/>
          <w:lang w:val="en-GB"/>
        </w:rPr>
        <w:t>Encourages</w:t>
      </w:r>
      <w:r w:rsidRPr="00080C66">
        <w:rPr>
          <w:lang w:val="en-GB"/>
        </w:rPr>
        <w:t xml:space="preserve"> the organizations mentioned in paragraph 4 of the present decision to</w:t>
      </w:r>
      <w:r w:rsidRPr="00080C66">
        <w:rPr>
          <w:i/>
          <w:iCs/>
          <w:color w:val="000000"/>
          <w:lang w:val="en-GB"/>
        </w:rPr>
        <w:t xml:space="preserve"> </w:t>
      </w:r>
      <w:r w:rsidRPr="00080C66">
        <w:rPr>
          <w:lang w:val="en-GB"/>
        </w:rPr>
        <w:t xml:space="preserve">undertake activities aimed at assisting Parties to the Basel, Rotterdam and Stockholm conventions to prevent and combat illegal traffic and trade in hazardous chemicals and wastes, and to inform the Secretariat thereof; </w:t>
      </w:r>
    </w:p>
    <w:p w:rsidR="00273E02" w:rsidRPr="00080C66" w:rsidRDefault="00273E02" w:rsidP="00273E02">
      <w:pPr>
        <w:numPr>
          <w:ilvl w:val="0"/>
          <w:numId w:val="4"/>
        </w:numPr>
        <w:tabs>
          <w:tab w:val="clear" w:pos="1247"/>
          <w:tab w:val="clear" w:pos="1814"/>
          <w:tab w:val="clear" w:pos="2381"/>
          <w:tab w:val="clear" w:pos="2948"/>
          <w:tab w:val="clear" w:pos="3515"/>
          <w:tab w:val="left" w:pos="624"/>
        </w:tabs>
        <w:autoSpaceDE w:val="0"/>
        <w:autoSpaceDN w:val="0"/>
        <w:adjustRightInd w:val="0"/>
        <w:spacing w:after="120"/>
        <w:ind w:left="1247" w:firstLine="624"/>
        <w:rPr>
          <w:lang w:val="en-GB"/>
        </w:rPr>
      </w:pPr>
      <w:r w:rsidRPr="00080C66">
        <w:rPr>
          <w:i/>
          <w:iCs/>
          <w:color w:val="000000"/>
          <w:lang w:val="en-GB"/>
        </w:rPr>
        <w:t>Requests</w:t>
      </w:r>
      <w:r w:rsidRPr="00080C66">
        <w:rPr>
          <w:color w:val="000000"/>
          <w:lang w:val="en-GB"/>
        </w:rPr>
        <w:t xml:space="preserve"> the </w:t>
      </w:r>
      <w:r w:rsidRPr="00080C66">
        <w:rPr>
          <w:lang w:val="en-GB"/>
        </w:rPr>
        <w:t>Secretariat</w:t>
      </w:r>
      <w:r w:rsidRPr="00080C66">
        <w:rPr>
          <w:color w:val="000000"/>
          <w:lang w:val="en-GB"/>
        </w:rPr>
        <w:t>:</w:t>
      </w:r>
    </w:p>
    <w:p w:rsidR="00273E02" w:rsidRPr="00080C66" w:rsidRDefault="00273E02" w:rsidP="00273E02">
      <w:pPr>
        <w:pStyle w:val="Normalnumber"/>
        <w:numPr>
          <w:ilvl w:val="1"/>
          <w:numId w:val="3"/>
        </w:numPr>
        <w:tabs>
          <w:tab w:val="clear" w:pos="624"/>
        </w:tabs>
        <w:ind w:firstLine="624"/>
      </w:pPr>
      <w:r w:rsidRPr="00080C66">
        <w:t>To develop, taking into account lessons learned from experience with the Basel Convention, a draft form and explanatory document to enable Parties to the Rotterdam and Stockholm conventions to voluntarily provide information about cases of trade occurring in contravention of those conventions, for comments by Parties and subsequent consideration by the conferences of the Parties to the Rotterdam and Stockholm conventions at their next meetings;</w:t>
      </w:r>
    </w:p>
    <w:p w:rsidR="00273E02" w:rsidRPr="00080C66" w:rsidRDefault="00273E02" w:rsidP="00273E02">
      <w:pPr>
        <w:pStyle w:val="Normalnumber"/>
        <w:numPr>
          <w:ilvl w:val="1"/>
          <w:numId w:val="3"/>
        </w:numPr>
        <w:tabs>
          <w:tab w:val="clear" w:pos="624"/>
        </w:tabs>
        <w:ind w:firstLine="624"/>
      </w:pPr>
      <w:r w:rsidRPr="00080C66">
        <w:t>To prepare, taking into account existing information</w:t>
      </w:r>
      <w:r w:rsidRPr="00080C66">
        <w:rPr>
          <w:rStyle w:val="FootnoteReference"/>
        </w:rPr>
        <w:footnoteReference w:id="4"/>
      </w:r>
      <w:r w:rsidRPr="00080C66">
        <w:t xml:space="preserve"> as well as the information received pursuant to paragraph 5 of the present decision, recommendations concerning opportunities for strengthened cooperation for consideration by the conferences of the Parties to the Basel, Rotterdam and Stockholm conventions at their next meetings;</w:t>
      </w:r>
    </w:p>
    <w:p w:rsidR="00273E02" w:rsidRPr="00080C66" w:rsidRDefault="00273E02" w:rsidP="00273E02">
      <w:pPr>
        <w:pStyle w:val="Normalnumber"/>
        <w:numPr>
          <w:ilvl w:val="1"/>
          <w:numId w:val="3"/>
        </w:numPr>
        <w:tabs>
          <w:tab w:val="clear" w:pos="624"/>
        </w:tabs>
        <w:ind w:firstLine="624"/>
      </w:pPr>
      <w:r w:rsidRPr="00080C66">
        <w:rPr>
          <w:color w:val="000000"/>
        </w:rPr>
        <w:t xml:space="preserve">To continue to provide advice and, subject to the availability of resources, undertake technical </w:t>
      </w:r>
      <w:r w:rsidRPr="00080C66">
        <w:t>assistance</w:t>
      </w:r>
      <w:r w:rsidRPr="00080C66">
        <w:rPr>
          <w:color w:val="000000"/>
        </w:rPr>
        <w:t xml:space="preserve"> </w:t>
      </w:r>
      <w:r w:rsidRPr="00080C66">
        <w:t>activities</w:t>
      </w:r>
      <w:r w:rsidRPr="00080C66">
        <w:rPr>
          <w:color w:val="000000"/>
        </w:rPr>
        <w:t xml:space="preserve"> to strengthen the capacity of Parties to prevent </w:t>
      </w:r>
      <w:r w:rsidRPr="00080C66">
        <w:rPr>
          <w:color w:val="000000"/>
        </w:rPr>
        <w:lastRenderedPageBreak/>
        <w:t>and combat illegal traffic and trade in the chemicals and wastes covered by the Basel, Rotterdam and Stockholm conventions;</w:t>
      </w:r>
    </w:p>
    <w:p w:rsidR="00273E02" w:rsidRPr="00273E02" w:rsidRDefault="00273E02" w:rsidP="00273E02">
      <w:pPr>
        <w:pStyle w:val="Normalnumber"/>
        <w:numPr>
          <w:ilvl w:val="1"/>
          <w:numId w:val="3"/>
        </w:numPr>
        <w:tabs>
          <w:tab w:val="clear" w:pos="624"/>
        </w:tabs>
        <w:ind w:firstLine="624"/>
        <w:rPr>
          <w:color w:val="000000"/>
        </w:rPr>
        <w:sectPr w:rsidR="00273E02" w:rsidRPr="00273E02" w:rsidSect="00273E02">
          <w:footnotePr>
            <w:numRestart w:val="eachSect"/>
          </w:footnotePr>
          <w:pgSz w:w="11906" w:h="16838" w:code="9"/>
          <w:pgMar w:top="907" w:right="992" w:bottom="1418" w:left="1418" w:header="539" w:footer="975" w:gutter="0"/>
          <w:cols w:space="708"/>
          <w:docGrid w:linePitch="360"/>
        </w:sectPr>
      </w:pPr>
      <w:r w:rsidRPr="00080C66">
        <w:rPr>
          <w:color w:val="000000"/>
        </w:rPr>
        <w:t>To report on the implementation of the present decision to the Conference of the Parties at its next meeting.</w:t>
      </w:r>
      <w:bookmarkStart w:id="0" w:name="_GoBack"/>
      <w:bookmarkEnd w:id="0"/>
    </w:p>
    <w:p w:rsidR="0045007D" w:rsidRPr="00273E02" w:rsidRDefault="0045007D" w:rsidP="00273E02">
      <w:pPr>
        <w:tabs>
          <w:tab w:val="clear" w:pos="1247"/>
          <w:tab w:val="clear" w:pos="1814"/>
          <w:tab w:val="clear" w:pos="2381"/>
          <w:tab w:val="clear" w:pos="2948"/>
          <w:tab w:val="clear" w:pos="3515"/>
        </w:tabs>
        <w:rPr>
          <w:lang w:val="en-GB"/>
        </w:rPr>
      </w:pPr>
    </w:p>
    <w:sectPr w:rsidR="0045007D" w:rsidRPr="00273E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09B4" w:rsidRDefault="006109B4" w:rsidP="00273E02">
      <w:r>
        <w:separator/>
      </w:r>
    </w:p>
  </w:endnote>
  <w:endnote w:type="continuationSeparator" w:id="0">
    <w:p w:rsidR="006109B4" w:rsidRDefault="006109B4" w:rsidP="00273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09B4" w:rsidRDefault="006109B4" w:rsidP="00273E02">
      <w:r>
        <w:separator/>
      </w:r>
    </w:p>
  </w:footnote>
  <w:footnote w:type="continuationSeparator" w:id="0">
    <w:p w:rsidR="006109B4" w:rsidRDefault="006109B4" w:rsidP="00273E02">
      <w:r>
        <w:continuationSeparator/>
      </w:r>
    </w:p>
  </w:footnote>
  <w:footnote w:id="1">
    <w:p w:rsidR="00273E02" w:rsidRPr="00325A98" w:rsidRDefault="00273E02" w:rsidP="00273E02">
      <w:pPr>
        <w:pStyle w:val="FootnoteText"/>
        <w:tabs>
          <w:tab w:val="left" w:pos="624"/>
        </w:tabs>
        <w:ind w:right="57"/>
        <w:rPr>
          <w:szCs w:val="18"/>
          <w:lang w:val="en-GB"/>
        </w:rPr>
      </w:pPr>
      <w:r w:rsidRPr="00325A98">
        <w:rPr>
          <w:rStyle w:val="FootnoteReference"/>
          <w:lang w:val="en-GB"/>
        </w:rPr>
        <w:footnoteRef/>
      </w:r>
      <w:r w:rsidRPr="00325A98">
        <w:rPr>
          <w:szCs w:val="18"/>
          <w:lang w:val="en-GB"/>
        </w:rPr>
        <w:t xml:space="preserve"> UNEP/CHW.14/23–UNEP/FAO/RC/COP.9/19–UNEP/POPS/COP.9/26 and UNEP/CHW.14/INF/42–UNEP/FAO/RC/COP.9/INF/33–UNEP/POPS/COP.9/INF/42, annex I.</w:t>
      </w:r>
    </w:p>
  </w:footnote>
  <w:footnote w:id="2">
    <w:p w:rsidR="00273E02" w:rsidRPr="00325A98" w:rsidRDefault="00273E02" w:rsidP="00273E02">
      <w:pPr>
        <w:pStyle w:val="FootnoteText"/>
        <w:tabs>
          <w:tab w:val="left" w:pos="624"/>
        </w:tabs>
        <w:ind w:right="57"/>
        <w:rPr>
          <w:szCs w:val="18"/>
          <w:lang w:val="en-GB"/>
        </w:rPr>
      </w:pPr>
      <w:r w:rsidRPr="00325A98">
        <w:rPr>
          <w:rStyle w:val="FootnoteReference"/>
          <w:lang w:val="en-GB"/>
        </w:rPr>
        <w:footnoteRef/>
      </w:r>
      <w:r w:rsidRPr="00325A98">
        <w:rPr>
          <w:szCs w:val="18"/>
          <w:lang w:val="en-GB"/>
        </w:rPr>
        <w:t xml:space="preserve"> UNEP/CHW.14/INF/41–UNEP/FAO/RC/COP.9/INF/34–UNEP/POPS/COP.9/INF/43, annex.</w:t>
      </w:r>
    </w:p>
  </w:footnote>
  <w:footnote w:id="3">
    <w:p w:rsidR="00273E02" w:rsidRPr="00325A98" w:rsidRDefault="00273E02" w:rsidP="00273E02">
      <w:pPr>
        <w:tabs>
          <w:tab w:val="left" w:pos="624"/>
        </w:tabs>
        <w:spacing w:before="20" w:after="40"/>
        <w:ind w:left="1247" w:right="57"/>
        <w:rPr>
          <w:sz w:val="18"/>
          <w:szCs w:val="18"/>
          <w:lang w:val="en-GB"/>
        </w:rPr>
      </w:pPr>
      <w:r w:rsidRPr="00325A98">
        <w:rPr>
          <w:rStyle w:val="FootnoteReference"/>
          <w:sz w:val="18"/>
          <w:lang w:val="en-GB"/>
        </w:rPr>
        <w:footnoteRef/>
      </w:r>
      <w:r w:rsidRPr="00325A98">
        <w:rPr>
          <w:sz w:val="18"/>
          <w:szCs w:val="18"/>
          <w:lang w:val="en-GB"/>
        </w:rPr>
        <w:t xml:space="preserve"> UNEP/CHW.14/23–UNEP/FAO/RC/COP.9/19–UNEP/POPS/COP.9/26 and UNEP/CHW.14/INF/42–UNEP/FAO/RC/COP.9/INF/33–UNEP/POPS/COP.9/INF/42, annex II.</w:t>
      </w:r>
    </w:p>
  </w:footnote>
  <w:footnote w:id="4">
    <w:p w:rsidR="00273E02" w:rsidRPr="00325A98" w:rsidRDefault="00273E02" w:rsidP="00273E02">
      <w:pPr>
        <w:pStyle w:val="FootnoteText"/>
        <w:tabs>
          <w:tab w:val="left" w:pos="624"/>
        </w:tabs>
        <w:ind w:right="57"/>
        <w:rPr>
          <w:szCs w:val="18"/>
          <w:lang w:val="en-GB"/>
        </w:rPr>
      </w:pPr>
      <w:r w:rsidRPr="00325A98">
        <w:rPr>
          <w:szCs w:val="18"/>
          <w:vertAlign w:val="superscript"/>
          <w:lang w:val="en-GB"/>
        </w:rPr>
        <w:footnoteRef/>
      </w:r>
      <w:r w:rsidRPr="00325A98">
        <w:rPr>
          <w:szCs w:val="18"/>
          <w:vertAlign w:val="superscript"/>
          <w:lang w:val="en-GB"/>
        </w:rPr>
        <w:t xml:space="preserve"> </w:t>
      </w:r>
      <w:r w:rsidRPr="00325A98">
        <w:rPr>
          <w:szCs w:val="18"/>
          <w:lang w:val="en-GB"/>
        </w:rPr>
        <w:t>UNEP/CHW.14/INF/42–UNEP/FAO/RC/COP.9/INF/33–UNEP/POPS/COP.9/INF/42, annex II.</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E1F46"/>
    <w:multiLevelType w:val="hybridMultilevel"/>
    <w:tmpl w:val="DB723F7A"/>
    <w:lvl w:ilvl="0" w:tplc="0409000F">
      <w:start w:val="1"/>
      <w:numFmt w:val="decimal"/>
      <w:lvlText w:val="%1."/>
      <w:lvlJc w:val="left"/>
      <w:pPr>
        <w:tabs>
          <w:tab w:val="num" w:pos="3215"/>
        </w:tabs>
        <w:ind w:left="3215" w:hanging="360"/>
      </w:pPr>
    </w:lvl>
    <w:lvl w:ilvl="1" w:tplc="04090019">
      <w:start w:val="1"/>
      <w:numFmt w:val="lowerLetter"/>
      <w:lvlText w:val="%2."/>
      <w:lvlJc w:val="left"/>
      <w:pPr>
        <w:tabs>
          <w:tab w:val="num" w:pos="3935"/>
        </w:tabs>
        <w:ind w:left="3935" w:hanging="360"/>
      </w:pPr>
    </w:lvl>
    <w:lvl w:ilvl="2" w:tplc="0409001B" w:tentative="1">
      <w:start w:val="1"/>
      <w:numFmt w:val="lowerRoman"/>
      <w:lvlText w:val="%3."/>
      <w:lvlJc w:val="right"/>
      <w:pPr>
        <w:tabs>
          <w:tab w:val="num" w:pos="4655"/>
        </w:tabs>
        <w:ind w:left="4655" w:hanging="180"/>
      </w:pPr>
    </w:lvl>
    <w:lvl w:ilvl="3" w:tplc="0409000F">
      <w:start w:val="1"/>
      <w:numFmt w:val="decimal"/>
      <w:lvlText w:val="%4."/>
      <w:lvlJc w:val="left"/>
      <w:pPr>
        <w:tabs>
          <w:tab w:val="num" w:pos="5375"/>
        </w:tabs>
        <w:ind w:left="5375" w:hanging="360"/>
      </w:pPr>
    </w:lvl>
    <w:lvl w:ilvl="4" w:tplc="04090019" w:tentative="1">
      <w:start w:val="1"/>
      <w:numFmt w:val="lowerLetter"/>
      <w:lvlText w:val="%5."/>
      <w:lvlJc w:val="left"/>
      <w:pPr>
        <w:tabs>
          <w:tab w:val="num" w:pos="6095"/>
        </w:tabs>
        <w:ind w:left="6095" w:hanging="360"/>
      </w:pPr>
    </w:lvl>
    <w:lvl w:ilvl="5" w:tplc="0409001B" w:tentative="1">
      <w:start w:val="1"/>
      <w:numFmt w:val="lowerRoman"/>
      <w:lvlText w:val="%6."/>
      <w:lvlJc w:val="right"/>
      <w:pPr>
        <w:tabs>
          <w:tab w:val="num" w:pos="6815"/>
        </w:tabs>
        <w:ind w:left="6815" w:hanging="180"/>
      </w:pPr>
    </w:lvl>
    <w:lvl w:ilvl="6" w:tplc="0409000F" w:tentative="1">
      <w:start w:val="1"/>
      <w:numFmt w:val="decimal"/>
      <w:lvlText w:val="%7."/>
      <w:lvlJc w:val="left"/>
      <w:pPr>
        <w:tabs>
          <w:tab w:val="num" w:pos="7535"/>
        </w:tabs>
        <w:ind w:left="7535" w:hanging="360"/>
      </w:pPr>
    </w:lvl>
    <w:lvl w:ilvl="7" w:tplc="04090019" w:tentative="1">
      <w:start w:val="1"/>
      <w:numFmt w:val="lowerLetter"/>
      <w:lvlText w:val="%8."/>
      <w:lvlJc w:val="left"/>
      <w:pPr>
        <w:tabs>
          <w:tab w:val="num" w:pos="8255"/>
        </w:tabs>
        <w:ind w:left="8255" w:hanging="360"/>
      </w:pPr>
    </w:lvl>
    <w:lvl w:ilvl="8" w:tplc="0409001B" w:tentative="1">
      <w:start w:val="1"/>
      <w:numFmt w:val="lowerRoman"/>
      <w:lvlText w:val="%9."/>
      <w:lvlJc w:val="right"/>
      <w:pPr>
        <w:tabs>
          <w:tab w:val="num" w:pos="8975"/>
        </w:tabs>
        <w:ind w:left="8975" w:hanging="180"/>
      </w:pPr>
    </w:lvl>
  </w:abstractNum>
  <w:abstractNum w:abstractNumId="1" w15:restartNumberingAfterBreak="0">
    <w:nsid w:val="171113A7"/>
    <w:multiLevelType w:val="multilevel"/>
    <w:tmpl w:val="48241D10"/>
    <w:lvl w:ilvl="0">
      <w:start w:val="1"/>
      <w:numFmt w:val="decimal"/>
      <w:lvlText w:val="%1."/>
      <w:lvlJc w:val="left"/>
      <w:pPr>
        <w:tabs>
          <w:tab w:val="num" w:pos="567"/>
        </w:tabs>
        <w:ind w:left="1247" w:firstLine="0"/>
      </w:pPr>
      <w:rPr>
        <w:rFonts w:hint="default"/>
      </w:rPr>
    </w:lvl>
    <w:lvl w:ilvl="1">
      <w:start w:val="1"/>
      <w:numFmt w:val="lowerLetter"/>
      <w:lvlText w:val="(%2)"/>
      <w:lvlJc w:val="left"/>
      <w:pPr>
        <w:tabs>
          <w:tab w:val="num" w:pos="567"/>
        </w:tabs>
        <w:ind w:left="1247" w:firstLine="567"/>
      </w:pPr>
      <w:rPr>
        <w:rFonts w:hint="default"/>
      </w:rPr>
    </w:lvl>
    <w:lvl w:ilvl="2">
      <w:start w:val="1"/>
      <w:numFmt w:val="lowerRoman"/>
      <w:lvlText w:val="(%3)"/>
      <w:lvlJc w:val="left"/>
      <w:pPr>
        <w:tabs>
          <w:tab w:val="num" w:pos="567"/>
        </w:tabs>
        <w:ind w:left="2948" w:hanging="567"/>
      </w:pPr>
      <w:rPr>
        <w:rFonts w:hint="default"/>
      </w:rPr>
    </w:lvl>
    <w:lvl w:ilvl="3">
      <w:start w:val="1"/>
      <w:numFmt w:val="lowerLetter"/>
      <w:lvlText w:val="%4."/>
      <w:lvlJc w:val="left"/>
      <w:pPr>
        <w:tabs>
          <w:tab w:val="num" w:pos="567"/>
        </w:tabs>
        <w:ind w:left="3515" w:hanging="567"/>
      </w:pPr>
      <w:rPr>
        <w:rFonts w:hint="default"/>
      </w:rPr>
    </w:lvl>
    <w:lvl w:ilvl="4">
      <w:start w:val="1"/>
      <w:numFmt w:val="lowerLetter"/>
      <w:lvlText w:val="%5."/>
      <w:lvlJc w:val="left"/>
      <w:pPr>
        <w:tabs>
          <w:tab w:val="num" w:pos="6548"/>
        </w:tabs>
        <w:ind w:left="6548" w:hanging="360"/>
      </w:pPr>
      <w:rPr>
        <w:rFonts w:hint="default"/>
      </w:rPr>
    </w:lvl>
    <w:lvl w:ilvl="5">
      <w:start w:val="1"/>
      <w:numFmt w:val="lowerRoman"/>
      <w:lvlText w:val="%6."/>
      <w:lvlJc w:val="right"/>
      <w:pPr>
        <w:tabs>
          <w:tab w:val="num" w:pos="7268"/>
        </w:tabs>
        <w:ind w:left="7268" w:hanging="180"/>
      </w:pPr>
      <w:rPr>
        <w:rFonts w:hint="default"/>
      </w:rPr>
    </w:lvl>
    <w:lvl w:ilvl="6">
      <w:start w:val="1"/>
      <w:numFmt w:val="decimal"/>
      <w:lvlText w:val="%7."/>
      <w:lvlJc w:val="left"/>
      <w:pPr>
        <w:tabs>
          <w:tab w:val="num" w:pos="7988"/>
        </w:tabs>
        <w:ind w:left="7988" w:hanging="360"/>
      </w:pPr>
      <w:rPr>
        <w:rFonts w:hint="default"/>
      </w:rPr>
    </w:lvl>
    <w:lvl w:ilvl="7">
      <w:start w:val="1"/>
      <w:numFmt w:val="lowerLetter"/>
      <w:lvlText w:val="%8."/>
      <w:lvlJc w:val="left"/>
      <w:pPr>
        <w:tabs>
          <w:tab w:val="num" w:pos="8708"/>
        </w:tabs>
        <w:ind w:left="8708" w:hanging="360"/>
      </w:pPr>
      <w:rPr>
        <w:rFonts w:hint="default"/>
      </w:rPr>
    </w:lvl>
    <w:lvl w:ilvl="8">
      <w:start w:val="1"/>
      <w:numFmt w:val="lowerRoman"/>
      <w:lvlText w:val="%9."/>
      <w:lvlJc w:val="right"/>
      <w:pPr>
        <w:tabs>
          <w:tab w:val="num" w:pos="9428"/>
        </w:tabs>
        <w:ind w:left="9428" w:hanging="180"/>
      </w:pPr>
      <w:rPr>
        <w:rFonts w:hint="default"/>
      </w:rPr>
    </w:lvl>
  </w:abstractNum>
  <w:abstractNum w:abstractNumId="2" w15:restartNumberingAfterBreak="0">
    <w:nsid w:val="52A66A9D"/>
    <w:multiLevelType w:val="multilevel"/>
    <w:tmpl w:val="D07A6E4C"/>
    <w:styleLink w:val="Normallist"/>
    <w:lvl w:ilvl="0">
      <w:start w:val="1"/>
      <w:numFmt w:val="decimal"/>
      <w:pStyle w:val="Normalnumber"/>
      <w:lvlText w:val="%1."/>
      <w:lvlJc w:val="left"/>
      <w:pPr>
        <w:tabs>
          <w:tab w:val="num" w:pos="1134"/>
        </w:tabs>
        <w:ind w:left="1247" w:firstLine="0"/>
      </w:pPr>
      <w:rPr>
        <w:rFonts w:hint="default"/>
      </w:rPr>
    </w:lvl>
    <w:lvl w:ilvl="1">
      <w:start w:val="1"/>
      <w:numFmt w:val="lowerLetter"/>
      <w:lvlText w:val="(%2)"/>
      <w:lvlJc w:val="left"/>
      <w:pPr>
        <w:tabs>
          <w:tab w:val="num" w:pos="1134"/>
        </w:tabs>
        <w:ind w:left="1247" w:firstLine="567"/>
      </w:pPr>
      <w:rPr>
        <w:rFonts w:hint="default"/>
      </w:rPr>
    </w:lvl>
    <w:lvl w:ilvl="2">
      <w:start w:val="1"/>
      <w:numFmt w:val="lowerRoman"/>
      <w:lvlText w:val="(%3)"/>
      <w:lvlJc w:val="left"/>
      <w:pPr>
        <w:tabs>
          <w:tab w:val="num" w:pos="1134"/>
        </w:tabs>
        <w:ind w:left="2948" w:hanging="567"/>
      </w:pPr>
      <w:rPr>
        <w:rFonts w:hint="default"/>
      </w:rPr>
    </w:lvl>
    <w:lvl w:ilvl="3">
      <w:start w:val="1"/>
      <w:numFmt w:val="lowerLetter"/>
      <w:lvlText w:val="%4."/>
      <w:lvlJc w:val="left"/>
      <w:pPr>
        <w:tabs>
          <w:tab w:val="num" w:pos="1134"/>
        </w:tabs>
        <w:ind w:left="3515" w:hanging="567"/>
      </w:pPr>
      <w:rPr>
        <w:rFonts w:hint="default"/>
      </w:rPr>
    </w:lvl>
    <w:lvl w:ilvl="4">
      <w:start w:val="1"/>
      <w:numFmt w:val="lowerRoman"/>
      <w:lvlText w:val="%5."/>
      <w:lvlJc w:val="left"/>
      <w:pPr>
        <w:tabs>
          <w:tab w:val="num" w:pos="1134"/>
        </w:tabs>
        <w:ind w:left="4082" w:hanging="567"/>
      </w:pPr>
      <w:rPr>
        <w:rFonts w:hint="default"/>
      </w:rPr>
    </w:lvl>
    <w:lvl w:ilvl="5">
      <w:start w:val="1"/>
      <w:numFmt w:val="lowerRoman"/>
      <w:lvlText w:val="%6."/>
      <w:lvlJc w:val="right"/>
      <w:pPr>
        <w:tabs>
          <w:tab w:val="num" w:pos="7835"/>
        </w:tabs>
        <w:ind w:left="7835" w:hanging="180"/>
      </w:pPr>
      <w:rPr>
        <w:rFonts w:hint="default"/>
      </w:rPr>
    </w:lvl>
    <w:lvl w:ilvl="6">
      <w:start w:val="1"/>
      <w:numFmt w:val="decimal"/>
      <w:lvlText w:val="%7."/>
      <w:lvlJc w:val="left"/>
      <w:pPr>
        <w:tabs>
          <w:tab w:val="num" w:pos="8555"/>
        </w:tabs>
        <w:ind w:left="8555" w:hanging="360"/>
      </w:pPr>
      <w:rPr>
        <w:rFonts w:hint="default"/>
      </w:rPr>
    </w:lvl>
    <w:lvl w:ilvl="7">
      <w:start w:val="1"/>
      <w:numFmt w:val="lowerLetter"/>
      <w:lvlText w:val="%8."/>
      <w:lvlJc w:val="left"/>
      <w:pPr>
        <w:tabs>
          <w:tab w:val="num" w:pos="9275"/>
        </w:tabs>
        <w:ind w:left="9275" w:hanging="360"/>
      </w:pPr>
      <w:rPr>
        <w:rFonts w:hint="default"/>
      </w:rPr>
    </w:lvl>
    <w:lvl w:ilvl="8">
      <w:start w:val="1"/>
      <w:numFmt w:val="lowerRoman"/>
      <w:lvlText w:val="%9."/>
      <w:lvlJc w:val="right"/>
      <w:pPr>
        <w:tabs>
          <w:tab w:val="num" w:pos="9995"/>
        </w:tabs>
        <w:ind w:left="9995" w:hanging="180"/>
      </w:pPr>
      <w:rPr>
        <w:rFonts w:hint="default"/>
      </w:rPr>
    </w:lvl>
  </w:abstractNum>
  <w:num w:numId="1">
    <w:abstractNumId w:val="2"/>
  </w:num>
  <w:num w:numId="2">
    <w:abstractNumId w:val="2"/>
    <w:lvlOverride w:ilvl="0">
      <w:lvl w:ilvl="0">
        <w:start w:val="1"/>
        <w:numFmt w:val="decimal"/>
        <w:pStyle w:val="Normalnumber"/>
        <w:lvlText w:val="%1."/>
        <w:lvlJc w:val="left"/>
        <w:pPr>
          <w:tabs>
            <w:tab w:val="num" w:pos="1134"/>
          </w:tabs>
          <w:ind w:left="1247" w:firstLine="0"/>
        </w:pPr>
        <w:rPr>
          <w:rFonts w:hint="default"/>
        </w:rPr>
      </w:lvl>
    </w:lvlOverride>
    <w:lvlOverride w:ilvl="1">
      <w:lvl w:ilvl="1">
        <w:start w:val="1"/>
        <w:numFmt w:val="lowerLetter"/>
        <w:lvlText w:val="(%2)"/>
        <w:lvlJc w:val="left"/>
        <w:pPr>
          <w:tabs>
            <w:tab w:val="num" w:pos="1134"/>
          </w:tabs>
          <w:ind w:left="1247" w:firstLine="567"/>
        </w:pPr>
        <w:rPr>
          <w:rFonts w:hint="default"/>
        </w:rPr>
      </w:lvl>
    </w:lvlOverride>
    <w:lvlOverride w:ilvl="2">
      <w:lvl w:ilvl="2">
        <w:start w:val="1"/>
        <w:numFmt w:val="lowerRoman"/>
        <w:lvlText w:val="(%3)"/>
        <w:lvlJc w:val="left"/>
        <w:pPr>
          <w:tabs>
            <w:tab w:val="num" w:pos="1134"/>
          </w:tabs>
          <w:ind w:left="2948" w:hanging="567"/>
        </w:pPr>
        <w:rPr>
          <w:rFonts w:hint="default"/>
        </w:rPr>
      </w:lvl>
    </w:lvlOverride>
    <w:lvlOverride w:ilvl="3">
      <w:lvl w:ilvl="3">
        <w:start w:val="1"/>
        <w:numFmt w:val="lowerLetter"/>
        <w:lvlText w:val="%4."/>
        <w:lvlJc w:val="left"/>
        <w:pPr>
          <w:tabs>
            <w:tab w:val="num" w:pos="1134"/>
          </w:tabs>
          <w:ind w:left="3515" w:hanging="567"/>
        </w:pPr>
        <w:rPr>
          <w:rFonts w:hint="default"/>
        </w:rPr>
      </w:lvl>
    </w:lvlOverride>
    <w:lvlOverride w:ilvl="4">
      <w:lvl w:ilvl="4">
        <w:start w:val="1"/>
        <w:numFmt w:val="lowerRoman"/>
        <w:lvlText w:val="%5."/>
        <w:lvlJc w:val="left"/>
        <w:pPr>
          <w:tabs>
            <w:tab w:val="num" w:pos="1134"/>
          </w:tabs>
          <w:ind w:left="4082" w:hanging="567"/>
        </w:pPr>
        <w:rPr>
          <w:rFonts w:hint="default"/>
        </w:rPr>
      </w:lvl>
    </w:lvlOverride>
    <w:lvlOverride w:ilvl="5">
      <w:lvl w:ilvl="5">
        <w:start w:val="1"/>
        <w:numFmt w:val="lowerRoman"/>
        <w:lvlText w:val="%6."/>
        <w:lvlJc w:val="right"/>
        <w:pPr>
          <w:tabs>
            <w:tab w:val="num" w:pos="7835"/>
          </w:tabs>
          <w:ind w:left="7835" w:hanging="180"/>
        </w:pPr>
        <w:rPr>
          <w:rFonts w:hint="default"/>
        </w:rPr>
      </w:lvl>
    </w:lvlOverride>
    <w:lvlOverride w:ilvl="6">
      <w:lvl w:ilvl="6">
        <w:start w:val="1"/>
        <w:numFmt w:val="decimal"/>
        <w:lvlText w:val="%7."/>
        <w:lvlJc w:val="left"/>
        <w:pPr>
          <w:tabs>
            <w:tab w:val="num" w:pos="8555"/>
          </w:tabs>
          <w:ind w:left="8555" w:hanging="360"/>
        </w:pPr>
        <w:rPr>
          <w:rFonts w:hint="default"/>
        </w:rPr>
      </w:lvl>
    </w:lvlOverride>
    <w:lvlOverride w:ilvl="7">
      <w:lvl w:ilvl="7">
        <w:start w:val="1"/>
        <w:numFmt w:val="lowerLetter"/>
        <w:lvlText w:val="%8."/>
        <w:lvlJc w:val="left"/>
        <w:pPr>
          <w:tabs>
            <w:tab w:val="num" w:pos="9275"/>
          </w:tabs>
          <w:ind w:left="9275" w:hanging="360"/>
        </w:pPr>
        <w:rPr>
          <w:rFonts w:hint="default"/>
        </w:rPr>
      </w:lvl>
    </w:lvlOverride>
    <w:lvlOverride w:ilvl="8">
      <w:lvl w:ilvl="8">
        <w:start w:val="1"/>
        <w:numFmt w:val="lowerRoman"/>
        <w:lvlText w:val="%9."/>
        <w:lvlJc w:val="right"/>
        <w:pPr>
          <w:tabs>
            <w:tab w:val="num" w:pos="9995"/>
          </w:tabs>
          <w:ind w:left="9995" w:hanging="180"/>
        </w:pPr>
        <w:rPr>
          <w:rFonts w:hint="default"/>
        </w:rPr>
      </w:lvl>
    </w:lvlOverride>
  </w:num>
  <w:num w:numId="3">
    <w:abstractNumId w:val="1"/>
    <w:lvlOverride w:ilvl="0">
      <w:lvl w:ilvl="0">
        <w:start w:val="1"/>
        <w:numFmt w:val="decimal"/>
        <w:lvlText w:val="%1."/>
        <w:lvlJc w:val="left"/>
        <w:pPr>
          <w:tabs>
            <w:tab w:val="num" w:pos="567"/>
          </w:tabs>
          <w:ind w:left="1247" w:firstLine="0"/>
        </w:pPr>
      </w:lvl>
    </w:lvlOverride>
    <w:lvlOverride w:ilvl="1">
      <w:lvl w:ilvl="1">
        <w:start w:val="1"/>
        <w:numFmt w:val="lowerLetter"/>
        <w:lvlText w:val="(%2)"/>
        <w:lvlJc w:val="left"/>
        <w:pPr>
          <w:tabs>
            <w:tab w:val="num" w:pos="567"/>
          </w:tabs>
          <w:ind w:left="1247" w:firstLine="567"/>
        </w:pPr>
      </w:lvl>
    </w:lvlOverride>
    <w:lvlOverride w:ilvl="2">
      <w:lvl w:ilvl="2">
        <w:start w:val="1"/>
        <w:numFmt w:val="lowerRoman"/>
        <w:lvlText w:val="(%3)"/>
        <w:lvlJc w:val="left"/>
        <w:pPr>
          <w:tabs>
            <w:tab w:val="num" w:pos="567"/>
          </w:tabs>
          <w:ind w:left="2948" w:hanging="567"/>
        </w:pPr>
      </w:lvl>
    </w:lvlOverride>
    <w:lvlOverride w:ilvl="3">
      <w:lvl w:ilvl="3">
        <w:start w:val="1"/>
        <w:numFmt w:val="lowerLetter"/>
        <w:lvlText w:val="%4."/>
        <w:lvlJc w:val="left"/>
        <w:pPr>
          <w:tabs>
            <w:tab w:val="num" w:pos="567"/>
          </w:tabs>
          <w:ind w:left="3515" w:hanging="567"/>
        </w:pPr>
      </w:lvl>
    </w:lvlOverride>
    <w:lvlOverride w:ilvl="4">
      <w:lvl w:ilvl="4">
        <w:start w:val="1"/>
        <w:numFmt w:val="lowerLetter"/>
        <w:lvlText w:val="%5."/>
        <w:lvlJc w:val="left"/>
        <w:pPr>
          <w:tabs>
            <w:tab w:val="num" w:pos="6548"/>
          </w:tabs>
          <w:ind w:left="6548" w:hanging="360"/>
        </w:pPr>
      </w:lvl>
    </w:lvlOverride>
    <w:lvlOverride w:ilvl="5">
      <w:lvl w:ilvl="5">
        <w:start w:val="1"/>
        <w:numFmt w:val="lowerRoman"/>
        <w:lvlText w:val="%6."/>
        <w:lvlJc w:val="right"/>
        <w:pPr>
          <w:tabs>
            <w:tab w:val="num" w:pos="7268"/>
          </w:tabs>
          <w:ind w:left="7268" w:hanging="180"/>
        </w:pPr>
      </w:lvl>
    </w:lvlOverride>
    <w:lvlOverride w:ilvl="6">
      <w:lvl w:ilvl="6">
        <w:start w:val="1"/>
        <w:numFmt w:val="decimal"/>
        <w:lvlText w:val="%7."/>
        <w:lvlJc w:val="left"/>
        <w:pPr>
          <w:tabs>
            <w:tab w:val="num" w:pos="7988"/>
          </w:tabs>
          <w:ind w:left="7988" w:hanging="360"/>
        </w:pPr>
      </w:lvl>
    </w:lvlOverride>
    <w:lvlOverride w:ilvl="7">
      <w:lvl w:ilvl="7">
        <w:start w:val="1"/>
        <w:numFmt w:val="lowerLetter"/>
        <w:lvlText w:val="%8."/>
        <w:lvlJc w:val="left"/>
        <w:pPr>
          <w:tabs>
            <w:tab w:val="num" w:pos="8708"/>
          </w:tabs>
          <w:ind w:left="8708" w:hanging="360"/>
        </w:pPr>
      </w:lvl>
    </w:lvlOverride>
    <w:lvlOverride w:ilvl="8">
      <w:lvl w:ilvl="8">
        <w:start w:val="1"/>
        <w:numFmt w:val="lowerRoman"/>
        <w:lvlText w:val="%9."/>
        <w:lvlJc w:val="right"/>
        <w:pPr>
          <w:tabs>
            <w:tab w:val="num" w:pos="9428"/>
          </w:tabs>
          <w:ind w:left="9428" w:hanging="180"/>
        </w:pPr>
      </w:lvl>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E02"/>
    <w:rsid w:val="00273E02"/>
    <w:rsid w:val="0045007D"/>
    <w:rsid w:val="00610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F65FB"/>
  <w15:chartTrackingRefBased/>
  <w15:docId w15:val="{76562E6D-0664-416E-8827-A4EABA783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3E02"/>
    <w:pPr>
      <w:tabs>
        <w:tab w:val="left" w:pos="1247"/>
        <w:tab w:val="left" w:pos="1814"/>
        <w:tab w:val="left" w:pos="2381"/>
        <w:tab w:val="left" w:pos="2948"/>
        <w:tab w:val="left" w:pos="3515"/>
      </w:tabs>
      <w:spacing w:after="0" w:line="240" w:lineRule="auto"/>
    </w:pPr>
    <w:rPr>
      <w:rFonts w:ascii="Times New Roman" w:eastAsia="Times New Roman" w:hAnsi="Times New Roman" w:cs="Times New Roman"/>
      <w:sz w:val="20"/>
      <w:szCs w:val="2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1">
    <w:name w:val="CH1"/>
    <w:basedOn w:val="Normal"/>
    <w:next w:val="Normal"/>
    <w:rsid w:val="00273E02"/>
    <w:pPr>
      <w:keepNext/>
      <w:keepLines/>
      <w:tabs>
        <w:tab w:val="right" w:pos="851"/>
        <w:tab w:val="left" w:pos="4082"/>
      </w:tabs>
      <w:suppressAutoHyphens/>
      <w:spacing w:before="240" w:after="120"/>
      <w:ind w:left="1247" w:right="284" w:hanging="1247"/>
    </w:pPr>
    <w:rPr>
      <w:b/>
      <w:sz w:val="28"/>
      <w:szCs w:val="28"/>
      <w:lang w:val="en-GB"/>
    </w:rPr>
  </w:style>
  <w:style w:type="paragraph" w:customStyle="1" w:styleId="Normal-pool">
    <w:name w:val="Normal-pool"/>
    <w:link w:val="Normal-poolChar"/>
    <w:qFormat/>
    <w:rsid w:val="00273E02"/>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val="en-GB"/>
    </w:rPr>
  </w:style>
  <w:style w:type="character" w:styleId="FootnoteReference">
    <w:name w:val="footnote reference"/>
    <w:aliases w:val="16 Point,Superscript 6 Point,ftref,(Ref. de nota al pie),number,SUPERS,Footnote Reference Superscript,Footnote Reference1,Ref,de nota al pie,註腳內容,de nota al pie + (Asian) MS Mincho,11 pt,Ref. de nota de rodapé1,stylish,Footnote,Text"/>
    <w:basedOn w:val="DefaultParagraphFont"/>
    <w:link w:val="BVIfnrCharCharCharChar"/>
    <w:qFormat/>
    <w:rsid w:val="00273E02"/>
    <w:rPr>
      <w:rFonts w:ascii="Times New Roman" w:hAnsi="Times New Roman"/>
      <w:sz w:val="20"/>
      <w:szCs w:val="18"/>
      <w:vertAlign w:val="superscript"/>
    </w:rPr>
  </w:style>
  <w:style w:type="paragraph" w:styleId="FootnoteText">
    <w:name w:val="footnote text"/>
    <w:aliases w:val="Geneva 9,Font: Geneva 9,Boston 10,93,single space,Footnote Text Rail EIS,ft,Char,footnote3,Footnotes,Footnote ak,fn cafc,Footnotes Char Char,Footnote Text Char Char,fn Char Char,footnote text,footnote text Char Char Char Ch,DNV-FT,f,fn,Ch"/>
    <w:basedOn w:val="Normal"/>
    <w:link w:val="FootnoteTextChar"/>
    <w:qFormat/>
    <w:rsid w:val="00273E02"/>
    <w:pPr>
      <w:tabs>
        <w:tab w:val="left" w:pos="4082"/>
      </w:tabs>
      <w:spacing w:before="20" w:after="40"/>
      <w:ind w:left="1247"/>
    </w:pPr>
    <w:rPr>
      <w:sz w:val="18"/>
    </w:rPr>
  </w:style>
  <w:style w:type="character" w:customStyle="1" w:styleId="FootnoteTextChar">
    <w:name w:val="Footnote Text Char"/>
    <w:aliases w:val="Geneva 9 Char,Font: Geneva 9 Char,Boston 10 Char,93 Char,single space Char,Footnote Text Rail EIS Char,ft Char,Char Char,footnote3 Char,Footnotes Char,Footnote ak Char,fn cafc Char,Footnotes Char Char Char,Footnote Text Char Char Char"/>
    <w:basedOn w:val="DefaultParagraphFont"/>
    <w:link w:val="FootnoteText"/>
    <w:rsid w:val="00273E02"/>
    <w:rPr>
      <w:rFonts w:ascii="Times New Roman" w:eastAsia="Times New Roman" w:hAnsi="Times New Roman" w:cs="Times New Roman"/>
      <w:sz w:val="18"/>
      <w:szCs w:val="20"/>
      <w:lang w:val="fr-FR"/>
    </w:rPr>
  </w:style>
  <w:style w:type="character" w:customStyle="1" w:styleId="NormalnumberChar">
    <w:name w:val="Normal_number Char"/>
    <w:link w:val="Normalnumber"/>
    <w:rsid w:val="00273E02"/>
  </w:style>
  <w:style w:type="character" w:customStyle="1" w:styleId="Normal-poolChar">
    <w:name w:val="Normal-pool Char"/>
    <w:link w:val="Normal-pool"/>
    <w:rsid w:val="00273E02"/>
    <w:rPr>
      <w:rFonts w:ascii="Times New Roman" w:eastAsia="Times New Roman" w:hAnsi="Times New Roman" w:cs="Times New Roman"/>
      <w:sz w:val="20"/>
      <w:szCs w:val="20"/>
      <w:lang w:val="en-GB"/>
    </w:rPr>
  </w:style>
  <w:style w:type="numbering" w:customStyle="1" w:styleId="Normallist">
    <w:name w:val="Normal_list"/>
    <w:basedOn w:val="NoList"/>
    <w:rsid w:val="00273E02"/>
    <w:pPr>
      <w:numPr>
        <w:numId w:val="1"/>
      </w:numPr>
    </w:pPr>
  </w:style>
  <w:style w:type="paragraph" w:customStyle="1" w:styleId="Normalnumber">
    <w:name w:val="Normal_number"/>
    <w:basedOn w:val="Normal"/>
    <w:link w:val="NormalnumberChar"/>
    <w:qFormat/>
    <w:rsid w:val="00273E02"/>
    <w:pPr>
      <w:numPr>
        <w:numId w:val="1"/>
      </w:numPr>
      <w:tabs>
        <w:tab w:val="clear" w:pos="1134"/>
        <w:tab w:val="clear" w:pos="1247"/>
        <w:tab w:val="clear" w:pos="1814"/>
        <w:tab w:val="clear" w:pos="2381"/>
        <w:tab w:val="clear" w:pos="2948"/>
        <w:tab w:val="clear" w:pos="3515"/>
        <w:tab w:val="left" w:pos="624"/>
      </w:tabs>
      <w:spacing w:after="120"/>
    </w:pPr>
    <w:rPr>
      <w:rFonts w:asciiTheme="minorHAnsi" w:eastAsiaTheme="minorHAnsi" w:hAnsiTheme="minorHAnsi" w:cstheme="minorBidi"/>
      <w:sz w:val="22"/>
      <w:szCs w:val="22"/>
      <w:lang w:val="en-US"/>
    </w:rPr>
  </w:style>
  <w:style w:type="paragraph" w:customStyle="1" w:styleId="BVIfnrCharCharCharChar">
    <w:name w:val="BVI fnr Char Char Char Char"/>
    <w:aliases w:val="BVI fnr Car Car Char Char Char Char,BVI fnr Car Char Char Char Char,BVI fnr Car Car Car Car Char Char Char Char,BVI fnr Car Car Car Car Char Char Char1 Char Char, BVI fnr Car Car Char Char Char Char"/>
    <w:basedOn w:val="Normal"/>
    <w:link w:val="FootnoteReference"/>
    <w:rsid w:val="00273E02"/>
    <w:pPr>
      <w:tabs>
        <w:tab w:val="clear" w:pos="1247"/>
        <w:tab w:val="clear" w:pos="1814"/>
        <w:tab w:val="clear" w:pos="2381"/>
        <w:tab w:val="clear" w:pos="2948"/>
        <w:tab w:val="clear" w:pos="3515"/>
      </w:tabs>
      <w:spacing w:before="120" w:after="160" w:line="240" w:lineRule="exact"/>
    </w:pPr>
    <w:rPr>
      <w:rFonts w:eastAsiaTheme="minorHAnsi" w:cstheme="minorBidi"/>
      <w:szCs w:val="18"/>
      <w:vertAlign w:val="superscript"/>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UNEP/BRS</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Carvalho</dc:creator>
  <cp:keywords/>
  <dc:description/>
  <cp:lastModifiedBy>Pedro Carvalho</cp:lastModifiedBy>
  <cp:revision>1</cp:revision>
  <dcterms:created xsi:type="dcterms:W3CDTF">2019-09-27T13:15:00Z</dcterms:created>
  <dcterms:modified xsi:type="dcterms:W3CDTF">2019-09-27T13:15:00Z</dcterms:modified>
</cp:coreProperties>
</file>