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691" w:rsidRPr="00502A8C" w:rsidRDefault="00A74691" w:rsidP="00A74691">
      <w:pPr>
        <w:spacing w:after="120"/>
        <w:ind w:left="1247"/>
        <w:rPr>
          <w:b/>
          <w:bCs/>
          <w:sz w:val="28"/>
          <w:szCs w:val="28"/>
        </w:rPr>
      </w:pPr>
      <w:r>
        <w:rPr>
          <w:b/>
          <w:bCs/>
          <w:sz w:val="28"/>
          <w:szCs w:val="28"/>
        </w:rPr>
        <w:t>Р</w:t>
      </w:r>
      <w:r w:rsidRPr="00502A8C">
        <w:rPr>
          <w:b/>
          <w:bCs/>
          <w:sz w:val="28"/>
          <w:szCs w:val="28"/>
        </w:rPr>
        <w:t>К-9/</w:t>
      </w:r>
      <w:r>
        <w:rPr>
          <w:b/>
          <w:bCs/>
          <w:sz w:val="28"/>
          <w:szCs w:val="28"/>
        </w:rPr>
        <w:t>1</w:t>
      </w:r>
      <w:r w:rsidRPr="00502A8C">
        <w:rPr>
          <w:b/>
          <w:bCs/>
          <w:sz w:val="28"/>
          <w:szCs w:val="28"/>
        </w:rPr>
        <w:t>2: Синергия в деле предотвращения и пресечения незаконного оборота опасных химических веществ</w:t>
      </w:r>
      <w:r>
        <w:rPr>
          <w:b/>
          <w:bCs/>
          <w:sz w:val="28"/>
          <w:szCs w:val="28"/>
        </w:rPr>
        <w:t xml:space="preserve"> и отходов</w:t>
      </w:r>
      <w:r w:rsidRPr="00502A8C">
        <w:rPr>
          <w:b/>
          <w:bCs/>
          <w:sz w:val="28"/>
          <w:szCs w:val="28"/>
        </w:rPr>
        <w:t xml:space="preserve"> и торговли ими</w:t>
      </w:r>
    </w:p>
    <w:p w:rsidR="00A74691" w:rsidRPr="00502A8C" w:rsidRDefault="00A74691" w:rsidP="00A74691">
      <w:pPr>
        <w:spacing w:after="120"/>
        <w:ind w:left="1247" w:firstLine="624"/>
        <w:rPr>
          <w:i/>
          <w:iCs/>
        </w:rPr>
      </w:pPr>
      <w:r w:rsidRPr="00502A8C">
        <w:rPr>
          <w:i/>
          <w:iCs/>
        </w:rPr>
        <w:t>Конференция Сторон,</w:t>
      </w:r>
    </w:p>
    <w:p w:rsidR="00A74691" w:rsidRPr="008C3D23" w:rsidRDefault="00A74691" w:rsidP="00A74691">
      <w:pPr>
        <w:spacing w:after="120"/>
        <w:ind w:left="1247" w:firstLine="624"/>
      </w:pPr>
      <w:r w:rsidRPr="00502A8C">
        <w:rPr>
          <w:i/>
          <w:iCs/>
        </w:rPr>
        <w:t>ссылаясь</w:t>
      </w:r>
      <w:r w:rsidRPr="008C3D23">
        <w:t xml:space="preserve"> на решения БК-13/21, РК-8/14 и СК-8/24 о синергии в деле предотвращения и пресечения незаконного оборота опасных химических веществ</w:t>
      </w:r>
      <w:r>
        <w:t xml:space="preserve"> и отходов</w:t>
      </w:r>
      <w:r w:rsidRPr="008C3D23">
        <w:t xml:space="preserve"> и торговли ими,</w:t>
      </w:r>
    </w:p>
    <w:p w:rsidR="00A74691" w:rsidRPr="008C3D23" w:rsidRDefault="00A74691" w:rsidP="00A74691">
      <w:pPr>
        <w:spacing w:after="120"/>
        <w:ind w:left="1247" w:firstLine="624"/>
      </w:pPr>
      <w:r w:rsidRPr="008C3D23">
        <w:t>1.</w:t>
      </w:r>
      <w:r w:rsidRPr="008C3D23">
        <w:tab/>
      </w:r>
      <w:r w:rsidRPr="00502A8C">
        <w:rPr>
          <w:i/>
          <w:iCs/>
        </w:rPr>
        <w:t>принимает к сведению</w:t>
      </w:r>
      <w:r w:rsidRPr="008C3D23">
        <w:t xml:space="preserve"> представленную Сторонами информацию об их опыте создания координационных механизмов и извлеченных из этого опыта уроках, а также о случаях незаконной торговли опасными химическими веществами и отходами</w:t>
      </w:r>
      <w:r w:rsidRPr="00502A8C">
        <w:rPr>
          <w:vertAlign w:val="superscript"/>
        </w:rPr>
        <w:footnoteReference w:id="1"/>
      </w:r>
      <w:r w:rsidRPr="008C3D23">
        <w:t>;</w:t>
      </w:r>
    </w:p>
    <w:p w:rsidR="00A74691" w:rsidRPr="008C3D23" w:rsidRDefault="00A74691" w:rsidP="00A74691">
      <w:pPr>
        <w:spacing w:after="120"/>
        <w:ind w:left="1247" w:firstLine="624"/>
      </w:pPr>
      <w:r w:rsidRPr="008C3D23">
        <w:t>2.</w:t>
      </w:r>
      <w:r w:rsidRPr="008C3D23">
        <w:tab/>
      </w:r>
      <w:r w:rsidRPr="00502A8C">
        <w:rPr>
          <w:i/>
          <w:iCs/>
        </w:rPr>
        <w:t>призывает</w:t>
      </w:r>
      <w:r w:rsidRPr="008C3D23">
        <w:t xml:space="preserve"> Стороны, которые еще не сделали этого, создавать координационные механизмы национального уровня в целях содействия обмену информацией между соответствующими органами, ответственными за осуществление и обеспечение соблюдения положений Базельской конвенции о контроле за трансграничной перевозкой опасных отходов и их удалением, Роттердамской конвенции о процедуре предварительного обоснованного согласия в отношении отдельных опасных химических веществ и пестицидов в международной торговле и Стокгольмской конвенции о стойких органических загрязнителях, направленные на обеспечение контроля за экспортом и импортом химических веществ и отходов, подпадающих под действие конвенций, и призывает Стороны представлять секретариату информацию о случаях незаконного оборота химических веществ и отходов, на которые распространяется действие Базельской, Роттердамской и Стокгольмской конвенций, и торговли ими, если предоставление такой информации является уместным в соответствии с действующими процедурами предоставления информации;</w:t>
      </w:r>
    </w:p>
    <w:p w:rsidR="00A74691" w:rsidRPr="008C3D23" w:rsidRDefault="00A74691" w:rsidP="00A74691">
      <w:pPr>
        <w:spacing w:after="120"/>
        <w:ind w:left="1247" w:firstLine="624"/>
      </w:pPr>
      <w:r w:rsidRPr="008C3D23">
        <w:t>3.</w:t>
      </w:r>
      <w:r w:rsidRPr="008C3D23">
        <w:tab/>
      </w:r>
      <w:r w:rsidRPr="00502A8C">
        <w:rPr>
          <w:i/>
          <w:iCs/>
        </w:rPr>
        <w:t>принимает к сведению</w:t>
      </w:r>
      <w:r w:rsidRPr="008C3D23">
        <w:t xml:space="preserve"> подготовленный секретариатом доклад, включающий рекомендации, о других областях, в которых может быть повышена юридическая четкость</w:t>
      </w:r>
      <w:r w:rsidRPr="00502A8C">
        <w:rPr>
          <w:vertAlign w:val="superscript"/>
        </w:rPr>
        <w:footnoteReference w:id="2"/>
      </w:r>
      <w:r w:rsidRPr="008C3D23">
        <w:t>;</w:t>
      </w:r>
    </w:p>
    <w:p w:rsidR="00A74691" w:rsidRPr="008C3D23" w:rsidRDefault="00A74691" w:rsidP="00A74691">
      <w:pPr>
        <w:spacing w:after="120"/>
        <w:ind w:left="1247" w:firstLine="624"/>
      </w:pPr>
      <w:r w:rsidRPr="008C3D23">
        <w:t>4.</w:t>
      </w:r>
      <w:r w:rsidRPr="008C3D23">
        <w:tab/>
      </w:r>
      <w:r w:rsidRPr="00502A8C">
        <w:rPr>
          <w:i/>
          <w:iCs/>
        </w:rPr>
        <w:t>также принимает к сведению</w:t>
      </w:r>
      <w:r w:rsidRPr="008C3D23">
        <w:t xml:space="preserve"> информацию, представленную организациями – членами Межорганизационной программы по рациональному регулированию химических веществ, региональными центрами Базельской конвенции и Стокгольмской конвенции, Международной организацией уголовной полиции, Всемирной таможенной организацией, секретариатом Монреальского протокола о веществах, разрушающих озоновый слой, и соответствующими глобальными и региональными сетями по обеспечению соблюдения, об их деятельности, направленной на предотвращение и пресечение незаконного оборота опасных химических веществ и отходов и торговли ими, а также об уроках, извлеченных в ходе этой деятельности</w:t>
      </w:r>
      <w:r w:rsidRPr="00502A8C">
        <w:rPr>
          <w:vertAlign w:val="superscript"/>
        </w:rPr>
        <w:footnoteReference w:id="3"/>
      </w:r>
      <w:r w:rsidRPr="008C3D23">
        <w:t>;</w:t>
      </w:r>
    </w:p>
    <w:p w:rsidR="00A74691" w:rsidRPr="008C3D23" w:rsidRDefault="00A74691" w:rsidP="00A74691">
      <w:pPr>
        <w:spacing w:after="120"/>
        <w:ind w:left="1247" w:firstLine="624"/>
      </w:pPr>
      <w:r w:rsidRPr="008C3D23">
        <w:t>5.</w:t>
      </w:r>
      <w:r w:rsidRPr="008C3D23">
        <w:tab/>
      </w:r>
      <w:r w:rsidRPr="00502A8C">
        <w:rPr>
          <w:i/>
          <w:iCs/>
        </w:rPr>
        <w:t xml:space="preserve">призывает </w:t>
      </w:r>
      <w:r w:rsidRPr="008C3D23">
        <w:t>организации, упомянутые в пункте 4 настоящего решения, проводить мероприятия, направленные на оказание помощи Сторонам Базельской, Роттердамской и Стокгольмской конвенций в деле предотвращения и пресечения незаконного оборота опасных химических веществ и отходов и торговли ими, и информировать секретариат об этом;</w:t>
      </w:r>
    </w:p>
    <w:p w:rsidR="00A74691" w:rsidRPr="008C3D23" w:rsidRDefault="00A74691" w:rsidP="00A74691">
      <w:pPr>
        <w:spacing w:after="120"/>
        <w:ind w:left="1247" w:firstLine="624"/>
      </w:pPr>
      <w:r w:rsidRPr="008C3D23">
        <w:t>6.</w:t>
      </w:r>
      <w:r w:rsidRPr="008C3D23">
        <w:tab/>
      </w:r>
      <w:r w:rsidRPr="00502A8C">
        <w:rPr>
          <w:i/>
          <w:iCs/>
        </w:rPr>
        <w:t>поручает</w:t>
      </w:r>
      <w:r w:rsidRPr="008C3D23">
        <w:t xml:space="preserve"> секретариату:</w:t>
      </w:r>
    </w:p>
    <w:p w:rsidR="00A74691" w:rsidRPr="008C3D23" w:rsidRDefault="00A74691" w:rsidP="00A74691">
      <w:pPr>
        <w:spacing w:after="120"/>
        <w:ind w:left="1247" w:firstLine="624"/>
      </w:pPr>
      <w:r w:rsidRPr="008C3D23">
        <w:t>а)</w:t>
      </w:r>
      <w:r w:rsidRPr="008C3D23">
        <w:tab/>
        <w:t xml:space="preserve">разработать, принимая во внимание уроки, извлеченные из опыта Базельской конвенции, проект формы и пояснительного документа для добровольного представления Сторонами Роттердамской и Стокгольмской конвенций информации о случаях торговли, осуществляемой в нарушение этих конвенций, для замечаний Сторон и последующего </w:t>
      </w:r>
      <w:r w:rsidRPr="008C3D23">
        <w:lastRenderedPageBreak/>
        <w:t>рассмотрения конференциями Сторон Роттердамской и Стокгольмской конвенций на их следующих совещаниях;</w:t>
      </w:r>
    </w:p>
    <w:p w:rsidR="00A74691" w:rsidRPr="008C3D23" w:rsidRDefault="00A74691" w:rsidP="00A74691">
      <w:pPr>
        <w:spacing w:after="120"/>
        <w:ind w:left="1247" w:firstLine="624"/>
      </w:pPr>
      <w:r w:rsidRPr="008C3D23">
        <w:t>b)</w:t>
      </w:r>
      <w:r w:rsidRPr="008C3D23">
        <w:tab/>
        <w:t>подготовить с учетом имеющейся информации</w:t>
      </w:r>
      <w:r w:rsidRPr="00502A8C">
        <w:rPr>
          <w:vertAlign w:val="superscript"/>
        </w:rPr>
        <w:footnoteReference w:id="4"/>
      </w:r>
      <w:r w:rsidRPr="008C3D23">
        <w:t>, а также информации, полученной в соответствии с пунктом 5 настоящего решения, рекомендации в отношении возможностей для укрепления сотрудничества для рассмотрения конференциями Сторон Базельской, Роттердамской и Стокгольмской конвенций на их следующих совещаниях;</w:t>
      </w:r>
    </w:p>
    <w:p w:rsidR="00A74691" w:rsidRPr="008C3D23" w:rsidRDefault="00A74691" w:rsidP="00A74691">
      <w:pPr>
        <w:spacing w:after="120"/>
        <w:ind w:left="1247" w:firstLine="624"/>
      </w:pPr>
      <w:r w:rsidRPr="008C3D23">
        <w:t>с)</w:t>
      </w:r>
      <w:r w:rsidRPr="008C3D23">
        <w:tab/>
        <w:t>продолжать предоставлять консультации и, при условии наличия ресурсов, осуществлять деятельность по оказанию технической помощи для укрепления потенциала Сторон по предотвращению и пресечению незаконного оборота химических веществ и отходов, на которые распространяется действие Базельской, Роттердамской и Стокгольмской конвенций, и торговли ими;</w:t>
      </w:r>
    </w:p>
    <w:p w:rsidR="00A74691" w:rsidRPr="008C3D23" w:rsidRDefault="00A74691" w:rsidP="00A74691">
      <w:pPr>
        <w:spacing w:after="120"/>
        <w:ind w:left="1247" w:firstLine="624"/>
      </w:pPr>
      <w:r w:rsidRPr="008C3D23">
        <w:t>d)</w:t>
      </w:r>
      <w:r w:rsidRPr="008C3D23">
        <w:tab/>
        <w:t>представить доклад о выполнении настоящего решения Конференции Сторон на ее следующем совещании.</w:t>
      </w:r>
    </w:p>
    <w:p w:rsidR="00F935A6" w:rsidRPr="00A74691" w:rsidRDefault="00F935A6" w:rsidP="00A74691">
      <w:bookmarkStart w:id="0" w:name="_GoBack"/>
      <w:bookmarkEnd w:id="0"/>
    </w:p>
    <w:sectPr w:rsidR="00F935A6" w:rsidRPr="00A746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513" w:rsidRDefault="00BC2513" w:rsidP="008B779E">
      <w:r>
        <w:separator/>
      </w:r>
    </w:p>
  </w:endnote>
  <w:endnote w:type="continuationSeparator" w:id="0">
    <w:p w:rsidR="00BC2513" w:rsidRDefault="00BC2513" w:rsidP="008B7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513" w:rsidRDefault="00BC2513" w:rsidP="008B779E">
      <w:r>
        <w:separator/>
      </w:r>
    </w:p>
  </w:footnote>
  <w:footnote w:type="continuationSeparator" w:id="0">
    <w:p w:rsidR="00BC2513" w:rsidRDefault="00BC2513" w:rsidP="008B779E">
      <w:r>
        <w:continuationSeparator/>
      </w:r>
    </w:p>
  </w:footnote>
  <w:footnote w:id="1">
    <w:p w:rsidR="00A74691" w:rsidRPr="00B35898" w:rsidRDefault="00A74691" w:rsidP="00A74691">
      <w:pPr>
        <w:pStyle w:val="FootnoteText"/>
        <w:spacing w:before="20" w:after="40"/>
        <w:ind w:left="1247"/>
        <w:rPr>
          <w:sz w:val="18"/>
          <w:szCs w:val="18"/>
          <w:lang w:val="fr-FR"/>
        </w:rPr>
      </w:pPr>
      <w:r w:rsidRPr="00B35898">
        <w:rPr>
          <w:rStyle w:val="FootnoteReference"/>
          <w:sz w:val="18"/>
          <w:szCs w:val="18"/>
        </w:rPr>
        <w:footnoteRef/>
      </w:r>
      <w:r w:rsidRPr="00B35898">
        <w:rPr>
          <w:sz w:val="18"/>
          <w:szCs w:val="18"/>
          <w:lang w:val="fr-FR"/>
        </w:rPr>
        <w:tab/>
      </w:r>
      <w:r w:rsidRPr="00B35898">
        <w:rPr>
          <w:sz w:val="18"/>
          <w:szCs w:val="18"/>
          <w:lang w:val="en-GB"/>
        </w:rPr>
        <w:t>UNEP/CHW.14/23-UNEP/FAO/RC/COP.9/19-UNEP/POPS/COP.9/26 и UNEP/CHW.14/INF/42-UNEP/FAO/RC/COP.9/INF/33-UNEP/POPS/COP.9/INF/42</w:t>
      </w:r>
      <w:r w:rsidRPr="00B35898">
        <w:rPr>
          <w:sz w:val="18"/>
          <w:szCs w:val="18"/>
          <w:lang w:val="fr-FR"/>
        </w:rPr>
        <w:t xml:space="preserve">, </w:t>
      </w:r>
      <w:r w:rsidRPr="00B35898">
        <w:rPr>
          <w:sz w:val="18"/>
          <w:szCs w:val="18"/>
        </w:rPr>
        <w:t>приложение</w:t>
      </w:r>
      <w:r w:rsidRPr="00B35898">
        <w:rPr>
          <w:sz w:val="18"/>
          <w:szCs w:val="18"/>
          <w:lang w:val="fr-FR"/>
        </w:rPr>
        <w:t xml:space="preserve"> I.</w:t>
      </w:r>
    </w:p>
  </w:footnote>
  <w:footnote w:id="2">
    <w:p w:rsidR="00A74691" w:rsidRPr="00A74691" w:rsidRDefault="00A74691" w:rsidP="00A74691">
      <w:pPr>
        <w:pStyle w:val="FootnoteText"/>
        <w:spacing w:before="20" w:after="40"/>
        <w:ind w:left="1247"/>
        <w:rPr>
          <w:sz w:val="18"/>
          <w:szCs w:val="18"/>
          <w:lang w:val="fr-FR"/>
        </w:rPr>
      </w:pPr>
      <w:r w:rsidRPr="00B35898">
        <w:rPr>
          <w:rStyle w:val="FootnoteReference"/>
          <w:sz w:val="18"/>
          <w:szCs w:val="18"/>
        </w:rPr>
        <w:footnoteRef/>
      </w:r>
      <w:r w:rsidRPr="00A74691">
        <w:rPr>
          <w:sz w:val="18"/>
          <w:szCs w:val="18"/>
          <w:lang w:val="fr-FR"/>
        </w:rPr>
        <w:tab/>
        <w:t xml:space="preserve">UNEP/CHW.14/INF/41-UNEP/FAO/RC/COP.9/INF/34-UNEP/POPS/COP.9/INF/43, </w:t>
      </w:r>
      <w:r w:rsidRPr="00B35898">
        <w:rPr>
          <w:sz w:val="18"/>
          <w:szCs w:val="18"/>
        </w:rPr>
        <w:t>приложение</w:t>
      </w:r>
      <w:r w:rsidRPr="00A74691">
        <w:rPr>
          <w:sz w:val="18"/>
          <w:szCs w:val="18"/>
          <w:lang w:val="fr-FR"/>
        </w:rPr>
        <w:t>.</w:t>
      </w:r>
    </w:p>
  </w:footnote>
  <w:footnote w:id="3">
    <w:p w:rsidR="00A74691" w:rsidRPr="00A74691" w:rsidRDefault="00A74691" w:rsidP="00A74691">
      <w:pPr>
        <w:spacing w:before="20" w:after="40"/>
        <w:ind w:left="1247"/>
        <w:rPr>
          <w:sz w:val="18"/>
          <w:szCs w:val="18"/>
          <w:lang w:val="fr-FR"/>
        </w:rPr>
      </w:pPr>
      <w:r w:rsidRPr="00B35898">
        <w:rPr>
          <w:rStyle w:val="FootnoteReference"/>
          <w:sz w:val="18"/>
          <w:szCs w:val="18"/>
        </w:rPr>
        <w:footnoteRef/>
      </w:r>
      <w:r w:rsidRPr="00A74691">
        <w:rPr>
          <w:sz w:val="18"/>
          <w:szCs w:val="18"/>
          <w:lang w:val="fr-FR"/>
        </w:rPr>
        <w:tab/>
        <w:t xml:space="preserve">UNEP/CHW.14/23-UNEP/FAO/RC/COP.9/19-UNEP/POPS/COP.9/26 </w:t>
      </w:r>
      <w:r w:rsidRPr="00B35898">
        <w:rPr>
          <w:sz w:val="18"/>
          <w:szCs w:val="18"/>
        </w:rPr>
        <w:t>и</w:t>
      </w:r>
      <w:r w:rsidRPr="00A74691">
        <w:rPr>
          <w:sz w:val="18"/>
          <w:szCs w:val="18"/>
          <w:lang w:val="fr-FR"/>
        </w:rPr>
        <w:t xml:space="preserve"> UNEP/CHW.14/INF/42-UNEP/FAO/RC/COP.9/INF/33-UNEP/POPS/COP.9/INF/42, </w:t>
      </w:r>
      <w:r w:rsidRPr="00B35898">
        <w:rPr>
          <w:sz w:val="18"/>
          <w:szCs w:val="18"/>
        </w:rPr>
        <w:t>приложение</w:t>
      </w:r>
      <w:r w:rsidRPr="00A74691">
        <w:rPr>
          <w:sz w:val="18"/>
          <w:szCs w:val="18"/>
          <w:lang w:val="fr-FR"/>
        </w:rPr>
        <w:t xml:space="preserve"> II.</w:t>
      </w:r>
    </w:p>
  </w:footnote>
  <w:footnote w:id="4">
    <w:p w:rsidR="00A74691" w:rsidRPr="00A74691" w:rsidRDefault="00A74691" w:rsidP="00A74691">
      <w:pPr>
        <w:pStyle w:val="FootnoteText"/>
        <w:spacing w:before="20" w:after="40"/>
        <w:ind w:left="1247"/>
        <w:rPr>
          <w:sz w:val="18"/>
          <w:szCs w:val="18"/>
          <w:lang w:val="fr-FR"/>
        </w:rPr>
      </w:pPr>
      <w:r w:rsidRPr="00B35898">
        <w:rPr>
          <w:sz w:val="18"/>
          <w:szCs w:val="18"/>
          <w:vertAlign w:val="superscript"/>
        </w:rPr>
        <w:footnoteRef/>
      </w:r>
      <w:r w:rsidRPr="00A74691">
        <w:rPr>
          <w:sz w:val="18"/>
          <w:szCs w:val="18"/>
          <w:lang w:val="fr-FR"/>
        </w:rPr>
        <w:tab/>
        <w:t xml:space="preserve">UNEP/CHW.14/INF/42-UNEP/FAO/RC/COP.9/INF/33-UNEP/POPS/COP.9/INF/42, </w:t>
      </w:r>
      <w:r w:rsidRPr="00B35898">
        <w:rPr>
          <w:sz w:val="18"/>
          <w:szCs w:val="18"/>
        </w:rPr>
        <w:t>приложение</w:t>
      </w:r>
      <w:r w:rsidRPr="00A74691">
        <w:rPr>
          <w:sz w:val="18"/>
          <w:szCs w:val="18"/>
          <w:lang w:val="fr-FR"/>
        </w:rPr>
        <w:t xml:space="preserve"> II.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9E"/>
    <w:rsid w:val="008B779E"/>
    <w:rsid w:val="00A74691"/>
    <w:rsid w:val="00BC2513"/>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4407"/>
  <w15:chartTrackingRefBased/>
  <w15:docId w15:val="{F8006860-B28E-47CA-964D-2EBBEF58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9E"/>
    <w:pPr>
      <w:spacing w:after="0" w:line="240" w:lineRule="auto"/>
    </w:pPr>
    <w:rPr>
      <w:rFonts w:ascii="Times New Roman" w:eastAsia="Times New Roman" w:hAnsi="Times New Roman" w:cs="Times New Roman"/>
      <w:sz w:val="20"/>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Ref,de nota al pie,註腳內容,de nota al pie + (Asian) MS Mincho,11 pt,Ref. de nota de rodapé1,Footnote Reference1,stylish,Footnote symbol"/>
    <w:link w:val="BVIfnrCharCharCharChar"/>
    <w:qFormat/>
    <w:rsid w:val="008B779E"/>
    <w:rPr>
      <w:rFonts w:ascii="Times New Roman" w:hAnsi="Times New Roman"/>
      <w:sz w:val="20"/>
      <w:vertAlign w:val="superscript"/>
      <w:lang w:val="ru-RU"/>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8B779E"/>
    <w:pPr>
      <w:spacing w:before="120" w:after="160" w:line="240" w:lineRule="exact"/>
    </w:pPr>
    <w:rPr>
      <w:rFonts w:eastAsiaTheme="minorEastAsia" w:cstheme="minorBidi"/>
      <w:szCs w:val="22"/>
      <w:vertAlign w:val="superscript"/>
      <w:lang w:eastAsia="zh-CN"/>
    </w:rPr>
  </w:style>
  <w:style w:type="paragraph" w:customStyle="1" w:styleId="Normalpool">
    <w:name w:val="Normal_pool"/>
    <w:link w:val="NormalpoolChar"/>
    <w:rsid w:val="008B779E"/>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eastAsia="en-US"/>
    </w:rPr>
  </w:style>
  <w:style w:type="character" w:customStyle="1" w:styleId="NormalpoolChar">
    <w:name w:val="Normal_pool Char"/>
    <w:link w:val="Normalpool"/>
    <w:rsid w:val="008B779E"/>
    <w:rPr>
      <w:rFonts w:ascii="Times New Roman" w:eastAsia="Times New Roman" w:hAnsi="Times New Roman" w:cs="Times New Roman"/>
      <w:sz w:val="20"/>
      <w:szCs w:val="20"/>
      <w:lang w:val="fr-FR" w:eastAsia="en-US"/>
    </w:rPr>
  </w:style>
  <w:style w:type="paragraph" w:styleId="FootnoteText">
    <w:name w:val="footnote text"/>
    <w:aliases w:val="Geneva 9,Font: Geneva 9,Boston 10,f,Car,FOOTNOTES,fn,single space,DNV-FT,footnote3,text,Geneva,92,Font:,Boston,10,Footnote Text Rail EIS,ft,Footnotes,Footnote ak,fn cafc,Footnotes Char Char,Footnote Text Char Char,fn Char Char,93,Char,Ch,C"/>
    <w:basedOn w:val="Normal"/>
    <w:link w:val="FootnoteTextChar"/>
    <w:uiPriority w:val="99"/>
    <w:qFormat/>
    <w:rsid w:val="00A74691"/>
  </w:style>
  <w:style w:type="character" w:customStyle="1" w:styleId="FootnoteTextChar">
    <w:name w:val="Footnote Text Char"/>
    <w:aliases w:val="Geneva 9 Char,Font: Geneva 9 Char,Boston 10 Char,f Char,Car Char,FOOTNOTES Char,fn Char,single space Char,DNV-FT Char,footnote3 Char,text Char,Geneva Char,92 Char,Font: Char,Boston Char,10 Char,Footnote Text Rail EIS Char,ft Char"/>
    <w:basedOn w:val="DefaultParagraphFont"/>
    <w:link w:val="FootnoteText"/>
    <w:uiPriority w:val="99"/>
    <w:rsid w:val="00A74691"/>
    <w:rPr>
      <w:rFonts w:ascii="Times New Roman" w:eastAsia="Times New Roman" w:hAnsi="Times New Roman" w:cs="Times New Roman"/>
      <w:sz w:val="20"/>
      <w:szCs w:val="20"/>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2</cp:revision>
  <dcterms:created xsi:type="dcterms:W3CDTF">2019-11-27T21:46:00Z</dcterms:created>
  <dcterms:modified xsi:type="dcterms:W3CDTF">2019-11-27T21:46:00Z</dcterms:modified>
</cp:coreProperties>
</file>