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1E3A" w:rsidRPr="00D722C4" w:rsidRDefault="009C1E3A" w:rsidP="009C1E3A">
      <w:pPr>
        <w:pStyle w:val="CH1"/>
      </w:pPr>
      <w:r>
        <w:tab/>
      </w:r>
      <w:r>
        <w:tab/>
      </w:r>
      <w:r w:rsidRPr="00D722C4">
        <w:t>BC-14/6: Technical guidelines on incineration on land (D10) and on specially engineered landfill (D5)</w:t>
      </w:r>
    </w:p>
    <w:p w:rsidR="009C1E3A" w:rsidRPr="00D722C4" w:rsidRDefault="009C1E3A" w:rsidP="009C1E3A">
      <w:pPr>
        <w:tabs>
          <w:tab w:val="left" w:pos="624"/>
        </w:tabs>
        <w:spacing w:after="120"/>
        <w:ind w:left="1247" w:firstLine="624"/>
        <w:rPr>
          <w:i/>
          <w:lang w:val="en-GB"/>
        </w:rPr>
      </w:pPr>
      <w:r w:rsidRPr="00D722C4">
        <w:rPr>
          <w:i/>
          <w:lang w:val="en-GB"/>
        </w:rPr>
        <w:t>The Conference of the Parties</w:t>
      </w:r>
    </w:p>
    <w:p w:rsidR="009C1E3A" w:rsidRPr="00D722C4" w:rsidRDefault="009C1E3A" w:rsidP="009C1E3A">
      <w:pPr>
        <w:numPr>
          <w:ilvl w:val="0"/>
          <w:numId w:val="4"/>
        </w:numPr>
        <w:tabs>
          <w:tab w:val="left" w:pos="624"/>
        </w:tabs>
        <w:spacing w:after="120"/>
        <w:ind w:left="1247" w:firstLine="624"/>
        <w:rPr>
          <w:iCs/>
          <w:lang w:val="en-GB"/>
        </w:rPr>
      </w:pPr>
      <w:r w:rsidRPr="00D722C4">
        <w:rPr>
          <w:i/>
          <w:iCs/>
          <w:lang w:val="en-GB"/>
        </w:rPr>
        <w:t xml:space="preserve">Welcomes </w:t>
      </w:r>
      <w:r w:rsidRPr="00D722C4">
        <w:rPr>
          <w:i/>
          <w:lang w:val="en-GB"/>
        </w:rPr>
        <w:t>with appreciation</w:t>
      </w:r>
      <w:r w:rsidRPr="00D722C4">
        <w:rPr>
          <w:iCs/>
          <w:lang w:val="en-GB"/>
        </w:rPr>
        <w:t xml:space="preserve"> the contributions made by the Governments of Argentina and Canada, as co-lead countries, and the small intersessional working group established pursuant to paragraph 6 of decision BC-13/6 to the tasks pertaining to </w:t>
      </w:r>
      <w:r w:rsidRPr="00D722C4">
        <w:rPr>
          <w:lang w:val="en-GB"/>
        </w:rPr>
        <w:t>the</w:t>
      </w:r>
      <w:r w:rsidRPr="00D722C4">
        <w:rPr>
          <w:iCs/>
          <w:lang w:val="en-GB"/>
        </w:rPr>
        <w:t xml:space="preserve"> technical guidelines on incineration on land (D10) and the technical guidelines on specially engineered landfill (D5);</w:t>
      </w:r>
    </w:p>
    <w:p w:rsidR="009C1E3A" w:rsidRPr="00D722C4" w:rsidRDefault="009C1E3A" w:rsidP="009C1E3A">
      <w:pPr>
        <w:numPr>
          <w:ilvl w:val="0"/>
          <w:numId w:val="4"/>
        </w:numPr>
        <w:tabs>
          <w:tab w:val="left" w:pos="624"/>
        </w:tabs>
        <w:spacing w:after="120"/>
        <w:ind w:left="1247" w:firstLine="624"/>
        <w:rPr>
          <w:i/>
          <w:iCs/>
          <w:lang w:val="en-GB"/>
        </w:rPr>
      </w:pPr>
      <w:r w:rsidRPr="00D722C4">
        <w:rPr>
          <w:i/>
          <w:iCs/>
          <w:lang w:val="en-GB"/>
        </w:rPr>
        <w:t>Takes</w:t>
      </w:r>
      <w:r w:rsidRPr="00D722C4">
        <w:rPr>
          <w:i/>
          <w:lang w:val="en-GB"/>
        </w:rPr>
        <w:t xml:space="preserve"> note</w:t>
      </w:r>
      <w:r w:rsidRPr="00D722C4">
        <w:rPr>
          <w:iCs/>
          <w:lang w:val="en-GB"/>
        </w:rPr>
        <w:t xml:space="preserve"> of the draft updated technical guidelines on incineration on land (D10)</w:t>
      </w:r>
      <w:r w:rsidRPr="00D722C4">
        <w:rPr>
          <w:iCs/>
          <w:vertAlign w:val="superscript"/>
          <w:lang w:val="en-GB"/>
        </w:rPr>
        <w:footnoteReference w:id="1"/>
      </w:r>
      <w:r w:rsidRPr="00D722C4">
        <w:rPr>
          <w:iCs/>
          <w:lang w:val="en-GB"/>
        </w:rPr>
        <w:t xml:space="preserve"> and the draft updated technical guidelines on specially engineered landfill (D5);</w:t>
      </w:r>
      <w:r w:rsidRPr="00D722C4">
        <w:rPr>
          <w:iCs/>
          <w:vertAlign w:val="superscript"/>
          <w:lang w:val="en-GB"/>
        </w:rPr>
        <w:footnoteReference w:id="2"/>
      </w:r>
    </w:p>
    <w:p w:rsidR="009C1E3A" w:rsidRPr="00D722C4" w:rsidRDefault="009C1E3A" w:rsidP="009C1E3A">
      <w:pPr>
        <w:numPr>
          <w:ilvl w:val="0"/>
          <w:numId w:val="4"/>
        </w:numPr>
        <w:tabs>
          <w:tab w:val="left" w:pos="624"/>
        </w:tabs>
        <w:spacing w:after="120"/>
        <w:ind w:left="1247" w:firstLine="624"/>
        <w:rPr>
          <w:iCs/>
          <w:lang w:val="en-GB"/>
        </w:rPr>
      </w:pPr>
      <w:r w:rsidRPr="00D722C4">
        <w:rPr>
          <w:i/>
          <w:iCs/>
          <w:lang w:val="en-GB"/>
        </w:rPr>
        <w:t>Also takes note</w:t>
      </w:r>
      <w:r w:rsidRPr="00D722C4">
        <w:rPr>
          <w:iCs/>
          <w:lang w:val="en-GB"/>
        </w:rPr>
        <w:t xml:space="preserve"> of the comments received pursuant to paragraphs 4 and 5 of decision OEWG-11/5;</w:t>
      </w:r>
      <w:r w:rsidRPr="00D722C4">
        <w:rPr>
          <w:iCs/>
          <w:vertAlign w:val="superscript"/>
          <w:lang w:val="en-GB"/>
        </w:rPr>
        <w:footnoteReference w:id="3"/>
      </w:r>
    </w:p>
    <w:p w:rsidR="009C1E3A" w:rsidRPr="00D722C4" w:rsidRDefault="009C1E3A" w:rsidP="009C1E3A">
      <w:pPr>
        <w:numPr>
          <w:ilvl w:val="0"/>
          <w:numId w:val="4"/>
        </w:numPr>
        <w:tabs>
          <w:tab w:val="left" w:pos="624"/>
        </w:tabs>
        <w:spacing w:after="120"/>
        <w:ind w:left="1247" w:firstLine="624"/>
        <w:rPr>
          <w:iCs/>
          <w:lang w:val="en-GB"/>
        </w:rPr>
      </w:pPr>
      <w:r w:rsidRPr="00D722C4">
        <w:rPr>
          <w:i/>
          <w:iCs/>
          <w:lang w:val="en-GB"/>
        </w:rPr>
        <w:t xml:space="preserve">Agrees </w:t>
      </w:r>
      <w:r w:rsidRPr="00D722C4">
        <w:rPr>
          <w:iCs/>
          <w:lang w:val="en-GB"/>
        </w:rPr>
        <w:t>that the scope of the technical guidelines on incineration on land (D10) should be extended to also address incineration as covered by the operation “use as a fuel (other than in direct incineration) or other means to generate energy” (R1);</w:t>
      </w:r>
    </w:p>
    <w:p w:rsidR="009C1E3A" w:rsidRPr="00D722C4" w:rsidRDefault="009C1E3A" w:rsidP="009C1E3A">
      <w:pPr>
        <w:numPr>
          <w:ilvl w:val="0"/>
          <w:numId w:val="4"/>
        </w:numPr>
        <w:tabs>
          <w:tab w:val="left" w:pos="624"/>
        </w:tabs>
        <w:spacing w:after="120"/>
        <w:ind w:left="1247" w:firstLine="624"/>
        <w:rPr>
          <w:iCs/>
          <w:lang w:val="en-GB"/>
        </w:rPr>
      </w:pPr>
      <w:r w:rsidRPr="00D722C4">
        <w:rPr>
          <w:i/>
          <w:iCs/>
          <w:lang w:val="en-GB"/>
        </w:rPr>
        <w:t xml:space="preserve">Acknowledges </w:t>
      </w:r>
      <w:r w:rsidRPr="00D722C4">
        <w:rPr>
          <w:iCs/>
          <w:lang w:val="en-GB"/>
        </w:rPr>
        <w:t xml:space="preserve">that the extension of the scope as specified in paragraph 4 of the present decision represents an increase in workload and that the co-leads therefore need to reconsider whether they are </w:t>
      </w:r>
      <w:proofErr w:type="gramStart"/>
      <w:r w:rsidRPr="00D722C4">
        <w:rPr>
          <w:iCs/>
          <w:lang w:val="en-GB"/>
        </w:rPr>
        <w:t>in a position</w:t>
      </w:r>
      <w:proofErr w:type="gramEnd"/>
      <w:r w:rsidRPr="00D722C4">
        <w:rPr>
          <w:iCs/>
          <w:lang w:val="en-GB"/>
        </w:rPr>
        <w:t xml:space="preserve"> to finalize the work;</w:t>
      </w:r>
    </w:p>
    <w:p w:rsidR="009C1E3A" w:rsidRPr="00D722C4" w:rsidRDefault="009C1E3A" w:rsidP="009C1E3A">
      <w:pPr>
        <w:numPr>
          <w:ilvl w:val="0"/>
          <w:numId w:val="4"/>
        </w:numPr>
        <w:tabs>
          <w:tab w:val="left" w:pos="624"/>
        </w:tabs>
        <w:spacing w:after="120"/>
        <w:ind w:left="1247" w:firstLine="624"/>
        <w:rPr>
          <w:iCs/>
          <w:lang w:val="en-GB"/>
        </w:rPr>
      </w:pPr>
      <w:r w:rsidRPr="00D722C4">
        <w:rPr>
          <w:i/>
          <w:iCs/>
          <w:lang w:val="en-GB"/>
        </w:rPr>
        <w:t xml:space="preserve">Invites </w:t>
      </w:r>
      <w:r w:rsidRPr="00D722C4">
        <w:rPr>
          <w:iCs/>
          <w:lang w:val="en-GB"/>
        </w:rPr>
        <w:t>Parties to consider serving as co-lead countries in the updating of the technical guidelines on incineration on land (D10) with an extended scope as specified in paragraph 4 of the present decision and to inform the Secretariat of their willingness to do so by 30 June 2019;</w:t>
      </w:r>
    </w:p>
    <w:p w:rsidR="009C1E3A" w:rsidRPr="00D722C4" w:rsidRDefault="009C1E3A" w:rsidP="009C1E3A">
      <w:pPr>
        <w:numPr>
          <w:ilvl w:val="0"/>
          <w:numId w:val="4"/>
        </w:numPr>
        <w:tabs>
          <w:tab w:val="left" w:pos="624"/>
        </w:tabs>
        <w:spacing w:after="120"/>
        <w:ind w:left="1247" w:firstLine="624"/>
        <w:rPr>
          <w:iCs/>
          <w:lang w:val="en-GB"/>
        </w:rPr>
      </w:pPr>
      <w:r w:rsidRPr="00D722C4">
        <w:rPr>
          <w:i/>
          <w:iCs/>
          <w:lang w:val="en-GB"/>
        </w:rPr>
        <w:t xml:space="preserve">Acknowledges </w:t>
      </w:r>
      <w:r w:rsidRPr="00D722C4">
        <w:rPr>
          <w:iCs/>
          <w:lang w:val="en-GB"/>
        </w:rPr>
        <w:t>that Annex IV is currently being reviewed by the expert working group on the review of Annexes I, III and IV and related aspects of Annex IX, and that the outcome may result in potential changes to operations D5, D10 and R1 if the related amendments are adopted;</w:t>
      </w:r>
    </w:p>
    <w:p w:rsidR="009C1E3A" w:rsidRPr="00D722C4" w:rsidRDefault="009C1E3A" w:rsidP="009C1E3A">
      <w:pPr>
        <w:numPr>
          <w:ilvl w:val="0"/>
          <w:numId w:val="4"/>
        </w:numPr>
        <w:tabs>
          <w:tab w:val="left" w:pos="624"/>
        </w:tabs>
        <w:spacing w:after="120"/>
        <w:ind w:left="1247" w:firstLine="624"/>
        <w:rPr>
          <w:iCs/>
          <w:lang w:val="en-GB"/>
        </w:rPr>
      </w:pPr>
      <w:r w:rsidRPr="00D722C4">
        <w:rPr>
          <w:i/>
          <w:iCs/>
          <w:lang w:val="en-GB"/>
        </w:rPr>
        <w:t>Decides</w:t>
      </w:r>
      <w:r w:rsidRPr="00D722C4">
        <w:rPr>
          <w:iCs/>
          <w:lang w:val="en-GB"/>
        </w:rPr>
        <w:t xml:space="preserve"> to extend the mandate of the small intersessional working group established pursuant to paragraph 6 of decision BC-13/6; </w:t>
      </w:r>
    </w:p>
    <w:p w:rsidR="009C1E3A" w:rsidRPr="00D722C4" w:rsidRDefault="009C1E3A" w:rsidP="009C1E3A">
      <w:pPr>
        <w:numPr>
          <w:ilvl w:val="0"/>
          <w:numId w:val="4"/>
        </w:numPr>
        <w:tabs>
          <w:tab w:val="left" w:pos="624"/>
        </w:tabs>
        <w:spacing w:after="120"/>
        <w:ind w:left="1247" w:firstLine="624"/>
        <w:rPr>
          <w:iCs/>
          <w:lang w:val="en-GB"/>
        </w:rPr>
      </w:pPr>
      <w:r w:rsidRPr="00D722C4">
        <w:rPr>
          <w:i/>
          <w:iCs/>
          <w:lang w:val="en-GB"/>
        </w:rPr>
        <w:t xml:space="preserve">Invites </w:t>
      </w:r>
      <w:r w:rsidRPr="00D722C4">
        <w:rPr>
          <w:iCs/>
          <w:lang w:val="en-GB"/>
        </w:rPr>
        <w:t>Parties and others to nominate additional experts to participate in the small intersessional working group and to inform the Secretariat of their nominations by 31 August 2019;</w:t>
      </w:r>
    </w:p>
    <w:p w:rsidR="009C1E3A" w:rsidRPr="00D722C4" w:rsidRDefault="009C1E3A" w:rsidP="009C1E3A">
      <w:pPr>
        <w:numPr>
          <w:ilvl w:val="0"/>
          <w:numId w:val="4"/>
        </w:numPr>
        <w:tabs>
          <w:tab w:val="left" w:pos="624"/>
        </w:tabs>
        <w:spacing w:after="120"/>
        <w:ind w:left="1247" w:firstLine="624"/>
        <w:rPr>
          <w:iCs/>
          <w:lang w:val="en-GB"/>
        </w:rPr>
      </w:pPr>
      <w:r w:rsidRPr="00D722C4">
        <w:rPr>
          <w:i/>
          <w:iCs/>
          <w:lang w:val="en-GB"/>
        </w:rPr>
        <w:t xml:space="preserve">Also invites </w:t>
      </w:r>
      <w:r w:rsidRPr="00D722C4">
        <w:rPr>
          <w:iCs/>
          <w:lang w:val="en-GB"/>
        </w:rPr>
        <w:t xml:space="preserve">Parties and others to submit to the Secretariat by 18 October 2019 comments on the draft updated technical guidelines on incineration on land (D10) and on specially engineered landfill (D5) referred to in paragraph 2 of the present decision; </w:t>
      </w:r>
    </w:p>
    <w:p w:rsidR="009C1E3A" w:rsidRPr="00D722C4" w:rsidRDefault="009C1E3A" w:rsidP="009C1E3A">
      <w:pPr>
        <w:numPr>
          <w:ilvl w:val="0"/>
          <w:numId w:val="4"/>
        </w:numPr>
        <w:tabs>
          <w:tab w:val="left" w:pos="624"/>
        </w:tabs>
        <w:spacing w:after="120"/>
        <w:ind w:left="1247" w:firstLine="624"/>
        <w:rPr>
          <w:iCs/>
          <w:lang w:val="en-GB"/>
        </w:rPr>
      </w:pPr>
      <w:r w:rsidRPr="00D722C4">
        <w:rPr>
          <w:i/>
          <w:iCs/>
          <w:lang w:val="en-GB"/>
        </w:rPr>
        <w:t xml:space="preserve">Invites </w:t>
      </w:r>
      <w:r w:rsidRPr="00D722C4">
        <w:rPr>
          <w:lang w:val="en-GB" w:eastAsia="en-CA"/>
        </w:rPr>
        <w:t>the lead countries or, if there is no lead country, the Secretariat, subject to the availability of resources, to prepare draft updated technical guidelines on incineration on land (D10)</w:t>
      </w:r>
      <w:r w:rsidRPr="00D722C4">
        <w:rPr>
          <w:iCs/>
          <w:lang w:val="en-GB"/>
        </w:rPr>
        <w:t xml:space="preserve"> with an extended scope as specified in paragraph 4 of the present decision, taking into account the discussion during the fourteenth meeting of the Conference of the Parties and the comments received pursuant to paragraph 10 of the present decision, in consultation with the small intersessional working group, for consideration by the Open-ended Working Group at its twelfth meeting;</w:t>
      </w:r>
    </w:p>
    <w:p w:rsidR="009C1E3A" w:rsidRPr="00D722C4" w:rsidRDefault="009C1E3A" w:rsidP="009C1E3A">
      <w:pPr>
        <w:numPr>
          <w:ilvl w:val="0"/>
          <w:numId w:val="4"/>
        </w:numPr>
        <w:tabs>
          <w:tab w:val="left" w:pos="624"/>
        </w:tabs>
        <w:spacing w:after="120"/>
        <w:ind w:left="1247" w:firstLine="624"/>
        <w:rPr>
          <w:iCs/>
          <w:lang w:val="en-GB"/>
        </w:rPr>
      </w:pPr>
      <w:r w:rsidRPr="00D722C4">
        <w:rPr>
          <w:i/>
          <w:iCs/>
          <w:lang w:val="en-GB"/>
        </w:rPr>
        <w:t>Invites</w:t>
      </w:r>
      <w:r w:rsidRPr="00D722C4">
        <w:rPr>
          <w:iCs/>
          <w:lang w:val="en-GB"/>
        </w:rPr>
        <w:t xml:space="preserve"> </w:t>
      </w:r>
      <w:r w:rsidRPr="00D722C4">
        <w:rPr>
          <w:lang w:val="en-GB" w:eastAsia="en-CA"/>
        </w:rPr>
        <w:t>Argentina and Canada, as co-lead countries, to prepare a revised draft of the updated technical guidelines on specially engineered landfill (D5)</w:t>
      </w:r>
      <w:r w:rsidRPr="00D722C4">
        <w:rPr>
          <w:iCs/>
          <w:lang w:val="en-GB"/>
        </w:rPr>
        <w:t xml:space="preserve"> referred to in paragraph 2 of the present decision, taking into account the discussion during the fourteenth meeting of the Conference of the Parties and the comments received pursuant to paragraph 10 of the present decision, in consultation with the small intersessional working group, for consideration by the Open-ended Working Group at its twelfth meeting;</w:t>
      </w:r>
    </w:p>
    <w:p w:rsidR="009C1E3A" w:rsidRPr="00D722C4" w:rsidRDefault="009C1E3A" w:rsidP="009C1E3A">
      <w:pPr>
        <w:numPr>
          <w:ilvl w:val="0"/>
          <w:numId w:val="4"/>
        </w:numPr>
        <w:tabs>
          <w:tab w:val="left" w:pos="624"/>
        </w:tabs>
        <w:spacing w:after="120"/>
        <w:ind w:left="1247" w:firstLine="624"/>
        <w:rPr>
          <w:iCs/>
          <w:lang w:val="en-GB"/>
        </w:rPr>
      </w:pPr>
      <w:r w:rsidRPr="00D722C4">
        <w:rPr>
          <w:i/>
          <w:iCs/>
          <w:lang w:val="en-GB"/>
        </w:rPr>
        <w:lastRenderedPageBreak/>
        <w:t xml:space="preserve">Decides </w:t>
      </w:r>
      <w:r w:rsidRPr="00D722C4">
        <w:rPr>
          <w:iCs/>
          <w:lang w:val="en-GB"/>
        </w:rPr>
        <w:t>that the small intersessional working group will operate by electronic means and will hold one face-to-face meeting, subject to the availability of resources;</w:t>
      </w:r>
    </w:p>
    <w:p w:rsidR="00F935A6" w:rsidRPr="009C1E3A" w:rsidRDefault="009C1E3A" w:rsidP="009C1E3A">
      <w:pPr>
        <w:numPr>
          <w:ilvl w:val="0"/>
          <w:numId w:val="4"/>
        </w:numPr>
        <w:tabs>
          <w:tab w:val="left" w:pos="624"/>
        </w:tabs>
        <w:spacing w:after="120"/>
        <w:ind w:left="1247" w:firstLine="624"/>
        <w:rPr>
          <w:lang w:val="en-US"/>
        </w:rPr>
      </w:pPr>
      <w:r w:rsidRPr="009C1E3A">
        <w:rPr>
          <w:i/>
          <w:iCs/>
          <w:lang w:val="en-GB"/>
        </w:rPr>
        <w:t xml:space="preserve">Requests </w:t>
      </w:r>
      <w:r w:rsidRPr="009C1E3A">
        <w:rPr>
          <w:iCs/>
          <w:lang w:val="en-GB"/>
        </w:rPr>
        <w:t xml:space="preserve">the Secretariat to report </w:t>
      </w:r>
      <w:r w:rsidRPr="009C1E3A">
        <w:rPr>
          <w:lang w:val="en-GB"/>
        </w:rPr>
        <w:t>on the implementation of the present decision to the Open</w:t>
      </w:r>
      <w:r w:rsidRPr="009C1E3A">
        <w:rPr>
          <w:lang w:val="en-GB"/>
        </w:rPr>
        <w:noBreakHyphen/>
        <w:t>ended Working Group at its twelfth meeting and to the Conference of the Parties at its fifteenth meeting.</w:t>
      </w:r>
      <w:r w:rsidRPr="009C1E3A">
        <w:rPr>
          <w:i/>
          <w:iCs/>
          <w:lang w:val="en-GB"/>
        </w:rPr>
        <w:t xml:space="preserve"> </w:t>
      </w:r>
      <w:bookmarkStart w:id="0" w:name="_GoBack"/>
      <w:bookmarkEnd w:id="0"/>
    </w:p>
    <w:sectPr w:rsidR="00F935A6" w:rsidRPr="009C1E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1BDB" w:rsidRDefault="00521BDB" w:rsidP="00BC4F08">
      <w:r>
        <w:separator/>
      </w:r>
    </w:p>
  </w:endnote>
  <w:endnote w:type="continuationSeparator" w:id="0">
    <w:p w:rsidR="00521BDB" w:rsidRDefault="00521BDB" w:rsidP="00BC4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1BDB" w:rsidRDefault="00521BDB" w:rsidP="00BC4F08">
      <w:r>
        <w:separator/>
      </w:r>
    </w:p>
  </w:footnote>
  <w:footnote w:type="continuationSeparator" w:id="0">
    <w:p w:rsidR="00521BDB" w:rsidRDefault="00521BDB" w:rsidP="00BC4F08">
      <w:r>
        <w:continuationSeparator/>
      </w:r>
    </w:p>
  </w:footnote>
  <w:footnote w:id="1">
    <w:p w:rsidR="009C1E3A" w:rsidRPr="00750A35" w:rsidRDefault="009C1E3A" w:rsidP="009C1E3A">
      <w:pPr>
        <w:tabs>
          <w:tab w:val="left" w:pos="624"/>
        </w:tabs>
        <w:spacing w:before="20" w:after="40"/>
        <w:ind w:left="1247" w:right="57"/>
        <w:rPr>
          <w:color w:val="000000"/>
          <w:sz w:val="18"/>
          <w:szCs w:val="18"/>
          <w:lang w:val="en-GB"/>
        </w:rPr>
      </w:pPr>
      <w:r w:rsidRPr="00750A35">
        <w:rPr>
          <w:color w:val="000000"/>
          <w:sz w:val="18"/>
          <w:szCs w:val="18"/>
          <w:vertAlign w:val="superscript"/>
          <w:lang w:val="en-GB"/>
        </w:rPr>
        <w:footnoteRef/>
      </w:r>
      <w:r w:rsidRPr="00750A35">
        <w:rPr>
          <w:color w:val="000000"/>
          <w:sz w:val="18"/>
          <w:szCs w:val="18"/>
          <w:vertAlign w:val="superscript"/>
          <w:lang w:val="en-GB"/>
        </w:rPr>
        <w:t xml:space="preserve"> </w:t>
      </w:r>
      <w:r w:rsidRPr="00750A35">
        <w:rPr>
          <w:color w:val="000000"/>
          <w:sz w:val="18"/>
          <w:szCs w:val="18"/>
          <w:lang w:val="en-GB"/>
        </w:rPr>
        <w:t>UNEP/CHW.14/INF/11.</w:t>
      </w:r>
    </w:p>
  </w:footnote>
  <w:footnote w:id="2">
    <w:p w:rsidR="009C1E3A" w:rsidRPr="00750A35" w:rsidRDefault="009C1E3A" w:rsidP="009C1E3A">
      <w:pPr>
        <w:tabs>
          <w:tab w:val="left" w:pos="624"/>
        </w:tabs>
        <w:spacing w:before="20" w:after="40"/>
        <w:ind w:left="1247" w:right="57"/>
        <w:rPr>
          <w:color w:val="000000"/>
          <w:sz w:val="18"/>
          <w:szCs w:val="18"/>
          <w:lang w:val="en-GB"/>
        </w:rPr>
      </w:pPr>
      <w:r w:rsidRPr="00750A35">
        <w:rPr>
          <w:color w:val="000000"/>
          <w:sz w:val="18"/>
          <w:szCs w:val="18"/>
          <w:vertAlign w:val="superscript"/>
          <w:lang w:val="en-GB"/>
        </w:rPr>
        <w:footnoteRef/>
      </w:r>
      <w:r w:rsidRPr="00750A35">
        <w:rPr>
          <w:color w:val="000000"/>
          <w:sz w:val="18"/>
          <w:szCs w:val="18"/>
          <w:vertAlign w:val="superscript"/>
          <w:lang w:val="en-GB"/>
        </w:rPr>
        <w:t xml:space="preserve"> </w:t>
      </w:r>
      <w:r w:rsidRPr="00750A35">
        <w:rPr>
          <w:color w:val="000000"/>
          <w:sz w:val="18"/>
          <w:szCs w:val="18"/>
          <w:lang w:val="en-GB"/>
        </w:rPr>
        <w:t>UNEP/CHW.14/INF/12.</w:t>
      </w:r>
    </w:p>
  </w:footnote>
  <w:footnote w:id="3">
    <w:p w:rsidR="009C1E3A" w:rsidRPr="00750A35" w:rsidRDefault="009C1E3A" w:rsidP="009C1E3A">
      <w:pPr>
        <w:pStyle w:val="NormalNonumber"/>
        <w:tabs>
          <w:tab w:val="clear" w:pos="1247"/>
          <w:tab w:val="clear" w:pos="1814"/>
          <w:tab w:val="clear" w:pos="2381"/>
          <w:tab w:val="clear" w:pos="2948"/>
          <w:tab w:val="clear" w:pos="3515"/>
          <w:tab w:val="left" w:pos="624"/>
        </w:tabs>
        <w:spacing w:before="20" w:after="40"/>
        <w:ind w:right="57"/>
        <w:rPr>
          <w:color w:val="000000"/>
          <w:sz w:val="18"/>
          <w:szCs w:val="18"/>
        </w:rPr>
      </w:pPr>
      <w:r w:rsidRPr="00750A35">
        <w:rPr>
          <w:color w:val="000000"/>
          <w:sz w:val="18"/>
          <w:szCs w:val="18"/>
          <w:vertAlign w:val="superscript"/>
        </w:rPr>
        <w:footnoteRef/>
      </w:r>
      <w:r w:rsidRPr="00750A35">
        <w:rPr>
          <w:color w:val="000000"/>
          <w:sz w:val="18"/>
          <w:szCs w:val="18"/>
          <w:vertAlign w:val="superscript"/>
        </w:rPr>
        <w:t xml:space="preserve"> </w:t>
      </w:r>
      <w:r w:rsidRPr="00750A35">
        <w:rPr>
          <w:color w:val="000000"/>
          <w:sz w:val="18"/>
          <w:szCs w:val="18"/>
        </w:rPr>
        <w:t>UNEP/CHW.14/INF/13.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66B64"/>
    <w:multiLevelType w:val="hybridMultilevel"/>
    <w:tmpl w:val="51B0377C"/>
    <w:lvl w:ilvl="0" w:tplc="BF466968">
      <w:start w:val="1"/>
      <w:numFmt w:val="decimal"/>
      <w:lvlText w:val="%1."/>
      <w:lvlJc w:val="left"/>
      <w:pPr>
        <w:ind w:left="2062"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75583A"/>
    <w:multiLevelType w:val="multilevel"/>
    <w:tmpl w:val="D07A6E4C"/>
    <w:lvl w:ilvl="0">
      <w:start w:val="1"/>
      <w:numFmt w:val="decimal"/>
      <w:pStyle w:val="Normalnumber"/>
      <w:lvlText w:val="%1."/>
      <w:lvlJc w:val="left"/>
      <w:pPr>
        <w:tabs>
          <w:tab w:val="num" w:pos="1134"/>
        </w:tabs>
        <w:ind w:left="1247" w:firstLine="0"/>
      </w:pPr>
      <w:rPr>
        <w:rFonts w:hint="default"/>
      </w:rPr>
    </w:lvl>
    <w:lvl w:ilvl="1">
      <w:start w:val="1"/>
      <w:numFmt w:val="lowerLetter"/>
      <w:lvlText w:val="(%2)"/>
      <w:lvlJc w:val="left"/>
      <w:pPr>
        <w:tabs>
          <w:tab w:val="num" w:pos="1134"/>
        </w:tabs>
        <w:ind w:left="1247" w:firstLine="567"/>
      </w:pPr>
      <w:rPr>
        <w:rFonts w:hint="default"/>
      </w:rPr>
    </w:lvl>
    <w:lvl w:ilvl="2">
      <w:start w:val="1"/>
      <w:numFmt w:val="lowerRoman"/>
      <w:lvlText w:val="(%3)"/>
      <w:lvlJc w:val="left"/>
      <w:pPr>
        <w:tabs>
          <w:tab w:val="num" w:pos="1134"/>
        </w:tabs>
        <w:ind w:left="2948" w:hanging="567"/>
      </w:pPr>
      <w:rPr>
        <w:rFonts w:hint="default"/>
      </w:rPr>
    </w:lvl>
    <w:lvl w:ilvl="3">
      <w:start w:val="1"/>
      <w:numFmt w:val="lowerLetter"/>
      <w:lvlText w:val="%4."/>
      <w:lvlJc w:val="left"/>
      <w:pPr>
        <w:tabs>
          <w:tab w:val="num" w:pos="1134"/>
        </w:tabs>
        <w:ind w:left="3515" w:hanging="567"/>
      </w:pPr>
      <w:rPr>
        <w:rFonts w:hint="default"/>
      </w:rPr>
    </w:lvl>
    <w:lvl w:ilvl="4">
      <w:start w:val="1"/>
      <w:numFmt w:val="lowerRoman"/>
      <w:lvlText w:val="%5."/>
      <w:lvlJc w:val="left"/>
      <w:pPr>
        <w:tabs>
          <w:tab w:val="num" w:pos="1134"/>
        </w:tabs>
        <w:ind w:left="4082" w:hanging="567"/>
      </w:pPr>
      <w:rPr>
        <w:rFonts w:hint="default"/>
      </w:rPr>
    </w:lvl>
    <w:lvl w:ilvl="5">
      <w:start w:val="1"/>
      <w:numFmt w:val="lowerRoman"/>
      <w:lvlText w:val="%6."/>
      <w:lvlJc w:val="right"/>
      <w:pPr>
        <w:tabs>
          <w:tab w:val="num" w:pos="7835"/>
        </w:tabs>
        <w:ind w:left="7835" w:hanging="180"/>
      </w:pPr>
      <w:rPr>
        <w:rFonts w:hint="default"/>
      </w:rPr>
    </w:lvl>
    <w:lvl w:ilvl="6">
      <w:start w:val="1"/>
      <w:numFmt w:val="decimal"/>
      <w:lvlText w:val="%7."/>
      <w:lvlJc w:val="left"/>
      <w:pPr>
        <w:tabs>
          <w:tab w:val="num" w:pos="8555"/>
        </w:tabs>
        <w:ind w:left="8555" w:hanging="360"/>
      </w:pPr>
      <w:rPr>
        <w:rFonts w:hint="default"/>
      </w:rPr>
    </w:lvl>
    <w:lvl w:ilvl="7">
      <w:start w:val="1"/>
      <w:numFmt w:val="lowerLetter"/>
      <w:lvlText w:val="%8."/>
      <w:lvlJc w:val="left"/>
      <w:pPr>
        <w:tabs>
          <w:tab w:val="num" w:pos="9275"/>
        </w:tabs>
        <w:ind w:left="9275" w:hanging="360"/>
      </w:pPr>
      <w:rPr>
        <w:rFonts w:hint="default"/>
      </w:rPr>
    </w:lvl>
    <w:lvl w:ilvl="8">
      <w:start w:val="1"/>
      <w:numFmt w:val="lowerRoman"/>
      <w:lvlText w:val="%9."/>
      <w:lvlJc w:val="right"/>
      <w:pPr>
        <w:tabs>
          <w:tab w:val="num" w:pos="9995"/>
        </w:tabs>
        <w:ind w:left="9995" w:hanging="180"/>
      </w:pPr>
      <w:rPr>
        <w:rFonts w:hint="default"/>
      </w:rPr>
    </w:lvl>
  </w:abstractNum>
  <w:abstractNum w:abstractNumId="2" w15:restartNumberingAfterBreak="0">
    <w:nsid w:val="5147568E"/>
    <w:multiLevelType w:val="hybridMultilevel"/>
    <w:tmpl w:val="6C2419DE"/>
    <w:lvl w:ilvl="0" w:tplc="D63C561A">
      <w:start w:val="1"/>
      <w:numFmt w:val="decimal"/>
      <w:lvlText w:val="%1."/>
      <w:lvlJc w:val="left"/>
      <w:pPr>
        <w:ind w:left="28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291BF8"/>
    <w:multiLevelType w:val="multilevel"/>
    <w:tmpl w:val="C38EAC68"/>
    <w:lvl w:ilvl="0">
      <w:start w:val="1"/>
      <w:numFmt w:val="decimal"/>
      <w:lvlText w:val="%1."/>
      <w:lvlJc w:val="left"/>
      <w:pPr>
        <w:tabs>
          <w:tab w:val="num" w:pos="-680"/>
        </w:tabs>
        <w:ind w:left="0" w:firstLine="0"/>
      </w:pPr>
      <w:rPr>
        <w:rFonts w:hint="default"/>
        <w:i w:val="0"/>
      </w:rPr>
    </w:lvl>
    <w:lvl w:ilvl="1">
      <w:start w:val="1"/>
      <w:numFmt w:val="lowerLetter"/>
      <w:lvlText w:val="(%2)"/>
      <w:lvlJc w:val="left"/>
      <w:pPr>
        <w:tabs>
          <w:tab w:val="num" w:pos="567"/>
        </w:tabs>
        <w:ind w:left="1247" w:firstLine="567"/>
      </w:pPr>
      <w:rPr>
        <w:rFonts w:hint="default"/>
      </w:rPr>
    </w:lvl>
    <w:lvl w:ilvl="2">
      <w:start w:val="1"/>
      <w:numFmt w:val="lowerRoman"/>
      <w:lvlText w:val="(%3)"/>
      <w:lvlJc w:val="left"/>
      <w:pPr>
        <w:tabs>
          <w:tab w:val="num" w:pos="597"/>
        </w:tabs>
        <w:ind w:left="2978" w:hanging="567"/>
      </w:pPr>
      <w:rPr>
        <w:rFonts w:hint="default"/>
      </w:rPr>
    </w:lvl>
    <w:lvl w:ilvl="3">
      <w:start w:val="1"/>
      <w:numFmt w:val="lowerLetter"/>
      <w:lvlText w:val="%4."/>
      <w:lvlJc w:val="left"/>
      <w:pPr>
        <w:tabs>
          <w:tab w:val="num" w:pos="567"/>
        </w:tabs>
        <w:ind w:left="3515" w:hanging="567"/>
      </w:pPr>
      <w:rPr>
        <w:rFonts w:hint="default"/>
      </w:rPr>
    </w:lvl>
    <w:lvl w:ilvl="4">
      <w:start w:val="1"/>
      <w:numFmt w:val="lowerRoman"/>
      <w:lvlText w:val="%5."/>
      <w:lvlJc w:val="left"/>
      <w:pPr>
        <w:tabs>
          <w:tab w:val="num" w:pos="567"/>
        </w:tabs>
        <w:ind w:left="4082" w:hanging="567"/>
      </w:pPr>
      <w:rPr>
        <w:rFonts w:hint="default"/>
      </w:rPr>
    </w:lvl>
    <w:lvl w:ilvl="5">
      <w:start w:val="1"/>
      <w:numFmt w:val="lowerRoman"/>
      <w:lvlText w:val="%6."/>
      <w:lvlJc w:val="right"/>
      <w:pPr>
        <w:tabs>
          <w:tab w:val="num" w:pos="7835"/>
        </w:tabs>
        <w:ind w:left="7835" w:hanging="180"/>
      </w:pPr>
      <w:rPr>
        <w:rFonts w:hint="default"/>
      </w:rPr>
    </w:lvl>
    <w:lvl w:ilvl="6">
      <w:start w:val="1"/>
      <w:numFmt w:val="decimal"/>
      <w:lvlText w:val="%7."/>
      <w:lvlJc w:val="left"/>
      <w:pPr>
        <w:tabs>
          <w:tab w:val="num" w:pos="8555"/>
        </w:tabs>
        <w:ind w:left="8555" w:hanging="360"/>
      </w:pPr>
      <w:rPr>
        <w:rFonts w:hint="default"/>
      </w:rPr>
    </w:lvl>
    <w:lvl w:ilvl="7">
      <w:start w:val="1"/>
      <w:numFmt w:val="lowerLetter"/>
      <w:lvlText w:val="%8."/>
      <w:lvlJc w:val="left"/>
      <w:pPr>
        <w:tabs>
          <w:tab w:val="num" w:pos="9275"/>
        </w:tabs>
        <w:ind w:left="9275" w:hanging="360"/>
      </w:pPr>
      <w:rPr>
        <w:rFonts w:hint="default"/>
      </w:rPr>
    </w:lvl>
    <w:lvl w:ilvl="8">
      <w:start w:val="1"/>
      <w:numFmt w:val="lowerRoman"/>
      <w:lvlText w:val="%9."/>
      <w:lvlJc w:val="right"/>
      <w:pPr>
        <w:tabs>
          <w:tab w:val="num" w:pos="9995"/>
        </w:tabs>
        <w:ind w:left="9995" w:hanging="180"/>
      </w:pPr>
      <w:rPr>
        <w:rFonts w:hint="default"/>
      </w:rPr>
    </w:lvl>
  </w:abstractNum>
  <w:num w:numId="1">
    <w:abstractNumId w:val="1"/>
    <w:lvlOverride w:ilvl="0">
      <w:lvl w:ilvl="0">
        <w:start w:val="1"/>
        <w:numFmt w:val="decimal"/>
        <w:pStyle w:val="Normalnumber"/>
        <w:lvlText w:val="%1."/>
        <w:lvlJc w:val="left"/>
        <w:pPr>
          <w:tabs>
            <w:tab w:val="num" w:pos="1134"/>
          </w:tabs>
          <w:ind w:left="1247" w:firstLine="0"/>
        </w:pPr>
        <w:rPr>
          <w:rFonts w:hint="default"/>
        </w:rPr>
      </w:lvl>
    </w:lvlOverride>
    <w:lvlOverride w:ilvl="1">
      <w:lvl w:ilvl="1">
        <w:start w:val="1"/>
        <w:numFmt w:val="lowerLetter"/>
        <w:lvlText w:val="(%2)"/>
        <w:lvlJc w:val="left"/>
        <w:pPr>
          <w:tabs>
            <w:tab w:val="num" w:pos="1134"/>
          </w:tabs>
          <w:ind w:left="1247" w:firstLine="567"/>
        </w:pPr>
        <w:rPr>
          <w:rFonts w:hint="default"/>
        </w:rPr>
      </w:lvl>
    </w:lvlOverride>
    <w:lvlOverride w:ilvl="2">
      <w:lvl w:ilvl="2">
        <w:start w:val="1"/>
        <w:numFmt w:val="lowerRoman"/>
        <w:lvlText w:val="(%3)"/>
        <w:lvlJc w:val="left"/>
        <w:pPr>
          <w:tabs>
            <w:tab w:val="num" w:pos="1134"/>
          </w:tabs>
          <w:ind w:left="2948" w:hanging="567"/>
        </w:pPr>
        <w:rPr>
          <w:rFonts w:hint="default"/>
        </w:rPr>
      </w:lvl>
    </w:lvlOverride>
    <w:lvlOverride w:ilvl="3">
      <w:lvl w:ilvl="3">
        <w:start w:val="1"/>
        <w:numFmt w:val="lowerLetter"/>
        <w:lvlText w:val="%4."/>
        <w:lvlJc w:val="left"/>
        <w:pPr>
          <w:tabs>
            <w:tab w:val="num" w:pos="1134"/>
          </w:tabs>
          <w:ind w:left="3515" w:hanging="567"/>
        </w:pPr>
        <w:rPr>
          <w:rFonts w:hint="default"/>
        </w:rPr>
      </w:lvl>
    </w:lvlOverride>
    <w:lvlOverride w:ilvl="4">
      <w:lvl w:ilvl="4">
        <w:start w:val="1"/>
        <w:numFmt w:val="lowerRoman"/>
        <w:lvlText w:val="%5."/>
        <w:lvlJc w:val="left"/>
        <w:pPr>
          <w:tabs>
            <w:tab w:val="num" w:pos="1134"/>
          </w:tabs>
          <w:ind w:left="4082" w:hanging="567"/>
        </w:pPr>
        <w:rPr>
          <w:rFonts w:hint="default"/>
        </w:rPr>
      </w:lvl>
    </w:lvlOverride>
    <w:lvlOverride w:ilvl="5">
      <w:lvl w:ilvl="5">
        <w:start w:val="1"/>
        <w:numFmt w:val="lowerRoman"/>
        <w:lvlText w:val="%6."/>
        <w:lvlJc w:val="right"/>
        <w:pPr>
          <w:tabs>
            <w:tab w:val="num" w:pos="7835"/>
          </w:tabs>
          <w:ind w:left="7835" w:hanging="180"/>
        </w:pPr>
        <w:rPr>
          <w:rFonts w:hint="default"/>
        </w:rPr>
      </w:lvl>
    </w:lvlOverride>
    <w:lvlOverride w:ilvl="6">
      <w:lvl w:ilvl="6">
        <w:start w:val="1"/>
        <w:numFmt w:val="decimal"/>
        <w:lvlText w:val="%7."/>
        <w:lvlJc w:val="left"/>
        <w:pPr>
          <w:tabs>
            <w:tab w:val="num" w:pos="8555"/>
          </w:tabs>
          <w:ind w:left="8555" w:hanging="360"/>
        </w:pPr>
        <w:rPr>
          <w:rFonts w:hint="default"/>
        </w:rPr>
      </w:lvl>
    </w:lvlOverride>
    <w:lvlOverride w:ilvl="7">
      <w:lvl w:ilvl="7">
        <w:start w:val="1"/>
        <w:numFmt w:val="lowerLetter"/>
        <w:lvlText w:val="%8."/>
        <w:lvlJc w:val="left"/>
        <w:pPr>
          <w:tabs>
            <w:tab w:val="num" w:pos="9275"/>
          </w:tabs>
          <w:ind w:left="9275" w:hanging="360"/>
        </w:pPr>
        <w:rPr>
          <w:rFonts w:hint="default"/>
        </w:rPr>
      </w:lvl>
    </w:lvlOverride>
    <w:lvlOverride w:ilvl="8">
      <w:lvl w:ilvl="8">
        <w:start w:val="1"/>
        <w:numFmt w:val="lowerRoman"/>
        <w:lvlText w:val="%9."/>
        <w:lvlJc w:val="right"/>
        <w:pPr>
          <w:tabs>
            <w:tab w:val="num" w:pos="9995"/>
          </w:tabs>
          <w:ind w:left="9995" w:hanging="180"/>
        </w:pPr>
        <w:rPr>
          <w:rFonts w:hint="default"/>
        </w:rPr>
      </w:lvl>
    </w:lvlOverride>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F08"/>
    <w:rsid w:val="00521BDB"/>
    <w:rsid w:val="009C1E3A"/>
    <w:rsid w:val="00BC4F08"/>
    <w:rsid w:val="00F935A6"/>
    <w:rsid w:val="00FA6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19C29"/>
  <w15:chartTrackingRefBased/>
  <w15:docId w15:val="{2B677617-D3B0-4800-BF34-FEBD1E4CB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4F08"/>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1">
    <w:name w:val="CH1"/>
    <w:basedOn w:val="Normal"/>
    <w:next w:val="Normal"/>
    <w:rsid w:val="00BC4F08"/>
    <w:pPr>
      <w:keepNext/>
      <w:keepLines/>
      <w:tabs>
        <w:tab w:val="right" w:pos="851"/>
        <w:tab w:val="left" w:pos="4082"/>
      </w:tabs>
      <w:suppressAutoHyphens/>
      <w:spacing w:before="240" w:after="120"/>
      <w:ind w:left="1247" w:right="284" w:hanging="1247"/>
    </w:pPr>
    <w:rPr>
      <w:b/>
      <w:sz w:val="28"/>
      <w:szCs w:val="28"/>
      <w:lang w:val="en-GB"/>
    </w:rPr>
  </w:style>
  <w:style w:type="character" w:customStyle="1" w:styleId="NormalnumberChar">
    <w:name w:val="Normal_number Char"/>
    <w:link w:val="Normalnumber"/>
    <w:rsid w:val="00BC4F08"/>
    <w:rPr>
      <w:lang w:eastAsia="en-US"/>
    </w:rPr>
  </w:style>
  <w:style w:type="paragraph" w:customStyle="1" w:styleId="NormalNonumber">
    <w:name w:val="Normal_No_number"/>
    <w:basedOn w:val="Normal"/>
    <w:link w:val="NormalNonumberChar"/>
    <w:qFormat/>
    <w:rsid w:val="00BC4F08"/>
    <w:pPr>
      <w:tabs>
        <w:tab w:val="left" w:pos="4082"/>
      </w:tabs>
      <w:spacing w:after="120"/>
      <w:ind w:left="1247"/>
    </w:pPr>
    <w:rPr>
      <w:lang w:val="en-GB"/>
    </w:rPr>
  </w:style>
  <w:style w:type="paragraph" w:customStyle="1" w:styleId="Normalnumber">
    <w:name w:val="Normal_number"/>
    <w:basedOn w:val="Normal"/>
    <w:link w:val="NormalnumberChar"/>
    <w:qFormat/>
    <w:rsid w:val="00BC4F08"/>
    <w:pPr>
      <w:numPr>
        <w:numId w:val="1"/>
      </w:numPr>
      <w:tabs>
        <w:tab w:val="clear" w:pos="1247"/>
        <w:tab w:val="clear" w:pos="1814"/>
        <w:tab w:val="clear" w:pos="2381"/>
        <w:tab w:val="clear" w:pos="2948"/>
        <w:tab w:val="clear" w:pos="3515"/>
        <w:tab w:val="left" w:pos="624"/>
      </w:tabs>
      <w:spacing w:after="120"/>
    </w:pPr>
    <w:rPr>
      <w:rFonts w:asciiTheme="minorHAnsi" w:eastAsiaTheme="minorEastAsia" w:hAnsiTheme="minorHAnsi" w:cstheme="minorBidi"/>
      <w:sz w:val="22"/>
      <w:szCs w:val="22"/>
      <w:lang w:val="en-US"/>
    </w:rPr>
  </w:style>
  <w:style w:type="character" w:customStyle="1" w:styleId="NormalNonumberChar">
    <w:name w:val="Normal_No_number Char"/>
    <w:link w:val="NormalNonumber"/>
    <w:locked/>
    <w:rsid w:val="00BC4F08"/>
    <w:rPr>
      <w:rFonts w:ascii="Times New Roman" w:eastAsia="Times New Roman" w:hAnsi="Times New Roman" w:cs="Times New Roman"/>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Gong</dc:creator>
  <cp:keywords/>
  <dc:description/>
  <cp:lastModifiedBy>Le Gong</cp:lastModifiedBy>
  <cp:revision>2</cp:revision>
  <dcterms:created xsi:type="dcterms:W3CDTF">2020-01-21T09:59:00Z</dcterms:created>
  <dcterms:modified xsi:type="dcterms:W3CDTF">2020-01-21T09:59:00Z</dcterms:modified>
</cp:coreProperties>
</file>