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6656C" w14:textId="75A038AC" w:rsidR="003B3DB0" w:rsidRPr="003B3DB0" w:rsidRDefault="003B3DB0" w:rsidP="003B3DB0">
      <w:pPr>
        <w:pStyle w:val="CH1"/>
        <w:rPr>
          <w:sz w:val="24"/>
          <w:szCs w:val="24"/>
        </w:rPr>
      </w:pPr>
      <w:r w:rsidRPr="003B3DB0">
        <w:tab/>
      </w:r>
      <w:r w:rsidRPr="003B3DB0">
        <w:tab/>
      </w:r>
      <w:r w:rsidRPr="003B3DB0">
        <w:t>BC-14/4: Technical guidelines on the environmentally sound management of wastes consisting of, containing or contaminated with persistent organic pollutants</w:t>
      </w:r>
    </w:p>
    <w:p w14:paraId="1E4DB68E" w14:textId="77777777" w:rsidR="003B3DB0" w:rsidRPr="003B3DB0" w:rsidRDefault="003B3DB0" w:rsidP="003B3DB0">
      <w:pPr>
        <w:tabs>
          <w:tab w:val="left" w:pos="624"/>
        </w:tabs>
        <w:autoSpaceDE w:val="0"/>
        <w:autoSpaceDN w:val="0"/>
        <w:adjustRightInd w:val="0"/>
        <w:spacing w:after="120"/>
        <w:ind w:left="1247" w:firstLine="624"/>
        <w:rPr>
          <w:i/>
          <w:lang w:val="en-GB"/>
        </w:rPr>
      </w:pPr>
      <w:r w:rsidRPr="003B3DB0">
        <w:rPr>
          <w:i/>
          <w:lang w:val="en-GB"/>
        </w:rPr>
        <w:t>The Conference of the Parties</w:t>
      </w:r>
    </w:p>
    <w:p w14:paraId="266122A8" w14:textId="77777777" w:rsidR="003B3DB0" w:rsidRPr="003B3DB0" w:rsidRDefault="003B3DB0" w:rsidP="003B3DB0">
      <w:pPr>
        <w:pStyle w:val="Normalnumber"/>
        <w:numPr>
          <w:ilvl w:val="0"/>
          <w:numId w:val="3"/>
        </w:numPr>
        <w:ind w:left="1247" w:firstLine="624"/>
        <w:rPr>
          <w:rFonts w:ascii="Times New Roman" w:hAnsi="Times New Roman" w:cs="Times New Roman"/>
        </w:rPr>
      </w:pPr>
      <w:bookmarkStart w:id="0" w:name="_Hlk528740991"/>
      <w:r w:rsidRPr="003B3DB0">
        <w:rPr>
          <w:rFonts w:ascii="Times New Roman" w:hAnsi="Times New Roman" w:cs="Times New Roman"/>
          <w:i/>
        </w:rPr>
        <w:t>Welcomes with appreciation</w:t>
      </w:r>
      <w:r w:rsidRPr="003B3DB0">
        <w:rPr>
          <w:rFonts w:ascii="Times New Roman" w:hAnsi="Times New Roman" w:cs="Times New Roman"/>
        </w:rPr>
        <w:t xml:space="preserve"> the contributions made by the Government of Norway </w:t>
      </w:r>
      <w:r w:rsidRPr="003B3DB0">
        <w:rPr>
          <w:rFonts w:ascii="Times New Roman" w:hAnsi="Times New Roman" w:cs="Times New Roman"/>
          <w:iCs/>
        </w:rPr>
        <w:t xml:space="preserve">as lead country </w:t>
      </w:r>
      <w:r w:rsidRPr="003B3DB0">
        <w:rPr>
          <w:rFonts w:ascii="Times New Roman" w:hAnsi="Times New Roman" w:cs="Times New Roman"/>
        </w:rPr>
        <w:t xml:space="preserve">and by the small intersessional working group to the tasks pertaining to </w:t>
      </w:r>
      <w:r w:rsidRPr="003B3DB0">
        <w:rPr>
          <w:rFonts w:ascii="Times New Roman" w:hAnsi="Times New Roman" w:cs="Times New Roman"/>
          <w:iCs/>
        </w:rPr>
        <w:t xml:space="preserve">the </w:t>
      </w:r>
      <w:r w:rsidRPr="003B3DB0">
        <w:rPr>
          <w:rFonts w:ascii="Times New Roman" w:hAnsi="Times New Roman" w:cs="Times New Roman"/>
        </w:rPr>
        <w:t xml:space="preserve">technical guidelines on the environmentally sound management of </w:t>
      </w:r>
      <w:r w:rsidRPr="003B3DB0">
        <w:rPr>
          <w:rFonts w:ascii="Times New Roman" w:hAnsi="Times New Roman" w:cs="Times New Roman"/>
          <w:iCs/>
        </w:rPr>
        <w:t xml:space="preserve">wastes consisting of, containing or contaminated with </w:t>
      </w:r>
      <w:r w:rsidRPr="003B3DB0">
        <w:rPr>
          <w:rFonts w:ascii="Times New Roman" w:hAnsi="Times New Roman" w:cs="Times New Roman"/>
        </w:rPr>
        <w:t xml:space="preserve">persistent organic pollutants; </w:t>
      </w:r>
    </w:p>
    <w:p w14:paraId="777B3BED" w14:textId="77777777" w:rsidR="003B3DB0" w:rsidRPr="003B3DB0" w:rsidRDefault="003B3DB0" w:rsidP="003B3DB0">
      <w:pPr>
        <w:pStyle w:val="Normalnumber"/>
        <w:numPr>
          <w:ilvl w:val="0"/>
          <w:numId w:val="3"/>
        </w:numPr>
        <w:ind w:left="1247" w:firstLine="624"/>
        <w:rPr>
          <w:rFonts w:ascii="Times New Roman" w:eastAsia="Calibri" w:hAnsi="Times New Roman" w:cs="Times New Roman"/>
          <w:color w:val="000000"/>
        </w:rPr>
      </w:pPr>
      <w:bookmarkStart w:id="1" w:name="_Ref463861009"/>
      <w:bookmarkEnd w:id="0"/>
      <w:r w:rsidRPr="003B3DB0">
        <w:rPr>
          <w:rFonts w:ascii="Times New Roman" w:eastAsia="Calibri" w:hAnsi="Times New Roman" w:cs="Times New Roman"/>
          <w:i/>
          <w:color w:val="000000"/>
        </w:rPr>
        <w:t>Adopts</w:t>
      </w:r>
      <w:r w:rsidRPr="003B3DB0">
        <w:rPr>
          <w:rFonts w:ascii="Times New Roman" w:eastAsia="Calibri" w:hAnsi="Times New Roman" w:cs="Times New Roman"/>
          <w:color w:val="000000"/>
        </w:rPr>
        <w:t xml:space="preserve"> the following technical </w:t>
      </w:r>
      <w:r w:rsidRPr="003B3DB0">
        <w:rPr>
          <w:rFonts w:ascii="Times New Roman" w:hAnsi="Times New Roman" w:cs="Times New Roman"/>
          <w:iCs/>
        </w:rPr>
        <w:t>guidelines</w:t>
      </w:r>
      <w:r w:rsidRPr="003B3DB0">
        <w:rPr>
          <w:rFonts w:ascii="Times New Roman" w:eastAsia="Calibri" w:hAnsi="Times New Roman" w:cs="Times New Roman"/>
          <w:color w:val="000000"/>
        </w:rPr>
        <w:t>:</w:t>
      </w:r>
      <w:bookmarkEnd w:id="1"/>
    </w:p>
    <w:p w14:paraId="4DB6FC71" w14:textId="77777777" w:rsidR="003B3DB0" w:rsidRPr="003B3DB0" w:rsidRDefault="003B3DB0" w:rsidP="003B3DB0">
      <w:pPr>
        <w:pStyle w:val="Normal-pool"/>
        <w:tabs>
          <w:tab w:val="clear" w:pos="1247"/>
          <w:tab w:val="clear" w:pos="1814"/>
          <w:tab w:val="clear" w:pos="2381"/>
          <w:tab w:val="clear" w:pos="2948"/>
          <w:tab w:val="clear" w:pos="3515"/>
          <w:tab w:val="clear" w:pos="4082"/>
          <w:tab w:val="left" w:pos="624"/>
        </w:tabs>
        <w:spacing w:after="120"/>
        <w:ind w:left="1247" w:firstLine="624"/>
      </w:pPr>
      <w:r w:rsidRPr="003B3DB0">
        <w:t>(a)</w:t>
      </w:r>
      <w:r w:rsidRPr="003B3DB0">
        <w:tab/>
        <w:t>Updated general technical guidelines on the environmentally sound management of wastes consisting of, containing or contaminated with persistent organic pollutants;</w:t>
      </w:r>
      <w:r w:rsidRPr="003B3DB0">
        <w:rPr>
          <w:vertAlign w:val="superscript"/>
        </w:rPr>
        <w:footnoteReference w:id="1"/>
      </w:r>
      <w:r w:rsidRPr="003B3DB0">
        <w:rPr>
          <w:iCs/>
          <w:vertAlign w:val="superscript"/>
        </w:rPr>
        <w:t xml:space="preserve"> </w:t>
      </w:r>
    </w:p>
    <w:p w14:paraId="7FFF52F0" w14:textId="77777777" w:rsidR="003B3DB0" w:rsidRPr="003B3DB0" w:rsidRDefault="003B3DB0" w:rsidP="003B3DB0">
      <w:pPr>
        <w:pStyle w:val="Normal-pool"/>
        <w:tabs>
          <w:tab w:val="clear" w:pos="1247"/>
          <w:tab w:val="clear" w:pos="1814"/>
          <w:tab w:val="clear" w:pos="2381"/>
          <w:tab w:val="clear" w:pos="2948"/>
          <w:tab w:val="clear" w:pos="3515"/>
          <w:tab w:val="clear" w:pos="4082"/>
          <w:tab w:val="left" w:pos="624"/>
        </w:tabs>
        <w:spacing w:after="120"/>
        <w:ind w:left="1247" w:firstLine="624"/>
      </w:pPr>
      <w:r w:rsidRPr="003B3DB0">
        <w:t>(b)</w:t>
      </w:r>
      <w:r w:rsidRPr="003B3DB0">
        <w:tab/>
        <w:t>Updated technical guidelines on the environmentally sound management of wastes consisting of, containing or contaminated with hexabromodiphenyl ether and heptabromodiphenyl ether, or tetrabromodiphenyl ether and pentabromodiphenyl ether or decabromodiphenyl ether;</w:t>
      </w:r>
      <w:r w:rsidRPr="003B3DB0">
        <w:rPr>
          <w:vertAlign w:val="superscript"/>
        </w:rPr>
        <w:footnoteReference w:id="2"/>
      </w:r>
    </w:p>
    <w:p w14:paraId="011DC3DE" w14:textId="77777777" w:rsidR="003B3DB0" w:rsidRPr="003B3DB0" w:rsidRDefault="003B3DB0" w:rsidP="003B3DB0">
      <w:pPr>
        <w:pStyle w:val="Normal-pool"/>
        <w:tabs>
          <w:tab w:val="clear" w:pos="1247"/>
          <w:tab w:val="clear" w:pos="1814"/>
          <w:tab w:val="clear" w:pos="2381"/>
          <w:tab w:val="clear" w:pos="2948"/>
          <w:tab w:val="clear" w:pos="3515"/>
          <w:tab w:val="clear" w:pos="4082"/>
          <w:tab w:val="left" w:pos="624"/>
        </w:tabs>
        <w:spacing w:after="120"/>
        <w:ind w:left="1247" w:firstLine="624"/>
      </w:pPr>
      <w:r w:rsidRPr="003B3DB0">
        <w:t>(c)</w:t>
      </w:r>
      <w:r w:rsidRPr="003B3DB0">
        <w:tab/>
        <w:t>Updated technical guidelines on the environmentally sound management of wastes containing or contaminated with unintentionally produced polychlorinated dibenzo</w:t>
      </w:r>
      <w:r w:rsidRPr="003B3DB0">
        <w:noBreakHyphen/>
      </w:r>
      <w:r w:rsidRPr="003B3DB0">
        <w:rPr>
          <w:i/>
          <w:iCs/>
        </w:rPr>
        <w:t>p</w:t>
      </w:r>
      <w:r w:rsidRPr="003B3DB0">
        <w:noBreakHyphen/>
        <w:t>dioxins, polychlorinated dibenzofurans, hexachlorobenzene, polychlorinated biphenyls, pentachlorobenzene, polychlorinated naphthalenes or hexachlorobutadiene;</w:t>
      </w:r>
      <w:r w:rsidRPr="003B3DB0">
        <w:rPr>
          <w:vertAlign w:val="superscript"/>
        </w:rPr>
        <w:footnoteReference w:id="3"/>
      </w:r>
    </w:p>
    <w:p w14:paraId="6DEFC6BB" w14:textId="77777777" w:rsidR="003B3DB0" w:rsidRPr="003B3DB0" w:rsidRDefault="003B3DB0" w:rsidP="003B3DB0">
      <w:pPr>
        <w:pStyle w:val="Normal-pool"/>
        <w:tabs>
          <w:tab w:val="clear" w:pos="1247"/>
          <w:tab w:val="clear" w:pos="1814"/>
          <w:tab w:val="clear" w:pos="2381"/>
          <w:tab w:val="clear" w:pos="2948"/>
          <w:tab w:val="clear" w:pos="3515"/>
          <w:tab w:val="clear" w:pos="4082"/>
          <w:tab w:val="left" w:pos="624"/>
        </w:tabs>
        <w:spacing w:after="120"/>
        <w:ind w:left="1247" w:firstLine="624"/>
      </w:pPr>
      <w:r w:rsidRPr="003B3DB0">
        <w:t>(d)</w:t>
      </w:r>
      <w:r w:rsidRPr="003B3DB0">
        <w:tab/>
        <w:t>Updated technical guidelines on the environmentally sound management of wastes consisting of, containing or contaminated with hexachlorobutadiene;</w:t>
      </w:r>
      <w:r w:rsidRPr="003B3DB0">
        <w:rPr>
          <w:vertAlign w:val="superscript"/>
        </w:rPr>
        <w:footnoteReference w:id="4"/>
      </w:r>
    </w:p>
    <w:p w14:paraId="22A7DEC9" w14:textId="77777777" w:rsidR="003B3DB0" w:rsidRPr="003B3DB0" w:rsidRDefault="003B3DB0" w:rsidP="003B3DB0">
      <w:pPr>
        <w:pStyle w:val="Normal-pool"/>
        <w:tabs>
          <w:tab w:val="clear" w:pos="1247"/>
          <w:tab w:val="clear" w:pos="1814"/>
          <w:tab w:val="clear" w:pos="2381"/>
          <w:tab w:val="clear" w:pos="2948"/>
          <w:tab w:val="clear" w:pos="3515"/>
          <w:tab w:val="clear" w:pos="4082"/>
          <w:tab w:val="left" w:pos="624"/>
        </w:tabs>
        <w:spacing w:after="120"/>
        <w:ind w:left="1247" w:firstLine="624"/>
        <w:rPr>
          <w:iCs/>
        </w:rPr>
      </w:pPr>
      <w:r w:rsidRPr="003B3DB0">
        <w:rPr>
          <w:iCs/>
        </w:rPr>
        <w:t>(e)</w:t>
      </w:r>
      <w:r w:rsidRPr="003B3DB0">
        <w:rPr>
          <w:iCs/>
        </w:rPr>
        <w:tab/>
        <w:t>Technical guidelines on the environmentally sound management of wastes consisting of, containing or contaminated with short-chain chlorinated paraffins;</w:t>
      </w:r>
      <w:r w:rsidRPr="003B3DB0">
        <w:rPr>
          <w:iCs/>
          <w:vertAlign w:val="superscript"/>
        </w:rPr>
        <w:footnoteReference w:id="5"/>
      </w:r>
      <w:r w:rsidRPr="003B3DB0">
        <w:rPr>
          <w:iCs/>
          <w:vertAlign w:val="superscript"/>
        </w:rPr>
        <w:t xml:space="preserve"> </w:t>
      </w:r>
    </w:p>
    <w:p w14:paraId="1D1A84C9" w14:textId="77777777" w:rsidR="003B3DB0" w:rsidRPr="003B3DB0" w:rsidRDefault="003B3DB0" w:rsidP="003B3DB0">
      <w:pPr>
        <w:pStyle w:val="Normalnumber"/>
        <w:numPr>
          <w:ilvl w:val="0"/>
          <w:numId w:val="3"/>
        </w:numPr>
        <w:ind w:left="1247" w:firstLine="624"/>
        <w:rPr>
          <w:rFonts w:ascii="Times New Roman" w:hAnsi="Times New Roman" w:cs="Times New Roman"/>
        </w:rPr>
      </w:pPr>
      <w:r w:rsidRPr="003B3DB0">
        <w:rPr>
          <w:rFonts w:ascii="Times New Roman" w:hAnsi="Times New Roman" w:cs="Times New Roman"/>
          <w:i/>
        </w:rPr>
        <w:t xml:space="preserve">Requests </w:t>
      </w:r>
      <w:r w:rsidRPr="003B3DB0">
        <w:rPr>
          <w:rFonts w:ascii="Times New Roman" w:hAnsi="Times New Roman" w:cs="Times New Roman"/>
        </w:rPr>
        <w:t>the Secretariat to disseminate the technical guidelines referred to in paragraph</w:t>
      </w:r>
      <w:r w:rsidRPr="003B3DB0">
        <w:rPr>
          <w:rFonts w:ascii="Times New Roman" w:hAnsi="Times New Roman" w:cs="Times New Roman"/>
          <w:iCs/>
        </w:rPr>
        <w:t xml:space="preserve"> </w:t>
      </w:r>
      <w:r w:rsidRPr="003B3DB0">
        <w:rPr>
          <w:rFonts w:ascii="Times New Roman" w:hAnsi="Times New Roman" w:cs="Times New Roman"/>
        </w:rPr>
        <w:t>2 of the present decision to Parties and others in the six official languages of the United Nations;</w:t>
      </w:r>
    </w:p>
    <w:p w14:paraId="1D64DC9A" w14:textId="77777777" w:rsidR="003B3DB0" w:rsidRPr="003B3DB0" w:rsidRDefault="003B3DB0" w:rsidP="003B3DB0">
      <w:pPr>
        <w:pStyle w:val="Normalnumber"/>
        <w:numPr>
          <w:ilvl w:val="0"/>
          <w:numId w:val="3"/>
        </w:numPr>
        <w:ind w:left="1247" w:firstLine="624"/>
        <w:rPr>
          <w:rFonts w:ascii="Times New Roman" w:hAnsi="Times New Roman" w:cs="Times New Roman"/>
        </w:rPr>
      </w:pPr>
      <w:r w:rsidRPr="003B3DB0">
        <w:rPr>
          <w:rFonts w:ascii="Times New Roman" w:hAnsi="Times New Roman" w:cs="Times New Roman"/>
          <w:i/>
        </w:rPr>
        <w:t>Decides</w:t>
      </w:r>
      <w:r w:rsidRPr="003B3DB0">
        <w:rPr>
          <w:rFonts w:ascii="Times New Roman" w:hAnsi="Times New Roman" w:cs="Times New Roman"/>
        </w:rPr>
        <w:t xml:space="preserve"> to extend the mandate of the small intersessional working group established by paragraph 9 of decision OEWG-I/4 to provide that the group shall monitor and assist in the review, updating and preparation, as appropriate, of technical guidelines </w:t>
      </w:r>
      <w:r w:rsidRPr="003B3DB0">
        <w:rPr>
          <w:rFonts w:ascii="Times New Roman" w:hAnsi="Times New Roman" w:cs="Times New Roman"/>
          <w:iCs/>
        </w:rPr>
        <w:t>on the environmentally sound management of wastes consisting of, containing or contaminated with</w:t>
      </w:r>
      <w:r w:rsidRPr="003B3DB0">
        <w:rPr>
          <w:rFonts w:ascii="Times New Roman" w:hAnsi="Times New Roman" w:cs="Times New Roman"/>
        </w:rPr>
        <w:t xml:space="preserve"> persistent organic pollutants, working in particular by electronic means;</w:t>
      </w:r>
    </w:p>
    <w:p w14:paraId="416FC1A8" w14:textId="77777777" w:rsidR="003B3DB0" w:rsidRPr="003B3DB0" w:rsidRDefault="003B3DB0" w:rsidP="003B3DB0">
      <w:pPr>
        <w:pStyle w:val="Normalnumber"/>
        <w:numPr>
          <w:ilvl w:val="0"/>
          <w:numId w:val="3"/>
        </w:numPr>
        <w:ind w:left="1247" w:firstLine="624"/>
        <w:rPr>
          <w:rFonts w:ascii="Times New Roman" w:hAnsi="Times New Roman" w:cs="Times New Roman"/>
        </w:rPr>
      </w:pPr>
      <w:r w:rsidRPr="003B3DB0">
        <w:rPr>
          <w:rFonts w:ascii="Times New Roman" w:hAnsi="Times New Roman" w:cs="Times New Roman"/>
          <w:i/>
        </w:rPr>
        <w:t xml:space="preserve">Recognizes </w:t>
      </w:r>
      <w:r w:rsidRPr="003B3DB0">
        <w:rPr>
          <w:rFonts w:ascii="Times New Roman" w:hAnsi="Times New Roman" w:cs="Times New Roman"/>
        </w:rPr>
        <w:t>that provisional low persistent organic pollutant content values have been established at previous meetings of the Conference of the Parties and that knowledge limitations have posed challenges to the setting of such values;</w:t>
      </w:r>
    </w:p>
    <w:p w14:paraId="77652F55" w14:textId="77777777" w:rsidR="003B3DB0" w:rsidRPr="003B3DB0" w:rsidRDefault="003B3DB0" w:rsidP="003B3DB0">
      <w:pPr>
        <w:pStyle w:val="Normalnumber"/>
        <w:numPr>
          <w:ilvl w:val="0"/>
          <w:numId w:val="3"/>
        </w:numPr>
        <w:ind w:left="1247" w:firstLine="624"/>
        <w:rPr>
          <w:rFonts w:ascii="Times New Roman" w:hAnsi="Times New Roman" w:cs="Times New Roman"/>
        </w:rPr>
      </w:pPr>
      <w:r w:rsidRPr="003B3DB0">
        <w:rPr>
          <w:rFonts w:ascii="Times New Roman" w:hAnsi="Times New Roman" w:cs="Times New Roman"/>
          <w:i/>
        </w:rPr>
        <w:t xml:space="preserve">Decides </w:t>
      </w:r>
      <w:r w:rsidRPr="003B3DB0">
        <w:rPr>
          <w:rFonts w:ascii="Times New Roman" w:hAnsi="Times New Roman" w:cs="Times New Roman"/>
        </w:rPr>
        <w:t>to continue working towards a review of provisional low persistent organic pollutant content values in the technical guidelines referred to in paragraph 2 (a) of the present decision, and other technical guidelines, as appropriate, before the fifteenth meeting of the Conference of the Parties</w:t>
      </w:r>
      <w:r w:rsidRPr="003B3DB0">
        <w:rPr>
          <w:rFonts w:ascii="Times New Roman" w:hAnsi="Times New Roman" w:cs="Times New Roman"/>
          <w:iCs/>
        </w:rPr>
        <w:t xml:space="preserve">, </w:t>
      </w:r>
      <w:r w:rsidRPr="003B3DB0">
        <w:rPr>
          <w:rFonts w:ascii="Times New Roman" w:hAnsi="Times New Roman" w:cs="Times New Roman"/>
        </w:rPr>
        <w:t xml:space="preserve">with a view to establishing lower low persistent organic pollutant content values at least for hexabromodiphenyl ether (hexaBDE) and heptabromodiphenyl ether (heptaBDE), tetrabromodiphenyl ether (tetraBDE) and </w:t>
      </w:r>
      <w:r w:rsidRPr="003B3DB0">
        <w:rPr>
          <w:rFonts w:ascii="Times New Roman" w:hAnsi="Times New Roman" w:cs="Times New Roman"/>
        </w:rPr>
        <w:lastRenderedPageBreak/>
        <w:t>pentabromodiphenyl ether (pentaBDE), decabromodiphenyl ether (decaBDE) and short-chain chlorinated paraffins at the fifteenth meeting of the Conference of the Parties;</w:t>
      </w:r>
    </w:p>
    <w:p w14:paraId="7FD5BFE5" w14:textId="77777777" w:rsidR="003B3DB0" w:rsidRPr="003B3DB0" w:rsidRDefault="003B3DB0" w:rsidP="003B3DB0">
      <w:pPr>
        <w:pStyle w:val="Normalnumber"/>
        <w:numPr>
          <w:ilvl w:val="0"/>
          <w:numId w:val="3"/>
        </w:numPr>
        <w:ind w:left="1247" w:firstLine="624"/>
        <w:rPr>
          <w:rFonts w:ascii="Times New Roman" w:hAnsi="Times New Roman" w:cs="Times New Roman"/>
        </w:rPr>
      </w:pPr>
      <w:r w:rsidRPr="003B3DB0">
        <w:rPr>
          <w:rFonts w:ascii="Times New Roman" w:hAnsi="Times New Roman" w:cs="Times New Roman"/>
          <w:i/>
        </w:rPr>
        <w:t xml:space="preserve">Invites </w:t>
      </w:r>
      <w:r w:rsidRPr="003B3DB0">
        <w:rPr>
          <w:rFonts w:ascii="Times New Roman" w:hAnsi="Times New Roman" w:cs="Times New Roman"/>
        </w:rPr>
        <w:t>Parties and observers to submit to the Secretariat, no fewer than three months in advance of the twelfth meeting of the Open-ended Working Group, comments on the low persistent organic pollutant content values included in the technical guidelines referred to in paragraph</w:t>
      </w:r>
      <w:r w:rsidRPr="003B3DB0">
        <w:rPr>
          <w:rFonts w:ascii="Times New Roman" w:hAnsi="Times New Roman" w:cs="Times New Roman"/>
          <w:iCs/>
        </w:rPr>
        <w:t xml:space="preserve"> </w:t>
      </w:r>
      <w:r w:rsidRPr="003B3DB0">
        <w:rPr>
          <w:rFonts w:ascii="Times New Roman" w:hAnsi="Times New Roman" w:cs="Times New Roman"/>
        </w:rPr>
        <w:t>2</w:t>
      </w:r>
      <w:r w:rsidRPr="003B3DB0">
        <w:rPr>
          <w:rFonts w:ascii="Times New Roman" w:hAnsi="Times New Roman" w:cs="Times New Roman"/>
          <w:iCs/>
        </w:rPr>
        <w:t xml:space="preserve"> </w:t>
      </w:r>
      <w:r w:rsidRPr="003B3DB0">
        <w:rPr>
          <w:rFonts w:ascii="Times New Roman" w:hAnsi="Times New Roman" w:cs="Times New Roman"/>
        </w:rPr>
        <w:t>(a) of the present decision, and other technical guidelines, as appropriate, and related information, including on studies, taking into account relevant information available under the Stockholm Convention on Persistent Organic Pollutants;</w:t>
      </w:r>
    </w:p>
    <w:p w14:paraId="462FA34F" w14:textId="77777777" w:rsidR="003B3DB0" w:rsidRPr="003B3DB0" w:rsidRDefault="003B3DB0" w:rsidP="003B3DB0">
      <w:pPr>
        <w:pStyle w:val="Normalnumber"/>
        <w:numPr>
          <w:ilvl w:val="0"/>
          <w:numId w:val="3"/>
        </w:numPr>
        <w:tabs>
          <w:tab w:val="num" w:pos="567"/>
        </w:tabs>
        <w:ind w:left="1247" w:firstLine="624"/>
        <w:rPr>
          <w:rFonts w:ascii="Times New Roman" w:hAnsi="Times New Roman" w:cs="Times New Roman"/>
          <w:i/>
          <w:iCs/>
        </w:rPr>
      </w:pPr>
      <w:r w:rsidRPr="003B3DB0">
        <w:rPr>
          <w:rFonts w:ascii="Times New Roman" w:hAnsi="Times New Roman" w:cs="Times New Roman"/>
          <w:i/>
          <w:iCs/>
        </w:rPr>
        <w:t xml:space="preserve">Encourages </w:t>
      </w:r>
      <w:r w:rsidRPr="003B3DB0">
        <w:rPr>
          <w:rFonts w:ascii="Times New Roman" w:hAnsi="Times New Roman" w:cs="Times New Roman"/>
          <w:iCs/>
        </w:rPr>
        <w:t xml:space="preserve">Parties and others, as soon as possible, to develop and use methods, including screening methods, that are validated and suitable for industrial-scale use for the sampling and analysis of persistent organic pollutant content in waste, in particular of </w:t>
      </w:r>
      <w:r w:rsidRPr="003B3DB0">
        <w:rPr>
          <w:rFonts w:ascii="Times New Roman" w:hAnsi="Times New Roman" w:cs="Times New Roman"/>
        </w:rPr>
        <w:t>hexaBDE</w:t>
      </w:r>
      <w:r w:rsidRPr="003B3DB0">
        <w:rPr>
          <w:rFonts w:ascii="Times New Roman" w:hAnsi="Times New Roman" w:cs="Times New Roman"/>
          <w:iCs/>
        </w:rPr>
        <w:t xml:space="preserve"> and </w:t>
      </w:r>
      <w:r w:rsidRPr="003B3DB0">
        <w:rPr>
          <w:rFonts w:ascii="Times New Roman" w:hAnsi="Times New Roman" w:cs="Times New Roman"/>
        </w:rPr>
        <w:t>heptaBDE</w:t>
      </w:r>
      <w:r w:rsidRPr="003B3DB0">
        <w:rPr>
          <w:rFonts w:ascii="Times New Roman" w:hAnsi="Times New Roman" w:cs="Times New Roman"/>
          <w:iCs/>
        </w:rPr>
        <w:t xml:space="preserve">, </w:t>
      </w:r>
      <w:r w:rsidRPr="003B3DB0">
        <w:rPr>
          <w:rFonts w:ascii="Times New Roman" w:hAnsi="Times New Roman" w:cs="Times New Roman"/>
        </w:rPr>
        <w:t>tetraBDE</w:t>
      </w:r>
      <w:r w:rsidRPr="003B3DB0">
        <w:rPr>
          <w:rFonts w:ascii="Times New Roman" w:hAnsi="Times New Roman" w:cs="Times New Roman"/>
          <w:iCs/>
        </w:rPr>
        <w:t xml:space="preserve"> and </w:t>
      </w:r>
      <w:r w:rsidRPr="003B3DB0">
        <w:rPr>
          <w:rFonts w:ascii="Times New Roman" w:hAnsi="Times New Roman" w:cs="Times New Roman"/>
        </w:rPr>
        <w:t>pentaBDE</w:t>
      </w:r>
      <w:r w:rsidRPr="003B3DB0">
        <w:rPr>
          <w:rFonts w:ascii="Times New Roman" w:hAnsi="Times New Roman" w:cs="Times New Roman"/>
          <w:iCs/>
        </w:rPr>
        <w:t xml:space="preserve">, and </w:t>
      </w:r>
      <w:r w:rsidRPr="003B3DB0">
        <w:rPr>
          <w:rFonts w:ascii="Times New Roman" w:hAnsi="Times New Roman" w:cs="Times New Roman"/>
        </w:rPr>
        <w:t>decaBDE</w:t>
      </w:r>
      <w:r w:rsidRPr="003B3DB0">
        <w:rPr>
          <w:rFonts w:ascii="Times New Roman" w:hAnsi="Times New Roman" w:cs="Times New Roman"/>
          <w:iCs/>
        </w:rPr>
        <w:t xml:space="preserve"> content in waste in the range between 50mg/kg and 1,000mg/kg;</w:t>
      </w:r>
    </w:p>
    <w:p w14:paraId="2C98F5ED" w14:textId="77777777" w:rsidR="003B3DB0" w:rsidRPr="003B3DB0" w:rsidRDefault="003B3DB0" w:rsidP="003B3DB0">
      <w:pPr>
        <w:pStyle w:val="Normalnumber"/>
        <w:numPr>
          <w:ilvl w:val="0"/>
          <w:numId w:val="3"/>
        </w:numPr>
        <w:tabs>
          <w:tab w:val="num" w:pos="567"/>
        </w:tabs>
        <w:ind w:left="1247" w:firstLine="624"/>
        <w:rPr>
          <w:rFonts w:ascii="Times New Roman" w:hAnsi="Times New Roman" w:cs="Times New Roman"/>
        </w:rPr>
      </w:pPr>
      <w:r w:rsidRPr="003B3DB0">
        <w:rPr>
          <w:rFonts w:ascii="Times New Roman" w:hAnsi="Times New Roman" w:cs="Times New Roman"/>
          <w:i/>
        </w:rPr>
        <w:t xml:space="preserve">Decides </w:t>
      </w:r>
      <w:r w:rsidRPr="003B3DB0">
        <w:rPr>
          <w:rFonts w:ascii="Times New Roman" w:hAnsi="Times New Roman" w:cs="Times New Roman"/>
        </w:rPr>
        <w:t xml:space="preserve">that the updating of the general technical guidelines referred to in paragraph 2 (a) of the present decision and the updating of specific technical guidelines with regard to the chemicals listed in Annex A to the Stockholm Convention by decisions SC-9/11 </w:t>
      </w:r>
      <w:r w:rsidRPr="003B3DB0">
        <w:rPr>
          <w:rFonts w:ascii="Times New Roman" w:hAnsi="Times New Roman" w:cs="Times New Roman"/>
          <w:iCs/>
        </w:rPr>
        <w:t xml:space="preserve">and SC-9/12 </w:t>
      </w:r>
      <w:r w:rsidRPr="003B3DB0">
        <w:rPr>
          <w:rFonts w:ascii="Times New Roman" w:hAnsi="Times New Roman" w:cs="Times New Roman"/>
        </w:rPr>
        <w:t xml:space="preserve">of the Conference of the Parties to the Stockholm Convention </w:t>
      </w:r>
      <w:r w:rsidRPr="003B3DB0">
        <w:rPr>
          <w:rFonts w:ascii="Times New Roman" w:hAnsi="Times New Roman" w:cs="Times New Roman"/>
          <w:iCs/>
        </w:rPr>
        <w:t xml:space="preserve">and to the amendment of the listing of perfluorooctane sulfonic acid (PFOS), its salts and perfluorooctane sulfonyl fluoride (PFOSF) in Annex B to the Stockholm Convention by decision SC-9/4 </w:t>
      </w:r>
      <w:r w:rsidRPr="003B3DB0">
        <w:rPr>
          <w:rFonts w:ascii="Times New Roman" w:hAnsi="Times New Roman" w:cs="Times New Roman"/>
        </w:rPr>
        <w:t>should be included in the work programme of the Open</w:t>
      </w:r>
      <w:r w:rsidRPr="003B3DB0">
        <w:rPr>
          <w:rFonts w:ascii="Times New Roman" w:hAnsi="Times New Roman" w:cs="Times New Roman"/>
          <w:iCs/>
        </w:rPr>
        <w:t>-</w:t>
      </w:r>
      <w:r w:rsidRPr="003B3DB0">
        <w:rPr>
          <w:rFonts w:ascii="Times New Roman" w:hAnsi="Times New Roman" w:cs="Times New Roman"/>
        </w:rPr>
        <w:t>ended Working Group for the period 2020–2021, including with regard to the following:</w:t>
      </w:r>
    </w:p>
    <w:p w14:paraId="031F51FA"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Establishment of levels of destruction and irreversible transformation for the chemicals necessary to ensure that when disposed of they do not exhibit the characteristics of persistent organic pollutants specified in paragraph 1 of Annex D to the Stockholm Convention;</w:t>
      </w:r>
    </w:p>
    <w:p w14:paraId="6398A53B"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Determination of which disposal methods constitute environmentally sound disposal as referred to in paragraph 1 (d) (ii) of Article 6 of the Stockholm Convention;</w:t>
      </w:r>
    </w:p>
    <w:p w14:paraId="7207B83A"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Establishment, as appropriate, of the concentration levels of the chemicals in order to define for them low persistent organic pollutant content as referred to in paragraph 1 (d) (ii) of Article 6 of the Stockholm Convention;</w:t>
      </w:r>
    </w:p>
    <w:p w14:paraId="2D337A37" w14:textId="77777777" w:rsidR="003B3DB0" w:rsidRPr="003B3DB0" w:rsidRDefault="003B3DB0" w:rsidP="003B3DB0">
      <w:pPr>
        <w:pStyle w:val="Normalnumber"/>
        <w:numPr>
          <w:ilvl w:val="0"/>
          <w:numId w:val="3"/>
        </w:numPr>
        <w:tabs>
          <w:tab w:val="num" w:pos="567"/>
        </w:tabs>
        <w:ind w:left="1247" w:firstLine="624"/>
        <w:rPr>
          <w:rFonts w:ascii="Times New Roman" w:hAnsi="Times New Roman" w:cs="Times New Roman"/>
          <w:iCs/>
        </w:rPr>
      </w:pPr>
      <w:r w:rsidRPr="003B3DB0">
        <w:rPr>
          <w:rFonts w:ascii="Times New Roman" w:hAnsi="Times New Roman" w:cs="Times New Roman"/>
          <w:i/>
        </w:rPr>
        <w:t xml:space="preserve">Invites </w:t>
      </w:r>
      <w:r w:rsidRPr="003B3DB0">
        <w:rPr>
          <w:rFonts w:ascii="Times New Roman" w:hAnsi="Times New Roman" w:cs="Times New Roman"/>
        </w:rPr>
        <w:t xml:space="preserve">Parties </w:t>
      </w:r>
      <w:r w:rsidRPr="003B3DB0">
        <w:rPr>
          <w:rFonts w:ascii="Times New Roman" w:hAnsi="Times New Roman" w:cs="Times New Roman"/>
          <w:iCs/>
        </w:rPr>
        <w:t xml:space="preserve">and relevant organizations </w:t>
      </w:r>
      <w:r w:rsidRPr="003B3DB0">
        <w:rPr>
          <w:rFonts w:ascii="Times New Roman" w:hAnsi="Times New Roman" w:cs="Times New Roman"/>
        </w:rPr>
        <w:t xml:space="preserve">to indicate to the Secretariat by 31 August 2019 their willingness to take the lead in updating </w:t>
      </w:r>
      <w:r w:rsidRPr="003B3DB0">
        <w:rPr>
          <w:rFonts w:ascii="Times New Roman" w:hAnsi="Times New Roman" w:cs="Times New Roman"/>
          <w:iCs/>
        </w:rPr>
        <w:t>the following technical guidelines in accordance with paragraph 9 of the present decision:</w:t>
      </w:r>
    </w:p>
    <w:p w14:paraId="2AE44E3F"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The general technical guidelines referred to in paragraph 2</w:t>
      </w:r>
      <w:r w:rsidRPr="003B3DB0">
        <w:rPr>
          <w:rFonts w:ascii="Times New Roman" w:hAnsi="Times New Roman" w:cs="Times New Roman"/>
          <w:iCs/>
        </w:rPr>
        <w:t xml:space="preserve"> </w:t>
      </w:r>
      <w:r w:rsidRPr="003B3DB0">
        <w:rPr>
          <w:rFonts w:ascii="Times New Roman" w:hAnsi="Times New Roman" w:cs="Times New Roman"/>
        </w:rPr>
        <w:t>(a) of the present decision, taking into account decisions SC-9</w:t>
      </w:r>
      <w:r w:rsidRPr="003B3DB0">
        <w:rPr>
          <w:rFonts w:ascii="Times New Roman" w:hAnsi="Times New Roman" w:cs="Times New Roman"/>
          <w:iCs/>
        </w:rPr>
        <w:t>/11, SC-9/12 and SC-9/4;</w:t>
      </w:r>
    </w:p>
    <w:p w14:paraId="139A9E8E" w14:textId="77777777" w:rsidR="003B3DB0" w:rsidRPr="003B3DB0" w:rsidRDefault="003B3DB0" w:rsidP="003B3DB0">
      <w:pPr>
        <w:pStyle w:val="Normalnumber"/>
        <w:numPr>
          <w:ilvl w:val="1"/>
          <w:numId w:val="3"/>
        </w:numPr>
        <w:ind w:firstLine="624"/>
        <w:rPr>
          <w:rFonts w:ascii="Times New Roman" w:hAnsi="Times New Roman" w:cs="Times New Roman"/>
          <w:iCs/>
        </w:rPr>
      </w:pPr>
      <w:r w:rsidRPr="003B3DB0">
        <w:rPr>
          <w:rFonts w:ascii="Times New Roman" w:hAnsi="Times New Roman" w:cs="Times New Roman"/>
          <w:iCs/>
        </w:rPr>
        <w:t>The technical guidelines on perfluorooctane sulfonic acid, its salts and perfluorooctane sulfonyl fluoride to reflect the amendment of the listing of PFOS, its salts and PFOSF in Annex B and to include perfluorooctanoic acid (PFOA), its salts and PFOA-related compounds, taking into account decisions SC-9/4 and SC-9/5, respectively;</w:t>
      </w:r>
    </w:p>
    <w:p w14:paraId="2DC174FE" w14:textId="77777777" w:rsidR="003B3DB0" w:rsidRPr="003B3DB0" w:rsidRDefault="003B3DB0" w:rsidP="003B3DB0">
      <w:pPr>
        <w:pStyle w:val="Normalnumber"/>
        <w:numPr>
          <w:ilvl w:val="1"/>
          <w:numId w:val="3"/>
        </w:numPr>
        <w:ind w:firstLine="624"/>
        <w:rPr>
          <w:rFonts w:ascii="Times New Roman" w:hAnsi="Times New Roman" w:cs="Times New Roman"/>
          <w:iCs/>
        </w:rPr>
      </w:pPr>
      <w:r w:rsidRPr="003B3DB0">
        <w:rPr>
          <w:rFonts w:ascii="Times New Roman" w:hAnsi="Times New Roman" w:cs="Times New Roman"/>
          <w:iCs/>
        </w:rPr>
        <w:t>The technical guidelines on the environmentally sound management of wastes consisting of, containing or contaminated with the pesticides aldrin, alpha hexachlorocyclohexane, beta hexachlorocyclohexane, chlordane, chlordecone, dieldrin, endrin, heptachlor, hexachlorobenzene, hexachlorobutadiene, lindane, mirex, pentachlorobenzene, pentachlorophenol and its salts, perfluorooctane sulfonic acid, technical endosulfan and its related isomers or toxaphene or with hexachlorobenzene as an industrial chemical to include dicofol, taking into account decision SC-9/11;</w:t>
      </w:r>
    </w:p>
    <w:p w14:paraId="71B21215" w14:textId="77777777" w:rsidR="003B3DB0" w:rsidRPr="003B3DB0" w:rsidRDefault="003B3DB0" w:rsidP="003B3DB0">
      <w:pPr>
        <w:pStyle w:val="Normalnumber"/>
        <w:numPr>
          <w:ilvl w:val="0"/>
          <w:numId w:val="3"/>
        </w:numPr>
        <w:tabs>
          <w:tab w:val="num" w:pos="567"/>
        </w:tabs>
        <w:ind w:left="1247" w:firstLine="624"/>
        <w:rPr>
          <w:rFonts w:ascii="Times New Roman" w:hAnsi="Times New Roman" w:cs="Times New Roman"/>
          <w:iCs/>
        </w:rPr>
      </w:pPr>
      <w:r w:rsidRPr="003B3DB0">
        <w:rPr>
          <w:rFonts w:ascii="Times New Roman" w:hAnsi="Times New Roman" w:cs="Times New Roman"/>
          <w:i/>
          <w:iCs/>
        </w:rPr>
        <w:lastRenderedPageBreak/>
        <w:t>Invites</w:t>
      </w:r>
      <w:r w:rsidRPr="003B3DB0">
        <w:rPr>
          <w:rFonts w:ascii="Times New Roman" w:hAnsi="Times New Roman" w:cs="Times New Roman"/>
          <w:iCs/>
        </w:rPr>
        <w:t xml:space="preserve"> the lead countries and the lead relevant organizations for the technical guidelines referred to in paragraph 10 of the present decision, if any, and requests the Secretariat, if there is no lead country or organization, subject to the availability of resources and in consultation with the small intersessional working group, to prepare draft technical guidelines in accordance with paragraph 10 of the present decision for consideration by the Open-ended Working Group at its twelfth meeting;</w:t>
      </w:r>
    </w:p>
    <w:p w14:paraId="576C995A" w14:textId="77777777" w:rsidR="003B3DB0" w:rsidRPr="003B3DB0" w:rsidRDefault="003B3DB0" w:rsidP="003B3DB0">
      <w:pPr>
        <w:pStyle w:val="Normalnumber"/>
        <w:numPr>
          <w:ilvl w:val="0"/>
          <w:numId w:val="3"/>
        </w:numPr>
        <w:tabs>
          <w:tab w:val="num" w:pos="567"/>
        </w:tabs>
        <w:ind w:left="1247" w:firstLine="624"/>
        <w:rPr>
          <w:rFonts w:ascii="Times New Roman" w:hAnsi="Times New Roman" w:cs="Times New Roman"/>
          <w:iCs/>
        </w:rPr>
      </w:pPr>
      <w:r w:rsidRPr="003B3DB0">
        <w:rPr>
          <w:rFonts w:ascii="Times New Roman" w:hAnsi="Times New Roman" w:cs="Times New Roman"/>
          <w:i/>
          <w:iCs/>
        </w:rPr>
        <w:t xml:space="preserve">Requests </w:t>
      </w:r>
      <w:r w:rsidRPr="003B3DB0">
        <w:rPr>
          <w:rFonts w:ascii="Times New Roman" w:hAnsi="Times New Roman" w:cs="Times New Roman"/>
          <w:iCs/>
        </w:rPr>
        <w:t>the small intersessional working group to prepare a draft analysis of candidate persistent organic pollutants recommended for listing in annexes A, B and/or C to the Stockholm Convention by the Persistent Organic Pollutants Review Committee in order to identify whether technical guidelines will need to be updated or developed for consideration by the Conference of the Parties at its fifteenth meeting;</w:t>
      </w:r>
    </w:p>
    <w:p w14:paraId="7C43F6EC" w14:textId="77777777" w:rsidR="003B3DB0" w:rsidRPr="003B3DB0" w:rsidRDefault="003B3DB0" w:rsidP="003B3DB0">
      <w:pPr>
        <w:pStyle w:val="Normalnumber"/>
        <w:numPr>
          <w:ilvl w:val="0"/>
          <w:numId w:val="3"/>
        </w:numPr>
        <w:tabs>
          <w:tab w:val="num" w:pos="567"/>
        </w:tabs>
        <w:ind w:left="1247" w:firstLine="624"/>
        <w:rPr>
          <w:rFonts w:ascii="Times New Roman" w:eastAsia="Calibri" w:hAnsi="Times New Roman" w:cs="Times New Roman"/>
          <w:noProof/>
          <w:color w:val="000000"/>
        </w:rPr>
      </w:pPr>
      <w:r w:rsidRPr="003B3DB0">
        <w:rPr>
          <w:rFonts w:ascii="Times New Roman" w:eastAsia="Calibri" w:hAnsi="Times New Roman" w:cs="Times New Roman"/>
          <w:i/>
          <w:noProof/>
          <w:color w:val="000000"/>
        </w:rPr>
        <w:t>Requests</w:t>
      </w:r>
      <w:r w:rsidRPr="003B3DB0">
        <w:rPr>
          <w:rFonts w:ascii="Times New Roman" w:eastAsia="Calibri" w:hAnsi="Times New Roman" w:cs="Times New Roman"/>
          <w:noProof/>
          <w:color w:val="000000"/>
        </w:rPr>
        <w:t xml:space="preserve"> the Secretariat: </w:t>
      </w:r>
    </w:p>
    <w:p w14:paraId="5664A4C8"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To prepare a compilation of the comments and information referred to in paragraph 7 of the present decision for consideration by the Open-ended Working Group at its twelfth meeting;</w:t>
      </w:r>
    </w:p>
    <w:p w14:paraId="6E127FF8" w14:textId="77777777" w:rsidR="003B3DB0"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To continue to provide, subject to the availability of resources, training to developing</w:t>
      </w:r>
      <w:r w:rsidRPr="003B3DB0">
        <w:rPr>
          <w:rFonts w:ascii="Times New Roman" w:hAnsi="Times New Roman" w:cs="Times New Roman"/>
        </w:rPr>
        <w:noBreakHyphen/>
        <w:t>country Parties and other Parties in need of assistance in using the adopted technical guidelines, organizing such activities in cooperation with the regional and coordinating centres under the Basel Convention or by other appropriate means;</w:t>
      </w:r>
    </w:p>
    <w:p w14:paraId="78787183" w14:textId="56C43BD6" w:rsidR="00427A5E" w:rsidRPr="003B3DB0" w:rsidRDefault="003B3DB0" w:rsidP="003B3DB0">
      <w:pPr>
        <w:pStyle w:val="Normalnumber"/>
        <w:numPr>
          <w:ilvl w:val="1"/>
          <w:numId w:val="3"/>
        </w:numPr>
        <w:ind w:firstLine="624"/>
        <w:rPr>
          <w:rFonts w:ascii="Times New Roman" w:hAnsi="Times New Roman" w:cs="Times New Roman"/>
        </w:rPr>
      </w:pPr>
      <w:r w:rsidRPr="003B3DB0">
        <w:rPr>
          <w:rFonts w:ascii="Times New Roman" w:hAnsi="Times New Roman" w:cs="Times New Roman"/>
        </w:rPr>
        <w:t>To report on the implementation of the present decision to the Open-ended Working Group at its twelfth meeting and to the Conference of the Parties at its fifteenth meeting.</w:t>
      </w:r>
      <w:bookmarkStart w:id="2" w:name="_GoBack"/>
      <w:bookmarkEnd w:id="2"/>
    </w:p>
    <w:sectPr w:rsidR="00427A5E" w:rsidRPr="003B3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D730" w14:textId="77777777" w:rsidR="00AD3CBE" w:rsidRDefault="00AD3CBE" w:rsidP="003B3DB0">
      <w:r>
        <w:separator/>
      </w:r>
    </w:p>
  </w:endnote>
  <w:endnote w:type="continuationSeparator" w:id="0">
    <w:p w14:paraId="1A8D8E04" w14:textId="77777777" w:rsidR="00AD3CBE" w:rsidRDefault="00AD3CBE" w:rsidP="003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DBE18" w14:textId="77777777" w:rsidR="00AD3CBE" w:rsidRDefault="00AD3CBE" w:rsidP="003B3DB0">
      <w:r>
        <w:separator/>
      </w:r>
    </w:p>
  </w:footnote>
  <w:footnote w:type="continuationSeparator" w:id="0">
    <w:p w14:paraId="19A0B973" w14:textId="77777777" w:rsidR="00AD3CBE" w:rsidRDefault="00AD3CBE" w:rsidP="003B3DB0">
      <w:r>
        <w:continuationSeparator/>
      </w:r>
    </w:p>
  </w:footnote>
  <w:footnote w:id="1">
    <w:p w14:paraId="41386C90" w14:textId="77777777" w:rsidR="003B3DB0" w:rsidRPr="00325A98" w:rsidRDefault="003B3DB0" w:rsidP="003B3DB0">
      <w:pPr>
        <w:pStyle w:val="NormalNonumber"/>
        <w:tabs>
          <w:tab w:val="left" w:pos="624"/>
        </w:tabs>
        <w:spacing w:before="20" w:after="40"/>
        <w:ind w:right="57"/>
        <w:rPr>
          <w:sz w:val="18"/>
          <w:szCs w:val="18"/>
        </w:rPr>
      </w:pPr>
      <w:r w:rsidRPr="00325A98">
        <w:rPr>
          <w:rStyle w:val="FootnoteReference"/>
          <w:sz w:val="18"/>
        </w:rPr>
        <w:footnoteRef/>
      </w:r>
      <w:r w:rsidRPr="00325A98">
        <w:rPr>
          <w:sz w:val="18"/>
          <w:szCs w:val="18"/>
        </w:rPr>
        <w:t xml:space="preserve"> UNEP/CHW.14/7/Add.1/Rev.1.</w:t>
      </w:r>
    </w:p>
  </w:footnote>
  <w:footnote w:id="2">
    <w:p w14:paraId="2CA9B8C4" w14:textId="77777777" w:rsidR="003B3DB0" w:rsidRPr="00325A98" w:rsidRDefault="003B3DB0" w:rsidP="003B3DB0">
      <w:pPr>
        <w:pStyle w:val="NormalNonumber"/>
        <w:tabs>
          <w:tab w:val="left" w:pos="624"/>
        </w:tabs>
        <w:spacing w:before="20" w:after="40"/>
        <w:ind w:right="57"/>
        <w:rPr>
          <w:sz w:val="18"/>
          <w:szCs w:val="18"/>
        </w:rPr>
      </w:pPr>
      <w:r w:rsidRPr="00325A98">
        <w:rPr>
          <w:rStyle w:val="FootnoteReference"/>
          <w:sz w:val="18"/>
        </w:rPr>
        <w:footnoteRef/>
      </w:r>
      <w:r w:rsidRPr="00325A98">
        <w:rPr>
          <w:sz w:val="18"/>
          <w:szCs w:val="18"/>
        </w:rPr>
        <w:t xml:space="preserve"> UNEP/CHW.14/7/Add.3/Rev.1.</w:t>
      </w:r>
    </w:p>
  </w:footnote>
  <w:footnote w:id="3">
    <w:p w14:paraId="0621F2A0" w14:textId="77777777" w:rsidR="003B3DB0" w:rsidRPr="00325A98" w:rsidRDefault="003B3DB0" w:rsidP="003B3DB0">
      <w:pPr>
        <w:pStyle w:val="NormalNonumber"/>
        <w:tabs>
          <w:tab w:val="left" w:pos="624"/>
        </w:tabs>
        <w:spacing w:before="20" w:after="40"/>
        <w:ind w:right="57"/>
        <w:rPr>
          <w:sz w:val="18"/>
          <w:szCs w:val="18"/>
        </w:rPr>
      </w:pPr>
      <w:r w:rsidRPr="00325A98">
        <w:rPr>
          <w:rStyle w:val="FootnoteReference"/>
          <w:sz w:val="18"/>
        </w:rPr>
        <w:footnoteRef/>
      </w:r>
      <w:r w:rsidRPr="00325A98">
        <w:rPr>
          <w:sz w:val="18"/>
          <w:szCs w:val="18"/>
        </w:rPr>
        <w:t xml:space="preserve"> UNEP/CHW.14/7/Add.4/Rev.1.</w:t>
      </w:r>
    </w:p>
  </w:footnote>
  <w:footnote w:id="4">
    <w:p w14:paraId="5F65992C" w14:textId="77777777" w:rsidR="003B3DB0" w:rsidRPr="00325A98" w:rsidRDefault="003B3DB0" w:rsidP="003B3DB0">
      <w:pPr>
        <w:pStyle w:val="NormalNonumber"/>
        <w:tabs>
          <w:tab w:val="left" w:pos="624"/>
        </w:tabs>
        <w:spacing w:before="20" w:after="40"/>
        <w:ind w:right="57"/>
        <w:rPr>
          <w:sz w:val="18"/>
          <w:szCs w:val="18"/>
        </w:rPr>
      </w:pPr>
      <w:r w:rsidRPr="00325A98">
        <w:rPr>
          <w:rStyle w:val="FootnoteReference"/>
          <w:sz w:val="18"/>
        </w:rPr>
        <w:footnoteRef/>
      </w:r>
      <w:r w:rsidRPr="00325A98">
        <w:rPr>
          <w:sz w:val="18"/>
          <w:szCs w:val="18"/>
        </w:rPr>
        <w:t xml:space="preserve"> UNEP/CHW.14/7/Add.5/Rev.1.</w:t>
      </w:r>
    </w:p>
  </w:footnote>
  <w:footnote w:id="5">
    <w:p w14:paraId="57B21DE6" w14:textId="77777777" w:rsidR="003B3DB0" w:rsidRPr="00325A98" w:rsidRDefault="003B3DB0" w:rsidP="003B3DB0">
      <w:pPr>
        <w:pStyle w:val="NormalNonumber"/>
        <w:tabs>
          <w:tab w:val="left" w:pos="624"/>
        </w:tabs>
        <w:spacing w:before="20" w:after="40"/>
        <w:ind w:right="57"/>
        <w:rPr>
          <w:sz w:val="18"/>
          <w:szCs w:val="18"/>
        </w:rPr>
      </w:pPr>
      <w:r w:rsidRPr="00325A98">
        <w:rPr>
          <w:rStyle w:val="FootnoteReference"/>
          <w:sz w:val="18"/>
        </w:rPr>
        <w:footnoteRef/>
      </w:r>
      <w:r w:rsidRPr="00325A98">
        <w:rPr>
          <w:sz w:val="18"/>
          <w:szCs w:val="18"/>
        </w:rPr>
        <w:t xml:space="preserve"> </w:t>
      </w:r>
      <w:r w:rsidRPr="00325A98">
        <w:rPr>
          <w:bCs/>
          <w:sz w:val="18"/>
          <w:szCs w:val="18"/>
        </w:rPr>
        <w:t>UNEP/CHW.14/7/Add.2/Rev.1.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66A9D"/>
    <w:multiLevelType w:val="multilevel"/>
    <w:tmpl w:val="D07A6E4C"/>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 w15:restartNumberingAfterBreak="0">
    <w:nsid w:val="62291BF8"/>
    <w:multiLevelType w:val="multilevel"/>
    <w:tmpl w:val="C38EAC68"/>
    <w:lvl w:ilvl="0">
      <w:start w:val="1"/>
      <w:numFmt w:val="decimal"/>
      <w:lvlText w:val="%1."/>
      <w:lvlJc w:val="left"/>
      <w:pPr>
        <w:tabs>
          <w:tab w:val="num" w:pos="-680"/>
        </w:tabs>
        <w:ind w:left="0"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97"/>
        </w:tabs>
        <w:ind w:left="297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Roman"/>
      <w:lvlText w:val="%5."/>
      <w:lvlJc w:val="left"/>
      <w:pPr>
        <w:tabs>
          <w:tab w:val="num" w:pos="567"/>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0"/>
  </w:num>
  <w:num w:numId="2">
    <w:abstractNumId w:val="0"/>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39"/>
    <w:rsid w:val="003B3DB0"/>
    <w:rsid w:val="00427A5E"/>
    <w:rsid w:val="00A71E39"/>
    <w:rsid w:val="00AD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CE4B"/>
  <w15:chartTrackingRefBased/>
  <w15:docId w15:val="{28014D77-4B25-450B-A02F-273816B7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DB0"/>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3B3DB0"/>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3B3DB0"/>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3B3DB0"/>
    <w:rPr>
      <w:rFonts w:ascii="Times New Roman" w:hAnsi="Times New Roman"/>
      <w:sz w:val="20"/>
      <w:szCs w:val="18"/>
      <w:vertAlign w:val="superscript"/>
    </w:rPr>
  </w:style>
  <w:style w:type="character" w:customStyle="1" w:styleId="NormalnumberChar">
    <w:name w:val="Normal_number Char"/>
    <w:link w:val="Normalnumber"/>
    <w:rsid w:val="003B3DB0"/>
  </w:style>
  <w:style w:type="character" w:customStyle="1" w:styleId="Normal-poolChar">
    <w:name w:val="Normal-pool Char"/>
    <w:link w:val="Normal-pool"/>
    <w:rsid w:val="003B3DB0"/>
    <w:rPr>
      <w:rFonts w:ascii="Times New Roman" w:eastAsia="Times New Roman" w:hAnsi="Times New Roman" w:cs="Times New Roman"/>
      <w:sz w:val="20"/>
      <w:szCs w:val="20"/>
      <w:lang w:val="en-GB"/>
    </w:rPr>
  </w:style>
  <w:style w:type="numbering" w:customStyle="1" w:styleId="Normallist">
    <w:name w:val="Normal_list"/>
    <w:basedOn w:val="NoList"/>
    <w:rsid w:val="003B3DB0"/>
    <w:pPr>
      <w:numPr>
        <w:numId w:val="1"/>
      </w:numPr>
    </w:pPr>
  </w:style>
  <w:style w:type="paragraph" w:customStyle="1" w:styleId="NormalNonumber">
    <w:name w:val="Normal_No_number"/>
    <w:basedOn w:val="Normal"/>
    <w:link w:val="NormalNonumberChar"/>
    <w:qFormat/>
    <w:rsid w:val="003B3DB0"/>
    <w:pPr>
      <w:tabs>
        <w:tab w:val="left" w:pos="4082"/>
      </w:tabs>
      <w:spacing w:after="120"/>
      <w:ind w:left="1247"/>
    </w:pPr>
    <w:rPr>
      <w:lang w:val="en-GB"/>
    </w:rPr>
  </w:style>
  <w:style w:type="paragraph" w:customStyle="1" w:styleId="Normalnumber">
    <w:name w:val="Normal_number"/>
    <w:basedOn w:val="Normal"/>
    <w:link w:val="NormalnumberChar"/>
    <w:qFormat/>
    <w:rsid w:val="003B3DB0"/>
    <w:pPr>
      <w:numPr>
        <w:numId w:val="1"/>
      </w:numPr>
      <w:tabs>
        <w:tab w:val="clear" w:pos="1247"/>
        <w:tab w:val="clear" w:pos="1814"/>
        <w:tab w:val="clear" w:pos="2381"/>
        <w:tab w:val="clear" w:pos="2948"/>
        <w:tab w:val="clear" w:pos="3515"/>
        <w:tab w:val="left" w:pos="624"/>
      </w:tabs>
      <w:spacing w:after="120"/>
    </w:pPr>
    <w:rPr>
      <w:rFonts w:asciiTheme="minorHAnsi" w:eastAsiaTheme="minorHAnsi" w:hAnsiTheme="minorHAnsi" w:cstheme="minorBidi"/>
      <w:sz w:val="22"/>
      <w:szCs w:val="22"/>
      <w:lang w:val="en-US"/>
    </w:rPr>
  </w:style>
  <w:style w:type="character" w:customStyle="1" w:styleId="NormalNonumberChar">
    <w:name w:val="Normal_No_number Char"/>
    <w:link w:val="NormalNonumber"/>
    <w:locked/>
    <w:rsid w:val="003B3DB0"/>
    <w:rPr>
      <w:rFonts w:ascii="Times New Roman" w:eastAsia="Times New Roman" w:hAnsi="Times New Roman" w:cs="Times New Roman"/>
      <w:sz w:val="20"/>
      <w:szCs w:val="20"/>
      <w:lang w:val="en-GB"/>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3B3DB0"/>
    <w:pPr>
      <w:tabs>
        <w:tab w:val="clear" w:pos="1247"/>
        <w:tab w:val="clear" w:pos="1814"/>
        <w:tab w:val="clear" w:pos="2381"/>
        <w:tab w:val="clear" w:pos="2948"/>
        <w:tab w:val="clear" w:pos="3515"/>
      </w:tabs>
      <w:spacing w:before="120" w:after="160" w:line="240" w:lineRule="exact"/>
    </w:pPr>
    <w:rPr>
      <w:rFonts w:eastAsiaTheme="minorHAnsi" w:cstheme="minorBidi"/>
      <w:szCs w:val="18"/>
      <w:vertAlign w:val="super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Lalantha Sirisenage</dc:creator>
  <cp:keywords/>
  <dc:description/>
  <cp:lastModifiedBy>Lalantha Sirisenage</cp:lastModifiedBy>
  <cp:revision>2</cp:revision>
  <dcterms:created xsi:type="dcterms:W3CDTF">2019-10-01T13:40:00Z</dcterms:created>
  <dcterms:modified xsi:type="dcterms:W3CDTF">2019-10-01T13:42:00Z</dcterms:modified>
</cp:coreProperties>
</file>