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603" w:rsidRPr="00080C66" w:rsidRDefault="00E67603" w:rsidP="00E67603">
      <w:pPr>
        <w:pStyle w:val="CH1"/>
      </w:pPr>
      <w:r>
        <w:tab/>
      </w:r>
      <w:r>
        <w:tab/>
      </w:r>
      <w:bookmarkStart w:id="0" w:name="_GoBack"/>
      <w:bookmarkEnd w:id="0"/>
      <w:r w:rsidRPr="00080C66">
        <w:t xml:space="preserve">BC-14/5: Technical guidelines on transboundary movements of electrical and electronic waste and used electrical and electronic equipment, </w:t>
      </w:r>
      <w:proofErr w:type="gramStart"/>
      <w:r w:rsidRPr="00080C66">
        <w:t>in particular regarding</w:t>
      </w:r>
      <w:proofErr w:type="gramEnd"/>
      <w:r w:rsidRPr="00080C66">
        <w:t xml:space="preserve"> the distinction between waste and non-waste under the Basel Convention</w:t>
      </w:r>
    </w:p>
    <w:p w:rsidR="00E67603" w:rsidRPr="00080C66" w:rsidRDefault="00E67603" w:rsidP="00E67603">
      <w:pPr>
        <w:pStyle w:val="NormalNonumber"/>
        <w:tabs>
          <w:tab w:val="left" w:pos="624"/>
        </w:tabs>
        <w:ind w:firstLine="624"/>
        <w:rPr>
          <w:rFonts w:asciiTheme="majorBidi" w:hAnsiTheme="majorBidi" w:cstheme="majorBidi"/>
          <w:i/>
        </w:rPr>
      </w:pPr>
      <w:r w:rsidRPr="00080C66">
        <w:rPr>
          <w:rFonts w:asciiTheme="majorBidi" w:hAnsiTheme="majorBidi" w:cstheme="majorBidi"/>
          <w:i/>
        </w:rPr>
        <w:t>The Conference of the Parties</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i/>
          <w:lang w:val="en-GB"/>
        </w:rPr>
      </w:pPr>
      <w:r w:rsidRPr="00080C66">
        <w:rPr>
          <w:rFonts w:asciiTheme="majorBidi" w:eastAsia="Calibri" w:hAnsiTheme="majorBidi" w:cstheme="majorBidi"/>
          <w:i/>
          <w:iCs/>
          <w:lang w:val="en-GB"/>
        </w:rPr>
        <w:t xml:space="preserve">Welcomes </w:t>
      </w:r>
      <w:r w:rsidRPr="00080C66">
        <w:rPr>
          <w:rFonts w:asciiTheme="majorBidi" w:eastAsia="Calibri" w:hAnsiTheme="majorBidi"/>
          <w:lang w:val="en-GB"/>
        </w:rPr>
        <w:t>with appreciation</w:t>
      </w:r>
      <w:r w:rsidRPr="00080C66">
        <w:rPr>
          <w:rFonts w:asciiTheme="majorBidi" w:eastAsia="Calibri" w:hAnsiTheme="majorBidi" w:cstheme="majorBidi"/>
          <w:lang w:val="en-GB"/>
        </w:rPr>
        <w:t xml:space="preserve"> the contributions made by the Government of China as lead country</w:t>
      </w:r>
      <w:r w:rsidRPr="00080C66">
        <w:rPr>
          <w:rFonts w:asciiTheme="majorBidi" w:eastAsia="Calibri" w:hAnsiTheme="majorBidi"/>
          <w:lang w:val="en-GB"/>
        </w:rPr>
        <w:t xml:space="preserve"> </w:t>
      </w:r>
      <w:r w:rsidRPr="00080C66">
        <w:rPr>
          <w:rFonts w:asciiTheme="majorBidi" w:eastAsia="Calibri" w:hAnsiTheme="majorBidi" w:cstheme="majorBidi"/>
          <w:lang w:val="en-GB"/>
        </w:rPr>
        <w:t>and by the expert working group to the tasks pertaining to the technical guidelines on transboundary movements of electrical and electronic waste and used electrical and electronic equipment, in particular regarding the distinction between waste and non-waste under the Basel Convention on the Control of Transboundary Movements of Hazardous Wastes and Their Disposal;</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
          <w:iCs/>
          <w:lang w:val="en-GB"/>
        </w:rPr>
      </w:pPr>
      <w:r w:rsidRPr="00080C66">
        <w:rPr>
          <w:rFonts w:asciiTheme="majorBidi" w:eastAsia="Calibri" w:hAnsiTheme="majorBidi" w:cstheme="majorBidi"/>
          <w:i/>
          <w:iCs/>
          <w:lang w:val="en-GB"/>
        </w:rPr>
        <w:t xml:space="preserve">Takes note </w:t>
      </w:r>
      <w:r w:rsidRPr="00080C66">
        <w:rPr>
          <w:rFonts w:asciiTheme="majorBidi" w:eastAsia="Calibri" w:hAnsiTheme="majorBidi" w:cstheme="majorBidi"/>
          <w:iCs/>
          <w:lang w:val="en-GB"/>
        </w:rPr>
        <w:t>of the discussions at the fourteenth meeting of the Conference of the Parties regarding the revised technical guidelines on transboundary movements of electrical and electronic waste and used electrical and electronic equipment, in particular regarding the distinction between waste and non-waste under the Basel Convention as set out in document UNEP/CHW.14/7/Add.6, including concerns raised by several Parties on the issue of dumping of e-waste in developing countries;</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
          <w:iCs/>
          <w:lang w:val="en-GB"/>
        </w:rPr>
      </w:pPr>
      <w:r w:rsidRPr="00080C66">
        <w:rPr>
          <w:rFonts w:asciiTheme="majorBidi" w:eastAsia="Calibri" w:hAnsiTheme="majorBidi" w:cstheme="majorBidi"/>
          <w:i/>
          <w:iCs/>
          <w:lang w:val="en-GB"/>
        </w:rPr>
        <w:t>Adopts</w:t>
      </w:r>
      <w:r w:rsidRPr="00080C66">
        <w:rPr>
          <w:rFonts w:asciiTheme="majorBidi" w:eastAsia="Calibri" w:hAnsiTheme="majorBidi" w:cstheme="majorBidi"/>
          <w:iCs/>
          <w:lang w:val="en-GB"/>
        </w:rPr>
        <w:t xml:space="preserve"> on an interim basis the revised technical guidelines on transboundary movements of electrical and electronic waste and used electrical and electronic equipment, </w:t>
      </w:r>
      <w:proofErr w:type="gramStart"/>
      <w:r w:rsidRPr="00080C66">
        <w:rPr>
          <w:rFonts w:asciiTheme="majorBidi" w:eastAsia="Calibri" w:hAnsiTheme="majorBidi" w:cstheme="majorBidi"/>
          <w:iCs/>
          <w:lang w:val="en-GB"/>
        </w:rPr>
        <w:t>in particular regarding</w:t>
      </w:r>
      <w:proofErr w:type="gramEnd"/>
      <w:r w:rsidRPr="00080C66">
        <w:rPr>
          <w:rFonts w:asciiTheme="majorBidi" w:eastAsia="Calibri" w:hAnsiTheme="majorBidi" w:cstheme="majorBidi"/>
          <w:iCs/>
          <w:lang w:val="en-GB"/>
        </w:rPr>
        <w:t xml:space="preserve"> the distinction between waste and non-waste under the Basel Convention;</w:t>
      </w:r>
      <w:r w:rsidRPr="00080C66">
        <w:rPr>
          <w:rFonts w:asciiTheme="majorBidi" w:eastAsia="Calibri" w:hAnsiTheme="majorBidi" w:cstheme="majorBidi"/>
          <w:iCs/>
          <w:vertAlign w:val="superscript"/>
          <w:lang w:val="en-GB"/>
        </w:rPr>
        <w:footnoteReference w:id="1"/>
      </w:r>
      <w:r w:rsidRPr="00080C66">
        <w:rPr>
          <w:rFonts w:asciiTheme="majorBidi" w:eastAsia="Calibri" w:hAnsiTheme="majorBidi" w:cstheme="majorBidi"/>
          <w:iCs/>
          <w:lang w:val="en-GB"/>
        </w:rPr>
        <w:t xml:space="preserve"> </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hAnsiTheme="majorBidi" w:cstheme="majorBidi"/>
          <w:i/>
          <w:iCs/>
          <w:lang w:val="en-GB"/>
        </w:rPr>
      </w:pPr>
      <w:r w:rsidRPr="00080C66">
        <w:rPr>
          <w:rFonts w:asciiTheme="majorBidi" w:hAnsiTheme="majorBidi" w:cstheme="majorBidi"/>
          <w:i/>
          <w:iCs/>
          <w:lang w:val="en-GB"/>
        </w:rPr>
        <w:t xml:space="preserve">Acknowledges </w:t>
      </w:r>
      <w:r w:rsidRPr="00080C66">
        <w:rPr>
          <w:rFonts w:asciiTheme="majorBidi" w:hAnsiTheme="majorBidi" w:cstheme="majorBidi"/>
          <w:iCs/>
          <w:lang w:val="en-GB"/>
        </w:rPr>
        <w:t xml:space="preserve">the need to look further into subparagraphs 32 (a) and 32 (b) of the revised technical guidelines referred to in paragraph 3 of the present decision, </w:t>
      </w:r>
      <w:proofErr w:type="gramStart"/>
      <w:r w:rsidRPr="00080C66">
        <w:rPr>
          <w:rFonts w:asciiTheme="majorBidi" w:hAnsiTheme="majorBidi" w:cstheme="majorBidi"/>
          <w:iCs/>
          <w:lang w:val="en-GB"/>
        </w:rPr>
        <w:t>in particular the</w:t>
      </w:r>
      <w:proofErr w:type="gramEnd"/>
      <w:r w:rsidRPr="00080C66">
        <w:rPr>
          <w:rFonts w:asciiTheme="majorBidi" w:hAnsiTheme="majorBidi" w:cstheme="majorBidi"/>
          <w:iCs/>
          <w:lang w:val="en-GB"/>
        </w:rPr>
        <w:t xml:space="preserve"> concerns of Parties on the distinction between waste and non</w:t>
      </w:r>
      <w:r w:rsidRPr="00080C66">
        <w:rPr>
          <w:rFonts w:asciiTheme="majorBidi" w:hAnsiTheme="majorBidi" w:cstheme="majorBidi"/>
          <w:iCs/>
          <w:lang w:val="en-GB"/>
        </w:rPr>
        <w:noBreakHyphen/>
        <w:t>waste, to advance the work towards the finalization of the guidelines;</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Cs/>
          <w:lang w:val="en-GB"/>
        </w:rPr>
      </w:pPr>
      <w:r w:rsidRPr="00080C66">
        <w:rPr>
          <w:rFonts w:asciiTheme="majorBidi" w:eastAsia="Calibri" w:hAnsiTheme="majorBidi" w:cstheme="majorBidi"/>
          <w:i/>
          <w:lang w:val="en-GB"/>
        </w:rPr>
        <w:t xml:space="preserve">Decides </w:t>
      </w:r>
      <w:r w:rsidRPr="00080C66">
        <w:rPr>
          <w:rFonts w:asciiTheme="majorBidi" w:eastAsia="Calibri" w:hAnsiTheme="majorBidi" w:cstheme="majorBidi"/>
          <w:lang w:val="en-GB"/>
        </w:rPr>
        <w:t>to extend the mandate of the</w:t>
      </w:r>
      <w:r w:rsidRPr="00080C66">
        <w:rPr>
          <w:rFonts w:asciiTheme="majorBidi" w:hAnsiTheme="majorBidi" w:cstheme="majorBidi"/>
          <w:lang w:val="en-GB"/>
        </w:rPr>
        <w:t xml:space="preserve"> expert working group established by paragraph 5 of decision BC-13/5</w:t>
      </w:r>
      <w:r w:rsidRPr="00080C66">
        <w:rPr>
          <w:rFonts w:asciiTheme="majorBidi" w:eastAsia="Calibri" w:hAnsiTheme="majorBidi" w:cstheme="majorBidi"/>
          <w:lang w:val="en-GB"/>
        </w:rPr>
        <w:t>;</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Cs/>
          <w:lang w:val="en-GB"/>
        </w:rPr>
      </w:pPr>
      <w:r w:rsidRPr="00080C66">
        <w:rPr>
          <w:rFonts w:asciiTheme="majorBidi" w:hAnsiTheme="majorBidi" w:cstheme="majorBidi"/>
          <w:i/>
          <w:iCs/>
          <w:lang w:val="en-GB"/>
        </w:rPr>
        <w:t xml:space="preserve">Decides </w:t>
      </w:r>
      <w:r w:rsidRPr="00080C66">
        <w:rPr>
          <w:rFonts w:asciiTheme="majorBidi" w:hAnsiTheme="majorBidi" w:cstheme="majorBidi"/>
          <w:iCs/>
          <w:lang w:val="en-GB"/>
        </w:rPr>
        <w:t xml:space="preserve">that the expert working group referred to in paragraph 5 of the present decision shall continue to consist of twenty-five members nominated by Parties, based on equitable geographical representation of the five regional groups of the United Nations, </w:t>
      </w:r>
      <w:r w:rsidRPr="00080C66">
        <w:rPr>
          <w:rFonts w:asciiTheme="majorBidi" w:eastAsia="Calibri" w:hAnsiTheme="majorBidi" w:cstheme="majorBidi"/>
          <w:iCs/>
          <w:lang w:val="en-GB"/>
        </w:rPr>
        <w:t xml:space="preserve">and </w:t>
      </w:r>
      <w:r w:rsidRPr="00080C66">
        <w:rPr>
          <w:rFonts w:asciiTheme="majorBidi" w:hAnsiTheme="majorBidi" w:cstheme="majorBidi"/>
          <w:iCs/>
          <w:lang w:val="en-GB"/>
        </w:rPr>
        <w:t>shall be open to observers, including those from the Basel Convention regional and coordinating centres, and may call for additional experts as needed;</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Cs/>
          <w:lang w:val="en-GB"/>
        </w:rPr>
      </w:pPr>
      <w:r w:rsidRPr="00080C66">
        <w:rPr>
          <w:rFonts w:asciiTheme="majorBidi" w:eastAsia="Calibri" w:hAnsiTheme="majorBidi" w:cstheme="majorBidi"/>
          <w:i/>
          <w:iCs/>
          <w:lang w:val="en-GB"/>
        </w:rPr>
        <w:t>Invites</w:t>
      </w:r>
      <w:r w:rsidRPr="00080C66">
        <w:rPr>
          <w:rFonts w:asciiTheme="majorBidi" w:hAnsiTheme="majorBidi" w:cstheme="majorBidi"/>
          <w:i/>
          <w:iCs/>
          <w:lang w:val="en-GB"/>
        </w:rPr>
        <w:t xml:space="preserve"> </w:t>
      </w:r>
      <w:r w:rsidRPr="00080C66">
        <w:rPr>
          <w:rFonts w:asciiTheme="majorBidi" w:hAnsiTheme="majorBidi" w:cstheme="majorBidi"/>
          <w:iCs/>
          <w:lang w:val="en-GB"/>
        </w:rPr>
        <w:t xml:space="preserve">each regional group to </w:t>
      </w:r>
      <w:r w:rsidRPr="00080C66">
        <w:rPr>
          <w:rFonts w:asciiTheme="majorBidi" w:eastAsia="Calibri" w:hAnsiTheme="majorBidi" w:cstheme="majorBidi"/>
          <w:iCs/>
          <w:lang w:val="en-GB"/>
        </w:rPr>
        <w:t xml:space="preserve">reconsider their </w:t>
      </w:r>
      <w:r w:rsidRPr="00080C66">
        <w:rPr>
          <w:rFonts w:asciiTheme="majorBidi" w:hAnsiTheme="majorBidi" w:cstheme="majorBidi"/>
          <w:iCs/>
          <w:lang w:val="en-GB"/>
        </w:rPr>
        <w:t>nominat</w:t>
      </w:r>
      <w:r w:rsidRPr="00080C66">
        <w:rPr>
          <w:rFonts w:asciiTheme="majorBidi" w:eastAsia="Calibri" w:hAnsiTheme="majorBidi" w:cstheme="majorBidi"/>
          <w:iCs/>
          <w:lang w:val="en-GB"/>
        </w:rPr>
        <w:t>ion and nominate, as appropriate,</w:t>
      </w:r>
      <w:r w:rsidRPr="00080C66">
        <w:rPr>
          <w:rFonts w:asciiTheme="majorBidi" w:hAnsiTheme="majorBidi" w:cstheme="majorBidi"/>
          <w:iCs/>
          <w:lang w:val="en-GB"/>
        </w:rPr>
        <w:t xml:space="preserve"> through its Bureau representatives, by 30 June 2019, members of the expert working group with relevant knowledge and expertise, and requests the Secretariat </w:t>
      </w:r>
      <w:r w:rsidRPr="00080C66">
        <w:rPr>
          <w:lang w:val="en-GB" w:eastAsia="nl-NL"/>
        </w:rPr>
        <w:t>to facilitate the nomination process</w:t>
      </w:r>
      <w:r w:rsidRPr="00080C66">
        <w:rPr>
          <w:rFonts w:asciiTheme="majorBidi" w:hAnsiTheme="majorBidi" w:cstheme="majorBidi"/>
          <w:iCs/>
          <w:lang w:val="en-GB"/>
        </w:rPr>
        <w:t>;</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Cs/>
          <w:lang w:val="en-GB"/>
        </w:rPr>
      </w:pPr>
      <w:r w:rsidRPr="00080C66">
        <w:rPr>
          <w:rFonts w:asciiTheme="majorBidi" w:eastAsia="Calibri" w:hAnsiTheme="majorBidi" w:cstheme="majorBidi"/>
          <w:i/>
          <w:iCs/>
          <w:lang w:val="en-GB"/>
        </w:rPr>
        <w:t xml:space="preserve">Invites </w:t>
      </w:r>
      <w:r w:rsidRPr="00080C66">
        <w:rPr>
          <w:rFonts w:asciiTheme="majorBidi" w:eastAsia="Calibri" w:hAnsiTheme="majorBidi" w:cstheme="majorBidi"/>
          <w:iCs/>
          <w:lang w:val="en-GB"/>
        </w:rPr>
        <w:t xml:space="preserve">Parties and others to use and test, on a pilot basis, the technical guidelines referred to in paragraph 3 of the present decision </w:t>
      </w:r>
      <w:r w:rsidRPr="00080C66">
        <w:rPr>
          <w:rFonts w:asciiTheme="majorBidi" w:eastAsia="Calibri" w:hAnsiTheme="majorBidi" w:cstheme="majorBidi"/>
          <w:lang w:val="en-GB"/>
        </w:rPr>
        <w:t>and to communicate to the Secretariat that they are doing so</w:t>
      </w:r>
      <w:r w:rsidRPr="00080C66">
        <w:rPr>
          <w:rFonts w:asciiTheme="majorBidi" w:eastAsia="Calibri" w:hAnsiTheme="majorBidi" w:cstheme="majorBidi"/>
          <w:iCs/>
          <w:lang w:val="en-GB"/>
        </w:rPr>
        <w:t xml:space="preserve">; </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Cs/>
          <w:lang w:val="en-GB"/>
        </w:rPr>
      </w:pPr>
      <w:r w:rsidRPr="00080C66">
        <w:rPr>
          <w:rFonts w:asciiTheme="majorBidi" w:eastAsia="Calibri" w:hAnsiTheme="majorBidi" w:cstheme="majorBidi"/>
          <w:i/>
          <w:iCs/>
          <w:lang w:val="en-GB"/>
        </w:rPr>
        <w:t>Also invites</w:t>
      </w:r>
      <w:r w:rsidRPr="00080C66">
        <w:rPr>
          <w:rFonts w:asciiTheme="majorBidi" w:eastAsia="Calibri" w:hAnsiTheme="majorBidi" w:cstheme="majorBidi"/>
          <w:iCs/>
          <w:lang w:val="en-GB"/>
        </w:rPr>
        <w:t xml:space="preserve"> Parties and others to submit, not later than two months before the </w:t>
      </w:r>
      <w:r w:rsidRPr="00080C66">
        <w:rPr>
          <w:rFonts w:asciiTheme="majorBidi" w:hAnsiTheme="majorBidi" w:cstheme="majorBidi"/>
          <w:lang w:val="en-GB" w:eastAsia="en-GB"/>
        </w:rPr>
        <w:t>twelfth meeting of the Open-ended Working Group</w:t>
      </w:r>
      <w:r w:rsidRPr="00080C66">
        <w:rPr>
          <w:rFonts w:asciiTheme="majorBidi" w:eastAsia="Calibri" w:hAnsiTheme="majorBidi" w:cstheme="majorBidi"/>
          <w:iCs/>
          <w:lang w:val="en-GB"/>
        </w:rPr>
        <w:t xml:space="preserve">, through the Secretariat, comments on the activities referred to in paragraph 8 of the present decision and the results of using and testing the technical guidelines referred to in paragraph 3 of the present decision; and requests the Secretariat to make such comments available for the consideration of the </w:t>
      </w:r>
      <w:r w:rsidRPr="00080C66">
        <w:rPr>
          <w:rFonts w:asciiTheme="majorBidi" w:hAnsiTheme="majorBidi" w:cstheme="majorBidi"/>
          <w:lang w:val="en-GB" w:eastAsia="en-GB"/>
        </w:rPr>
        <w:t>Open-ended Working Group</w:t>
      </w:r>
      <w:r w:rsidRPr="00080C66">
        <w:rPr>
          <w:rFonts w:asciiTheme="majorBidi" w:eastAsia="Calibri" w:hAnsiTheme="majorBidi" w:cstheme="majorBidi"/>
          <w:iCs/>
          <w:lang w:val="en-GB"/>
        </w:rPr>
        <w:t>;</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lang w:val="en-GB"/>
        </w:rPr>
      </w:pPr>
      <w:r w:rsidRPr="00080C66">
        <w:rPr>
          <w:rFonts w:asciiTheme="majorBidi" w:eastAsia="Calibri" w:hAnsiTheme="majorBidi" w:cstheme="majorBidi"/>
          <w:i/>
          <w:lang w:val="en-GB"/>
        </w:rPr>
        <w:lastRenderedPageBreak/>
        <w:t>Requests</w:t>
      </w:r>
      <w:r w:rsidRPr="00080C66">
        <w:rPr>
          <w:rFonts w:asciiTheme="majorBidi" w:eastAsia="Calibri" w:hAnsiTheme="majorBidi" w:cstheme="majorBidi"/>
          <w:lang w:val="en-GB"/>
        </w:rPr>
        <w:t xml:space="preserve"> the expert working group, </w:t>
      </w:r>
      <w:proofErr w:type="gramStart"/>
      <w:r w:rsidRPr="00080C66">
        <w:rPr>
          <w:rFonts w:asciiTheme="majorBidi" w:eastAsia="Calibri" w:hAnsiTheme="majorBidi" w:cstheme="majorBidi"/>
          <w:lang w:val="en-GB"/>
        </w:rPr>
        <w:t>taking into account</w:t>
      </w:r>
      <w:proofErr w:type="gramEnd"/>
      <w:r w:rsidRPr="00080C66">
        <w:rPr>
          <w:rFonts w:asciiTheme="majorBidi" w:eastAsia="Calibri" w:hAnsiTheme="majorBidi" w:cstheme="majorBidi"/>
          <w:lang w:val="en-GB"/>
        </w:rPr>
        <w:t>, inter alia, the comments received in accordance with paragraph 9 of the present decision, to prepare revised draft technical guidelines, taking into consideration paragraph 4 of the present decision, and to submit them for the consideration of the Conference of the Parties at its fifteenth meeting;</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
          <w:iCs/>
          <w:lang w:val="en-GB"/>
        </w:rPr>
      </w:pPr>
      <w:r w:rsidRPr="00080C66">
        <w:rPr>
          <w:rFonts w:asciiTheme="majorBidi" w:eastAsia="Calibri" w:hAnsiTheme="majorBidi" w:cstheme="majorBidi"/>
          <w:i/>
          <w:iCs/>
          <w:lang w:val="en-GB"/>
        </w:rPr>
        <w:t>Agrees</w:t>
      </w:r>
      <w:r w:rsidRPr="00080C66">
        <w:rPr>
          <w:rFonts w:asciiTheme="majorBidi" w:eastAsia="Calibri" w:hAnsiTheme="majorBidi" w:cstheme="majorBidi"/>
          <w:iCs/>
          <w:lang w:val="en-GB"/>
        </w:rPr>
        <w:t xml:space="preserve"> to consider, at the fifteenth meeting of the Conference of the Parties, the technical guidelines as referred to in paragraph 3 of the present decision, </w:t>
      </w:r>
      <w:proofErr w:type="gramStart"/>
      <w:r w:rsidRPr="00080C66">
        <w:rPr>
          <w:rFonts w:asciiTheme="majorBidi" w:eastAsia="Calibri" w:hAnsiTheme="majorBidi" w:cstheme="majorBidi"/>
          <w:iCs/>
          <w:lang w:val="en-GB"/>
        </w:rPr>
        <w:t>taking into account</w:t>
      </w:r>
      <w:proofErr w:type="gramEnd"/>
      <w:r w:rsidRPr="00080C66">
        <w:rPr>
          <w:rFonts w:asciiTheme="majorBidi" w:eastAsia="Calibri" w:hAnsiTheme="majorBidi" w:cstheme="majorBidi"/>
          <w:iCs/>
          <w:lang w:val="en-GB"/>
        </w:rPr>
        <w:t xml:space="preserve"> the outcomes of the expert working group, pursuant to paragraph 10;</w:t>
      </w:r>
    </w:p>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Cs/>
          <w:lang w:val="en-GB"/>
        </w:rPr>
      </w:pPr>
      <w:bookmarkStart w:id="1" w:name="_Hlk8247549"/>
      <w:r w:rsidRPr="00080C66">
        <w:rPr>
          <w:rFonts w:asciiTheme="majorBidi" w:eastAsia="Calibri" w:hAnsiTheme="majorBidi" w:cstheme="majorBidi"/>
          <w:i/>
          <w:iCs/>
          <w:lang w:val="en-GB"/>
        </w:rPr>
        <w:t xml:space="preserve">Also agrees </w:t>
      </w:r>
      <w:r w:rsidRPr="00080C66">
        <w:rPr>
          <w:rFonts w:asciiTheme="majorBidi" w:eastAsia="Calibri" w:hAnsiTheme="majorBidi" w:cstheme="majorBidi"/>
          <w:iCs/>
          <w:lang w:val="en-GB"/>
        </w:rPr>
        <w:t xml:space="preserve">that in the event of outstanding matters, as referred to in paragraph 2 of the present decision, the Conference of the Parties at its fifteenth meeting may further extend the mandate of the expert working group, pursuant to paragraph 10, for a limited period; </w:t>
      </w:r>
    </w:p>
    <w:bookmarkEnd w:id="1"/>
    <w:p w:rsidR="00E67603" w:rsidRPr="00080C66" w:rsidRDefault="00E67603" w:rsidP="00E67603">
      <w:pPr>
        <w:numPr>
          <w:ilvl w:val="0"/>
          <w:numId w:val="3"/>
        </w:numPr>
        <w:tabs>
          <w:tab w:val="clear" w:pos="1247"/>
          <w:tab w:val="clear" w:pos="1814"/>
          <w:tab w:val="clear" w:pos="2381"/>
          <w:tab w:val="clear" w:pos="2948"/>
          <w:tab w:val="clear" w:pos="3515"/>
          <w:tab w:val="left" w:pos="624"/>
        </w:tabs>
        <w:spacing w:after="120" w:line="259" w:lineRule="auto"/>
        <w:ind w:left="1247" w:firstLine="624"/>
        <w:rPr>
          <w:rFonts w:asciiTheme="majorBidi" w:eastAsia="Calibri" w:hAnsiTheme="majorBidi" w:cstheme="majorBidi"/>
          <w:i/>
          <w:iCs/>
          <w:lang w:val="en-GB"/>
        </w:rPr>
      </w:pPr>
      <w:r w:rsidRPr="00080C66">
        <w:rPr>
          <w:rFonts w:asciiTheme="majorBidi" w:eastAsia="Calibri" w:hAnsiTheme="majorBidi" w:cstheme="majorBidi"/>
          <w:i/>
          <w:iCs/>
          <w:lang w:val="en-GB"/>
        </w:rPr>
        <w:t xml:space="preserve">Requests </w:t>
      </w:r>
      <w:r w:rsidRPr="00080C66">
        <w:rPr>
          <w:rFonts w:asciiTheme="majorBidi" w:eastAsia="Calibri" w:hAnsiTheme="majorBidi" w:cstheme="majorBidi"/>
          <w:iCs/>
          <w:lang w:val="en-GB"/>
        </w:rPr>
        <w:t>the Secretariat</w:t>
      </w:r>
      <w:r w:rsidRPr="00080C66">
        <w:rPr>
          <w:rFonts w:asciiTheme="majorBidi" w:eastAsia="Calibri" w:hAnsiTheme="majorBidi" w:cstheme="majorBidi"/>
          <w:i/>
          <w:iCs/>
          <w:lang w:val="en-GB"/>
        </w:rPr>
        <w:t>:</w:t>
      </w:r>
    </w:p>
    <w:p w:rsidR="00E67603" w:rsidRPr="00E67603" w:rsidRDefault="00E67603" w:rsidP="00E67603">
      <w:pPr>
        <w:pStyle w:val="Normalnumber"/>
        <w:numPr>
          <w:ilvl w:val="1"/>
          <w:numId w:val="4"/>
        </w:numPr>
        <w:ind w:firstLine="624"/>
        <w:rPr>
          <w:rFonts w:asciiTheme="majorBidi" w:eastAsia="Calibri" w:hAnsiTheme="majorBidi" w:cstheme="majorBidi"/>
          <w:iCs/>
          <w:sz w:val="20"/>
          <w:szCs w:val="20"/>
          <w:lang w:val="en-GB"/>
        </w:rPr>
      </w:pPr>
      <w:r w:rsidRPr="00E67603">
        <w:rPr>
          <w:rFonts w:asciiTheme="majorBidi" w:eastAsia="Calibri" w:hAnsiTheme="majorBidi" w:cstheme="majorBidi"/>
          <w:i/>
          <w:iCs/>
          <w:sz w:val="20"/>
          <w:szCs w:val="20"/>
          <w:lang w:val="en-GB"/>
        </w:rPr>
        <w:t>To continue</w:t>
      </w:r>
      <w:r w:rsidRPr="00E67603">
        <w:rPr>
          <w:rFonts w:asciiTheme="majorBidi" w:eastAsia="Calibri" w:hAnsiTheme="majorBidi" w:cstheme="majorBidi"/>
          <w:iCs/>
          <w:sz w:val="20"/>
          <w:szCs w:val="20"/>
          <w:lang w:val="en-GB"/>
        </w:rPr>
        <w:t xml:space="preserve"> to provide, subject to the availability of resources, training to developing</w:t>
      </w:r>
      <w:r w:rsidRPr="00E67603">
        <w:rPr>
          <w:rFonts w:asciiTheme="majorBidi" w:eastAsia="Calibri" w:hAnsiTheme="majorBidi" w:cstheme="majorBidi"/>
          <w:iCs/>
          <w:sz w:val="20"/>
          <w:szCs w:val="20"/>
          <w:lang w:val="en-GB"/>
        </w:rPr>
        <w:noBreakHyphen/>
        <w:t xml:space="preserve">country Parties and other Parties in need of assistance in using the technical guidelines referred to in paragraph 3 of the present decision, and to organize such activities in cooperation with the Basel Convention regional and coordinating </w:t>
      </w:r>
      <w:proofErr w:type="spellStart"/>
      <w:r w:rsidRPr="00E67603">
        <w:rPr>
          <w:rFonts w:asciiTheme="majorBidi" w:eastAsia="Calibri" w:hAnsiTheme="majorBidi" w:cstheme="majorBidi"/>
          <w:iCs/>
          <w:sz w:val="20"/>
          <w:szCs w:val="20"/>
          <w:lang w:val="en-GB"/>
        </w:rPr>
        <w:t>centres</w:t>
      </w:r>
      <w:proofErr w:type="spellEnd"/>
      <w:r w:rsidRPr="00E67603">
        <w:rPr>
          <w:rFonts w:asciiTheme="majorBidi" w:eastAsia="Calibri" w:hAnsiTheme="majorBidi" w:cstheme="majorBidi"/>
          <w:iCs/>
          <w:sz w:val="20"/>
          <w:szCs w:val="20"/>
          <w:lang w:val="en-GB"/>
        </w:rPr>
        <w:t xml:space="preserve"> or by other appropriate means;</w:t>
      </w:r>
    </w:p>
    <w:p w:rsidR="00E67603" w:rsidRPr="00E67603" w:rsidRDefault="00E67603" w:rsidP="00E67603">
      <w:pPr>
        <w:pStyle w:val="Normalnumber"/>
        <w:numPr>
          <w:ilvl w:val="1"/>
          <w:numId w:val="4"/>
        </w:numPr>
        <w:ind w:firstLine="624"/>
        <w:rPr>
          <w:rFonts w:asciiTheme="majorBidi" w:eastAsia="Calibri" w:hAnsiTheme="majorBidi" w:cstheme="majorBidi"/>
          <w:iCs/>
          <w:sz w:val="20"/>
          <w:szCs w:val="20"/>
          <w:lang w:val="en-GB"/>
        </w:rPr>
      </w:pPr>
      <w:r w:rsidRPr="00E67603">
        <w:rPr>
          <w:rFonts w:asciiTheme="majorBidi" w:eastAsia="Calibri" w:hAnsiTheme="majorBidi" w:cstheme="majorBidi"/>
          <w:i/>
          <w:iCs/>
          <w:sz w:val="20"/>
          <w:szCs w:val="20"/>
          <w:lang w:val="en-GB"/>
        </w:rPr>
        <w:t>To report</w:t>
      </w:r>
      <w:r w:rsidRPr="00E67603">
        <w:rPr>
          <w:rFonts w:asciiTheme="majorBidi" w:eastAsia="Calibri" w:hAnsiTheme="majorBidi" w:cstheme="majorBidi"/>
          <w:iCs/>
          <w:sz w:val="20"/>
          <w:szCs w:val="20"/>
          <w:lang w:val="en-GB"/>
        </w:rPr>
        <w:t xml:space="preserve"> on the implementation of the present decision to the Open</w:t>
      </w:r>
      <w:r w:rsidRPr="00E67603">
        <w:rPr>
          <w:rFonts w:asciiTheme="majorBidi" w:eastAsia="Calibri" w:hAnsiTheme="majorBidi" w:cstheme="majorBidi"/>
          <w:iCs/>
          <w:sz w:val="20"/>
          <w:szCs w:val="20"/>
          <w:lang w:val="en-GB"/>
        </w:rPr>
        <w:noBreakHyphen/>
        <w:t>ended Working Group at its twelfth meeting and to the Conference of the Parties at its fifteenth meeting.</w:t>
      </w:r>
    </w:p>
    <w:p w:rsidR="00F935A6" w:rsidRPr="00E67603" w:rsidRDefault="00F935A6" w:rsidP="00E67603">
      <w:pPr>
        <w:rPr>
          <w:lang w:val="en-US"/>
        </w:rPr>
      </w:pPr>
    </w:p>
    <w:sectPr w:rsidR="00F935A6" w:rsidRPr="00E676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061" w:rsidRDefault="00C12061" w:rsidP="00E67603">
      <w:r>
        <w:separator/>
      </w:r>
    </w:p>
  </w:endnote>
  <w:endnote w:type="continuationSeparator" w:id="0">
    <w:p w:rsidR="00C12061" w:rsidRDefault="00C12061" w:rsidP="00E6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061" w:rsidRDefault="00C12061" w:rsidP="00E67603">
      <w:r>
        <w:separator/>
      </w:r>
    </w:p>
  </w:footnote>
  <w:footnote w:type="continuationSeparator" w:id="0">
    <w:p w:rsidR="00C12061" w:rsidRDefault="00C12061" w:rsidP="00E67603">
      <w:r>
        <w:continuationSeparator/>
      </w:r>
    </w:p>
  </w:footnote>
  <w:footnote w:id="1">
    <w:p w:rsidR="00E67603" w:rsidRPr="00325A98" w:rsidRDefault="00E67603" w:rsidP="00E67603">
      <w:pPr>
        <w:pStyle w:val="NormalNonumber"/>
        <w:tabs>
          <w:tab w:val="clear" w:pos="1247"/>
          <w:tab w:val="clear" w:pos="1814"/>
          <w:tab w:val="clear" w:pos="2381"/>
          <w:tab w:val="clear" w:pos="2948"/>
          <w:tab w:val="clear" w:pos="3515"/>
          <w:tab w:val="left" w:pos="624"/>
        </w:tabs>
        <w:spacing w:before="20" w:after="40"/>
        <w:ind w:right="57"/>
        <w:rPr>
          <w:sz w:val="18"/>
          <w:szCs w:val="18"/>
        </w:rPr>
      </w:pPr>
      <w:r w:rsidRPr="00325A98">
        <w:rPr>
          <w:rStyle w:val="FootnoteReference"/>
          <w:sz w:val="18"/>
        </w:rPr>
        <w:footnoteRef/>
      </w:r>
      <w:r w:rsidRPr="00325A98">
        <w:rPr>
          <w:sz w:val="18"/>
          <w:szCs w:val="18"/>
        </w:rPr>
        <w:t xml:space="preserve"> UNEP/CHW.14/7/Add.6/Rev.1.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7568E"/>
    <w:multiLevelType w:val="hybridMultilevel"/>
    <w:tmpl w:val="6C2419DE"/>
    <w:lvl w:ilvl="0" w:tplc="D63C561A">
      <w:start w:val="1"/>
      <w:numFmt w:val="decimal"/>
      <w:lvlText w:val="%1."/>
      <w:lvlJc w:val="left"/>
      <w:pPr>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66A9D"/>
    <w:multiLevelType w:val="multilevel"/>
    <w:tmpl w:val="D07A6E4C"/>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2" w15:restartNumberingAfterBreak="0">
    <w:nsid w:val="62291BF8"/>
    <w:multiLevelType w:val="multilevel"/>
    <w:tmpl w:val="C38EAC68"/>
    <w:lvl w:ilvl="0">
      <w:start w:val="1"/>
      <w:numFmt w:val="decimal"/>
      <w:lvlText w:val="%1."/>
      <w:lvlJc w:val="left"/>
      <w:pPr>
        <w:tabs>
          <w:tab w:val="num" w:pos="-680"/>
        </w:tabs>
        <w:ind w:left="0" w:firstLine="0"/>
      </w:pPr>
      <w:rPr>
        <w:rFonts w:hint="default"/>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97"/>
        </w:tabs>
        <w:ind w:left="297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Roman"/>
      <w:lvlText w:val="%5."/>
      <w:lvlJc w:val="left"/>
      <w:pPr>
        <w:tabs>
          <w:tab w:val="num" w:pos="567"/>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1"/>
  </w:num>
  <w:num w:numId="2">
    <w:abstractNumId w:val="1"/>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03"/>
    <w:rsid w:val="00C12061"/>
    <w:rsid w:val="00E67603"/>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D9CC"/>
  <w15:chartTrackingRefBased/>
  <w15:docId w15:val="{35C20B1C-4BAB-427F-AED4-C2820C34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603"/>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E67603"/>
    <w:pPr>
      <w:keepNext/>
      <w:keepLines/>
      <w:tabs>
        <w:tab w:val="right" w:pos="851"/>
        <w:tab w:val="left" w:pos="4082"/>
      </w:tabs>
      <w:suppressAutoHyphens/>
      <w:spacing w:before="240" w:after="120"/>
      <w:ind w:left="1247" w:right="284" w:hanging="1247"/>
    </w:pPr>
    <w:rPr>
      <w:b/>
      <w:sz w:val="28"/>
      <w:szCs w:val="28"/>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qFormat/>
    <w:rsid w:val="00E67603"/>
    <w:rPr>
      <w:rFonts w:ascii="Times New Roman" w:hAnsi="Times New Roman"/>
      <w:sz w:val="20"/>
      <w:szCs w:val="18"/>
      <w:vertAlign w:val="superscript"/>
    </w:rPr>
  </w:style>
  <w:style w:type="character" w:customStyle="1" w:styleId="NormalnumberChar">
    <w:name w:val="Normal_number Char"/>
    <w:link w:val="Normalnumber"/>
    <w:rsid w:val="00E67603"/>
    <w:rPr>
      <w:lang w:eastAsia="en-US"/>
    </w:rPr>
  </w:style>
  <w:style w:type="numbering" w:customStyle="1" w:styleId="Normallist">
    <w:name w:val="Normal_list"/>
    <w:basedOn w:val="NoList"/>
    <w:rsid w:val="00E67603"/>
    <w:pPr>
      <w:numPr>
        <w:numId w:val="1"/>
      </w:numPr>
    </w:pPr>
  </w:style>
  <w:style w:type="paragraph" w:customStyle="1" w:styleId="NormalNonumber">
    <w:name w:val="Normal_No_number"/>
    <w:basedOn w:val="Normal"/>
    <w:link w:val="NormalNonumberChar"/>
    <w:qFormat/>
    <w:rsid w:val="00E67603"/>
    <w:pPr>
      <w:tabs>
        <w:tab w:val="left" w:pos="4082"/>
      </w:tabs>
      <w:spacing w:after="120"/>
      <w:ind w:left="1247"/>
    </w:pPr>
    <w:rPr>
      <w:lang w:val="en-GB"/>
    </w:rPr>
  </w:style>
  <w:style w:type="paragraph" w:customStyle="1" w:styleId="Normalnumber">
    <w:name w:val="Normal_number"/>
    <w:basedOn w:val="Normal"/>
    <w:link w:val="NormalnumberChar"/>
    <w:qFormat/>
    <w:rsid w:val="00E67603"/>
    <w:pPr>
      <w:numPr>
        <w:numId w:val="1"/>
      </w:numPr>
      <w:tabs>
        <w:tab w:val="clear" w:pos="1134"/>
        <w:tab w:val="clear" w:pos="1247"/>
        <w:tab w:val="clear" w:pos="1814"/>
        <w:tab w:val="clear" w:pos="2381"/>
        <w:tab w:val="clear" w:pos="2948"/>
        <w:tab w:val="clear" w:pos="3515"/>
        <w:tab w:val="left" w:pos="624"/>
      </w:tabs>
      <w:spacing w:after="120"/>
    </w:pPr>
    <w:rPr>
      <w:rFonts w:asciiTheme="minorHAnsi" w:eastAsiaTheme="minorEastAsia" w:hAnsiTheme="minorHAnsi" w:cstheme="minorBidi"/>
      <w:sz w:val="22"/>
      <w:szCs w:val="22"/>
      <w:lang w:val="en-US"/>
    </w:rPr>
  </w:style>
  <w:style w:type="character" w:customStyle="1" w:styleId="NormalNonumberChar">
    <w:name w:val="Normal_No_number Char"/>
    <w:link w:val="NormalNonumber"/>
    <w:locked/>
    <w:rsid w:val="00E67603"/>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E67603"/>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2019-11-20T14:17:00Z</dcterms:created>
  <dcterms:modified xsi:type="dcterms:W3CDTF">2019-11-20T14:19:00Z</dcterms:modified>
</cp:coreProperties>
</file>