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D77" w:rsidRPr="00080C66" w:rsidRDefault="008C0D77" w:rsidP="008C0D77">
      <w:pPr>
        <w:pStyle w:val="CH1"/>
      </w:pPr>
      <w:r w:rsidRPr="00080C66">
        <w:tab/>
      </w:r>
      <w:r>
        <w:tab/>
      </w:r>
      <w:r w:rsidRPr="00080C66">
        <w:t>BC-14/14: Waste containing nanomaterials</w:t>
      </w:r>
    </w:p>
    <w:p w:rsidR="008C0D77" w:rsidRPr="00080C66" w:rsidRDefault="008C0D77" w:rsidP="008C0D77">
      <w:pPr>
        <w:pStyle w:val="NormalNonumber"/>
        <w:tabs>
          <w:tab w:val="clear" w:pos="1247"/>
          <w:tab w:val="clear" w:pos="1814"/>
          <w:tab w:val="clear" w:pos="2381"/>
          <w:tab w:val="clear" w:pos="2948"/>
          <w:tab w:val="clear" w:pos="3515"/>
          <w:tab w:val="left" w:pos="624"/>
        </w:tabs>
        <w:ind w:firstLine="624"/>
        <w:rPr>
          <w:i/>
          <w:color w:val="000000" w:themeColor="text1"/>
        </w:rPr>
      </w:pPr>
      <w:r w:rsidRPr="00080C66">
        <w:rPr>
          <w:i/>
          <w:color w:val="000000" w:themeColor="text1"/>
        </w:rPr>
        <w:t>The Conference of the Parties,</w:t>
      </w:r>
    </w:p>
    <w:p w:rsidR="008C0D77" w:rsidRPr="00080C66" w:rsidRDefault="008C0D77" w:rsidP="008C0D77">
      <w:pPr>
        <w:pStyle w:val="NormalNonumber"/>
        <w:tabs>
          <w:tab w:val="clear" w:pos="1247"/>
          <w:tab w:val="clear" w:pos="1814"/>
          <w:tab w:val="clear" w:pos="2381"/>
          <w:tab w:val="clear" w:pos="2948"/>
          <w:tab w:val="clear" w:pos="3515"/>
          <w:tab w:val="left" w:pos="624"/>
        </w:tabs>
        <w:ind w:firstLine="624"/>
        <w:rPr>
          <w:i/>
          <w:color w:val="000000" w:themeColor="text1"/>
        </w:rPr>
      </w:pPr>
      <w:r w:rsidRPr="00080C66">
        <w:rPr>
          <w:i/>
          <w:color w:val="000000" w:themeColor="text1"/>
        </w:rPr>
        <w:t xml:space="preserve">Acknowledging </w:t>
      </w:r>
      <w:r w:rsidRPr="00080C66">
        <w:rPr>
          <w:color w:val="000000" w:themeColor="text1"/>
        </w:rPr>
        <w:t xml:space="preserve">the work undertaken by other organizations, </w:t>
      </w:r>
      <w:proofErr w:type="gramStart"/>
      <w:r w:rsidRPr="00080C66">
        <w:rPr>
          <w:color w:val="000000" w:themeColor="text1"/>
        </w:rPr>
        <w:t>in particular the</w:t>
      </w:r>
      <w:proofErr w:type="gramEnd"/>
      <w:r w:rsidRPr="00080C66">
        <w:rPr>
          <w:color w:val="000000" w:themeColor="text1"/>
        </w:rPr>
        <w:t xml:space="preserve"> International Labour Organization</w:t>
      </w:r>
      <w:r w:rsidRPr="00080C66">
        <w:rPr>
          <w:color w:val="000000" w:themeColor="text1"/>
          <w:shd w:val="clear" w:color="auto" w:fill="FFFFFF"/>
        </w:rPr>
        <w:t>, the Organization for Economic Cooperation and Development, the United Nations Institute for Training and Research</w:t>
      </w:r>
      <w:r w:rsidRPr="00080C66">
        <w:rPr>
          <w:color w:val="000000" w:themeColor="text1"/>
        </w:rPr>
        <w:t xml:space="preserve"> and the World Health Organization, on nanotechnology, the safety of nanomaterials and waste containing nanomaterials</w:t>
      </w:r>
      <w:r w:rsidRPr="00080C66">
        <w:rPr>
          <w:i/>
          <w:color w:val="000000" w:themeColor="text1"/>
        </w:rPr>
        <w:t xml:space="preserve">, </w:t>
      </w:r>
    </w:p>
    <w:p w:rsidR="008C0D77" w:rsidRPr="00080C66" w:rsidRDefault="008C0D77" w:rsidP="008C0D77">
      <w:pPr>
        <w:pStyle w:val="NormalNonumber"/>
        <w:numPr>
          <w:ilvl w:val="0"/>
          <w:numId w:val="1"/>
        </w:numPr>
        <w:tabs>
          <w:tab w:val="clear" w:pos="1247"/>
          <w:tab w:val="clear" w:pos="1814"/>
          <w:tab w:val="clear" w:pos="2381"/>
          <w:tab w:val="clear" w:pos="2948"/>
          <w:tab w:val="clear" w:pos="3515"/>
          <w:tab w:val="clear" w:pos="4082"/>
          <w:tab w:val="left" w:pos="624"/>
        </w:tabs>
        <w:ind w:left="1247" w:firstLine="624"/>
        <w:rPr>
          <w:color w:val="000000" w:themeColor="text1"/>
        </w:rPr>
      </w:pPr>
      <w:r w:rsidRPr="00080C66">
        <w:rPr>
          <w:i/>
          <w:color w:val="000000" w:themeColor="text1"/>
        </w:rPr>
        <w:t>Takes note</w:t>
      </w:r>
      <w:r w:rsidRPr="00080C66">
        <w:rPr>
          <w:color w:val="000000" w:themeColor="text1"/>
        </w:rPr>
        <w:t xml:space="preserve"> of the report on issues related to waste containing nanomaterials and options for further work under the Basel Convention</w:t>
      </w:r>
      <w:r w:rsidRPr="00080C66">
        <w:rPr>
          <w:rFonts w:asciiTheme="majorBidi" w:eastAsia="Calibri" w:hAnsiTheme="majorBidi" w:cstheme="majorBidi"/>
        </w:rPr>
        <w:t xml:space="preserve"> </w:t>
      </w:r>
      <w:r w:rsidRPr="00080C66">
        <w:rPr>
          <w:color w:val="000000" w:themeColor="text1"/>
        </w:rPr>
        <w:t>on the Control of Transboundary Movements of Hazardous Wastes and Their Disposal;</w:t>
      </w:r>
      <w:r w:rsidRPr="00080C66">
        <w:rPr>
          <w:rStyle w:val="FootnoteReference"/>
          <w:color w:val="000000" w:themeColor="text1"/>
        </w:rPr>
        <w:footnoteReference w:id="1"/>
      </w:r>
    </w:p>
    <w:p w:rsidR="008C0D77" w:rsidRPr="00080C66" w:rsidRDefault="008C0D77" w:rsidP="008C0D77">
      <w:pPr>
        <w:pStyle w:val="NormalNonumber"/>
        <w:numPr>
          <w:ilvl w:val="0"/>
          <w:numId w:val="1"/>
        </w:numPr>
        <w:tabs>
          <w:tab w:val="clear" w:pos="1247"/>
          <w:tab w:val="clear" w:pos="1814"/>
          <w:tab w:val="clear" w:pos="2381"/>
          <w:tab w:val="clear" w:pos="2948"/>
          <w:tab w:val="clear" w:pos="3515"/>
          <w:tab w:val="clear" w:pos="4082"/>
          <w:tab w:val="left" w:pos="624"/>
        </w:tabs>
        <w:ind w:left="1247" w:firstLine="624"/>
        <w:rPr>
          <w:color w:val="000000" w:themeColor="text1"/>
        </w:rPr>
      </w:pPr>
      <w:r w:rsidRPr="00080C66">
        <w:rPr>
          <w:i/>
          <w:color w:val="000000" w:themeColor="text1"/>
        </w:rPr>
        <w:t>Also takes note</w:t>
      </w:r>
      <w:r w:rsidRPr="00080C66">
        <w:rPr>
          <w:color w:val="000000" w:themeColor="text1"/>
        </w:rPr>
        <w:t xml:space="preserve"> of comments</w:t>
      </w:r>
      <w:r w:rsidRPr="00080C66">
        <w:rPr>
          <w:rStyle w:val="FootnoteReference"/>
          <w:color w:val="000000" w:themeColor="text1"/>
        </w:rPr>
        <w:footnoteReference w:id="2"/>
      </w:r>
      <w:r w:rsidRPr="00080C66">
        <w:rPr>
          <w:color w:val="000000" w:themeColor="text1"/>
        </w:rPr>
        <w:t xml:space="preserve"> received on the report referred to in paragraph 1 of the present decision pursuant to decision OEWG-11/10;</w:t>
      </w:r>
    </w:p>
    <w:p w:rsidR="008C0D77" w:rsidRPr="00080C66" w:rsidRDefault="008C0D77" w:rsidP="008C0D77">
      <w:pPr>
        <w:pStyle w:val="NormalNonumber"/>
        <w:numPr>
          <w:ilvl w:val="0"/>
          <w:numId w:val="1"/>
        </w:numPr>
        <w:tabs>
          <w:tab w:val="clear" w:pos="1247"/>
          <w:tab w:val="clear" w:pos="1814"/>
          <w:tab w:val="clear" w:pos="2381"/>
          <w:tab w:val="clear" w:pos="2948"/>
          <w:tab w:val="clear" w:pos="3515"/>
          <w:tab w:val="clear" w:pos="4082"/>
          <w:tab w:val="left" w:pos="624"/>
        </w:tabs>
        <w:ind w:left="1247" w:firstLine="624"/>
        <w:rPr>
          <w:color w:val="000000" w:themeColor="text1"/>
        </w:rPr>
      </w:pPr>
      <w:r w:rsidRPr="00080C66">
        <w:rPr>
          <w:bCs/>
          <w:i/>
          <w:color w:val="000000" w:themeColor="text1"/>
        </w:rPr>
        <w:t>E</w:t>
      </w:r>
      <w:r w:rsidRPr="00080C66">
        <w:rPr>
          <w:bCs/>
          <w:i/>
          <w:color w:val="000000" w:themeColor="text1"/>
          <w:szCs w:val="24"/>
          <w:lang w:eastAsia="en-GB"/>
        </w:rPr>
        <w:t>ncourages</w:t>
      </w:r>
      <w:r w:rsidRPr="00080C66">
        <w:rPr>
          <w:bCs/>
          <w:color w:val="000000" w:themeColor="text1"/>
          <w:szCs w:val="24"/>
          <w:lang w:eastAsia="en-GB"/>
        </w:rPr>
        <w:t xml:space="preserve"> Parties and others to undertake further research and develop other measures, as appropriate, to generate the information needed </w:t>
      </w:r>
      <w:r w:rsidRPr="00080C66">
        <w:rPr>
          <w:color w:val="000000" w:themeColor="text1"/>
        </w:rPr>
        <w:t>to</w:t>
      </w:r>
      <w:r w:rsidRPr="00080C66">
        <w:rPr>
          <w:bCs/>
          <w:color w:val="000000" w:themeColor="text1"/>
          <w:szCs w:val="24"/>
          <w:lang w:eastAsia="en-GB"/>
        </w:rPr>
        <w:t xml:space="preserve"> better understand the potential risks posed by waste containing nanomaterials;</w:t>
      </w:r>
    </w:p>
    <w:p w:rsidR="008C0D77" w:rsidRPr="00080C66" w:rsidRDefault="008C0D77" w:rsidP="008C0D77">
      <w:pPr>
        <w:pStyle w:val="NormalNonumber"/>
        <w:numPr>
          <w:ilvl w:val="0"/>
          <w:numId w:val="1"/>
        </w:numPr>
        <w:tabs>
          <w:tab w:val="clear" w:pos="1247"/>
          <w:tab w:val="clear" w:pos="1814"/>
          <w:tab w:val="clear" w:pos="2381"/>
          <w:tab w:val="clear" w:pos="2948"/>
          <w:tab w:val="clear" w:pos="3515"/>
          <w:tab w:val="clear" w:pos="4082"/>
          <w:tab w:val="left" w:pos="624"/>
        </w:tabs>
        <w:ind w:left="1247" w:firstLine="624"/>
        <w:rPr>
          <w:color w:val="000000" w:themeColor="text1"/>
        </w:rPr>
      </w:pPr>
      <w:r w:rsidRPr="00080C66">
        <w:rPr>
          <w:i/>
          <w:color w:val="000000" w:themeColor="text1"/>
        </w:rPr>
        <w:t>Invites</w:t>
      </w:r>
      <w:r w:rsidRPr="00080C66">
        <w:rPr>
          <w:color w:val="000000" w:themeColor="text1"/>
        </w:rPr>
        <w:t xml:space="preserve"> Parties and others to make available to the Secretariat, by 31 December 2019, information related to activities aimed at addressing issues related to waste containing nanomaterials, including case studies about and best practices relating to the management of waste containing nanomaterials;</w:t>
      </w:r>
    </w:p>
    <w:p w:rsidR="008C0D77" w:rsidRPr="00080C66" w:rsidRDefault="008C0D77" w:rsidP="008C0D77">
      <w:pPr>
        <w:pStyle w:val="NormalNonumber"/>
        <w:numPr>
          <w:ilvl w:val="0"/>
          <w:numId w:val="1"/>
        </w:numPr>
        <w:tabs>
          <w:tab w:val="clear" w:pos="1247"/>
          <w:tab w:val="clear" w:pos="1814"/>
          <w:tab w:val="clear" w:pos="2381"/>
          <w:tab w:val="clear" w:pos="2948"/>
          <w:tab w:val="clear" w:pos="3515"/>
          <w:tab w:val="clear" w:pos="4082"/>
          <w:tab w:val="left" w:pos="624"/>
        </w:tabs>
        <w:ind w:left="1247" w:firstLine="624"/>
        <w:rPr>
          <w:color w:val="000000" w:themeColor="text1"/>
        </w:rPr>
      </w:pPr>
      <w:r w:rsidRPr="00080C66">
        <w:rPr>
          <w:i/>
          <w:color w:val="000000" w:themeColor="text1"/>
          <w:szCs w:val="24"/>
          <w:lang w:eastAsia="en-GB"/>
        </w:rPr>
        <w:t>Encourages</w:t>
      </w:r>
      <w:r w:rsidRPr="00080C66">
        <w:rPr>
          <w:color w:val="000000" w:themeColor="text1"/>
          <w:szCs w:val="24"/>
          <w:lang w:eastAsia="en-GB"/>
        </w:rPr>
        <w:t xml:space="preserve"> Parties to develop strategies for the </w:t>
      </w:r>
      <w:r w:rsidRPr="00080C66">
        <w:rPr>
          <w:color w:val="000000" w:themeColor="text1"/>
        </w:rPr>
        <w:t>environmentally</w:t>
      </w:r>
      <w:r w:rsidRPr="00080C66">
        <w:rPr>
          <w:color w:val="000000" w:themeColor="text1"/>
          <w:szCs w:val="24"/>
          <w:lang w:eastAsia="en-GB"/>
        </w:rPr>
        <w:t xml:space="preserve"> sound management of waste containing nanomaterials;</w:t>
      </w:r>
    </w:p>
    <w:p w:rsidR="008C0D77" w:rsidRPr="00080C66" w:rsidRDefault="008C0D77" w:rsidP="008C0D77">
      <w:pPr>
        <w:pStyle w:val="NormalNonumber"/>
        <w:numPr>
          <w:ilvl w:val="0"/>
          <w:numId w:val="1"/>
        </w:numPr>
        <w:tabs>
          <w:tab w:val="clear" w:pos="1247"/>
          <w:tab w:val="clear" w:pos="1814"/>
          <w:tab w:val="clear" w:pos="2381"/>
          <w:tab w:val="clear" w:pos="2948"/>
          <w:tab w:val="clear" w:pos="3515"/>
          <w:tab w:val="clear" w:pos="4082"/>
          <w:tab w:val="left" w:pos="624"/>
        </w:tabs>
        <w:ind w:left="1247" w:firstLine="624"/>
        <w:rPr>
          <w:color w:val="000000" w:themeColor="text1"/>
        </w:rPr>
      </w:pPr>
      <w:r w:rsidRPr="00080C66">
        <w:rPr>
          <w:i/>
          <w:color w:val="000000" w:themeColor="text1"/>
        </w:rPr>
        <w:t>Requests</w:t>
      </w:r>
      <w:r w:rsidRPr="00080C66">
        <w:rPr>
          <w:color w:val="000000" w:themeColor="text1"/>
        </w:rPr>
        <w:t xml:space="preserve"> the Secretariat:</w:t>
      </w:r>
    </w:p>
    <w:p w:rsidR="008C0D77" w:rsidRPr="00080C66" w:rsidRDefault="008C0D77" w:rsidP="008C0D77">
      <w:pPr>
        <w:pStyle w:val="Normalpool"/>
        <w:numPr>
          <w:ilvl w:val="1"/>
          <w:numId w:val="2"/>
        </w:numPr>
        <w:tabs>
          <w:tab w:val="clear" w:pos="1247"/>
          <w:tab w:val="clear" w:pos="1814"/>
          <w:tab w:val="clear" w:pos="2381"/>
          <w:tab w:val="clear" w:pos="2948"/>
          <w:tab w:val="clear" w:pos="3515"/>
          <w:tab w:val="clear" w:pos="4082"/>
          <w:tab w:val="left" w:pos="624"/>
        </w:tabs>
        <w:spacing w:after="120"/>
        <w:ind w:left="1247" w:firstLine="624"/>
        <w:rPr>
          <w:lang w:val="en-GB"/>
        </w:rPr>
      </w:pPr>
      <w:r w:rsidRPr="00080C66">
        <w:rPr>
          <w:lang w:val="en-GB"/>
        </w:rPr>
        <w:t xml:space="preserve">To compile the information referred to in paragraph 4 of the present decision for </w:t>
      </w:r>
      <w:r w:rsidRPr="00080C66">
        <w:rPr>
          <w:lang w:val="en-GB"/>
        </w:rPr>
        <w:tab/>
        <w:t>consideration by the Open-ended Working Group at its twelfth meeting;</w:t>
      </w:r>
    </w:p>
    <w:p w:rsidR="00CF7497" w:rsidRPr="008C0D77" w:rsidRDefault="008C0D77" w:rsidP="008C0D77">
      <w:pPr>
        <w:pStyle w:val="Normalpool"/>
        <w:numPr>
          <w:ilvl w:val="1"/>
          <w:numId w:val="2"/>
        </w:numPr>
        <w:tabs>
          <w:tab w:val="clear" w:pos="1247"/>
          <w:tab w:val="clear" w:pos="1814"/>
          <w:tab w:val="clear" w:pos="2381"/>
          <w:tab w:val="clear" w:pos="2948"/>
          <w:tab w:val="clear" w:pos="3515"/>
          <w:tab w:val="clear" w:pos="4082"/>
          <w:tab w:val="left" w:pos="624"/>
        </w:tabs>
        <w:spacing w:after="120"/>
        <w:ind w:left="1247" w:firstLine="624"/>
        <w:rPr>
          <w:lang w:val="en-GB"/>
        </w:rPr>
      </w:pPr>
      <w:r w:rsidRPr="008C0D77">
        <w:rPr>
          <w:lang w:val="en-GB"/>
        </w:rPr>
        <w:t xml:space="preserve">To report on the implementation of the present decision to the Open-ended Working </w:t>
      </w:r>
      <w:r w:rsidRPr="008C0D77">
        <w:rPr>
          <w:lang w:val="en-GB"/>
        </w:rPr>
        <w:tab/>
        <w:t>Group at its twe</w:t>
      </w:r>
      <w:bookmarkStart w:id="0" w:name="_GoBack"/>
      <w:bookmarkEnd w:id="0"/>
      <w:r w:rsidRPr="008C0D77">
        <w:rPr>
          <w:lang w:val="en-GB"/>
        </w:rPr>
        <w:t>lfth meeting and to the Conference of the Parties at its fifteenth meeting.</w:t>
      </w:r>
    </w:p>
    <w:sectPr w:rsidR="00CF7497" w:rsidRPr="008C0D7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26C" w:rsidRDefault="0018026C" w:rsidP="008C0D77">
      <w:r>
        <w:separator/>
      </w:r>
    </w:p>
  </w:endnote>
  <w:endnote w:type="continuationSeparator" w:id="0">
    <w:p w:rsidR="0018026C" w:rsidRDefault="0018026C" w:rsidP="008C0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D77" w:rsidRDefault="008C0D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D77" w:rsidRDefault="008C0D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D77" w:rsidRDefault="008C0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26C" w:rsidRDefault="0018026C" w:rsidP="008C0D77">
      <w:r>
        <w:separator/>
      </w:r>
    </w:p>
  </w:footnote>
  <w:footnote w:type="continuationSeparator" w:id="0">
    <w:p w:rsidR="0018026C" w:rsidRDefault="0018026C" w:rsidP="008C0D77">
      <w:r>
        <w:continuationSeparator/>
      </w:r>
    </w:p>
  </w:footnote>
  <w:footnote w:id="1">
    <w:p w:rsidR="008C0D77" w:rsidRPr="00325A98" w:rsidRDefault="008C0D77" w:rsidP="008C0D77">
      <w:pPr>
        <w:pStyle w:val="FootnoteText"/>
        <w:tabs>
          <w:tab w:val="left" w:pos="624"/>
        </w:tabs>
        <w:ind w:right="57"/>
        <w:rPr>
          <w:szCs w:val="18"/>
          <w:lang w:val="en-GB"/>
        </w:rPr>
      </w:pPr>
      <w:r w:rsidRPr="00325A98">
        <w:rPr>
          <w:rStyle w:val="FootnoteReference"/>
          <w:lang w:val="en-GB"/>
        </w:rPr>
        <w:footnoteRef/>
      </w:r>
      <w:r w:rsidRPr="00325A98">
        <w:rPr>
          <w:szCs w:val="18"/>
          <w:lang w:val="en-GB"/>
        </w:rPr>
        <w:t xml:space="preserve"> UNEP/CHW/OEWG.11/INF/24.</w:t>
      </w:r>
    </w:p>
  </w:footnote>
  <w:footnote w:id="2">
    <w:p w:rsidR="008C0D77" w:rsidRPr="00325A98" w:rsidRDefault="008C0D77" w:rsidP="008C0D77">
      <w:pPr>
        <w:pStyle w:val="FootnoteText"/>
        <w:tabs>
          <w:tab w:val="left" w:pos="624"/>
        </w:tabs>
        <w:ind w:right="57"/>
        <w:rPr>
          <w:szCs w:val="18"/>
          <w:lang w:val="en-GB"/>
        </w:rPr>
      </w:pPr>
      <w:r w:rsidRPr="00325A98">
        <w:rPr>
          <w:rStyle w:val="FootnoteReference"/>
          <w:lang w:val="en-GB"/>
        </w:rPr>
        <w:footnoteRef/>
      </w:r>
      <w:r w:rsidRPr="00325A98">
        <w:rPr>
          <w:szCs w:val="18"/>
          <w:lang w:val="en-GB"/>
        </w:rPr>
        <w:t xml:space="preserve"> UNEP/CHW.14/INF/19.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D77" w:rsidRDefault="008C0D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737820" o:spid="_x0000_s2050" type="#_x0000_t136" style="position:absolute;margin-left:0;margin-top:0;width:513.2pt;height:146.6pt;rotation:315;z-index:-251655168;mso-position-horizontal:center;mso-position-horizontal-relative:margin;mso-position-vertical:center;mso-position-vertical-relative:margin" o:allowincell="f" fillcolor="silver" stroked="f">
          <v:fill opacity=".5"/>
          <v:textpath style="font-family:&quot;Times New Roman&quot;;font-size:1pt" string="ADVANC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D77" w:rsidRDefault="008C0D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737821" o:spid="_x0000_s2051" type="#_x0000_t136" style="position:absolute;margin-left:0;margin-top:0;width:513.2pt;height:146.6pt;rotation:315;z-index:-251653120;mso-position-horizontal:center;mso-position-horizontal-relative:margin;mso-position-vertical:center;mso-position-vertical-relative:margin" o:allowincell="f" fillcolor="silver" stroked="f">
          <v:fill opacity=".5"/>
          <v:textpath style="font-family:&quot;Times New Roman&quot;;font-size:1pt" string="ADVANC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D77" w:rsidRDefault="008C0D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737819" o:spid="_x0000_s2049" type="#_x0000_t136" style="position:absolute;margin-left:0;margin-top:0;width:513.2pt;height:146.6pt;rotation:315;z-index:-251657216;mso-position-horizontal:center;mso-position-horizontal-relative:margin;mso-position-vertical:center;mso-position-vertical-relative:margin" o:allowincell="f" fillcolor="silver" stroked="f">
          <v:fill opacity=".5"/>
          <v:textpath style="font-family:&quot;Times New Roman&quot;;font-size:1pt" string="ADVANC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35AF7"/>
    <w:multiLevelType w:val="hybridMultilevel"/>
    <w:tmpl w:val="F306E382"/>
    <w:lvl w:ilvl="0" w:tplc="0409000F">
      <w:start w:val="1"/>
      <w:numFmt w:val="decimal"/>
      <w:lvlText w:val="%1."/>
      <w:lvlJc w:val="left"/>
      <w:pPr>
        <w:ind w:left="1344" w:hanging="360"/>
      </w:p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 w15:restartNumberingAfterBreak="0">
    <w:nsid w:val="40681B62"/>
    <w:multiLevelType w:val="hybridMultilevel"/>
    <w:tmpl w:val="899477E2"/>
    <w:lvl w:ilvl="0" w:tplc="78083696">
      <w:start w:val="1"/>
      <w:numFmt w:val="lowerLetter"/>
      <w:lvlText w:val="(%1)"/>
      <w:lvlJc w:val="left"/>
      <w:pPr>
        <w:ind w:left="720" w:hanging="360"/>
      </w:pPr>
      <w:rPr>
        <w:rFonts w:hint="default"/>
      </w:rPr>
    </w:lvl>
    <w:lvl w:ilvl="1" w:tplc="7808369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77"/>
    <w:rsid w:val="0018026C"/>
    <w:rsid w:val="00304CF0"/>
    <w:rsid w:val="008C0D77"/>
    <w:rsid w:val="00987DB3"/>
    <w:rsid w:val="009D258D"/>
    <w:rsid w:val="00C873CC"/>
    <w:rsid w:val="00CF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676663"/>
  <w15:chartTrackingRefBased/>
  <w15:docId w15:val="{3EB2BEFC-8D70-4D76-BABA-D2BFA51E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D77"/>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pool"/>
    <w:next w:val="Normal"/>
    <w:rsid w:val="008C0D77"/>
    <w:pPr>
      <w:keepNext/>
      <w:keepLines/>
      <w:tabs>
        <w:tab w:val="right" w:pos="851"/>
      </w:tabs>
      <w:suppressAutoHyphens/>
      <w:spacing w:before="240" w:after="120"/>
      <w:ind w:left="1247" w:right="284" w:hanging="1247"/>
    </w:pPr>
    <w:rPr>
      <w:b/>
      <w:sz w:val="28"/>
      <w:szCs w:val="28"/>
      <w:lang w:val="en-GB"/>
    </w:rPr>
  </w:style>
  <w:style w:type="paragraph" w:customStyle="1" w:styleId="Normalpool">
    <w:name w:val="Normal_pool"/>
    <w:link w:val="NormalpoolChar"/>
    <w:rsid w:val="008C0D77"/>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eastAsia="en-US"/>
    </w:rPr>
  </w:style>
  <w:style w:type="paragraph" w:customStyle="1" w:styleId="Normal-pool">
    <w:name w:val="Normal-pool"/>
    <w:link w:val="Normal-poolChar"/>
    <w:qFormat/>
    <w:rsid w:val="008C0D77"/>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Text"/>
    <w:basedOn w:val="DefaultParagraphFont"/>
    <w:link w:val="BVIfnrCharCharCharChar"/>
    <w:qFormat/>
    <w:rsid w:val="008C0D77"/>
    <w:rPr>
      <w:rFonts w:ascii="Times New Roman" w:hAnsi="Times New Roman"/>
      <w:sz w:val="20"/>
      <w:szCs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DNV-FT,f,fn,Ch"/>
    <w:basedOn w:val="Normalpool"/>
    <w:link w:val="FootnoteTextChar"/>
    <w:qFormat/>
    <w:rsid w:val="008C0D77"/>
    <w:pPr>
      <w:spacing w:before="20" w:after="40"/>
      <w:ind w:left="1247"/>
    </w:pPr>
    <w:rPr>
      <w:sz w:val="18"/>
    </w:rPr>
  </w:style>
  <w:style w:type="character" w:customStyle="1" w:styleId="FootnoteTextChar">
    <w:name w:val="Footnote Text Char"/>
    <w:aliases w:val="Geneva 9 Char,Font: Geneva 9 Char,Boston 10 Char,93 Char,single space Char,Footnote Text Rail EIS Char,ft Char,Char Char,footnote3 Char,Footnotes Char,Footnote ak Char,fn cafc Char,Footnotes Char Char Char,Footnote Text Char Char Char"/>
    <w:basedOn w:val="DefaultParagraphFont"/>
    <w:link w:val="FootnoteText"/>
    <w:rsid w:val="008C0D77"/>
    <w:rPr>
      <w:rFonts w:ascii="Times New Roman" w:eastAsia="Times New Roman" w:hAnsi="Times New Roman" w:cs="Times New Roman"/>
      <w:sz w:val="18"/>
      <w:szCs w:val="20"/>
      <w:lang w:val="fr-FR" w:eastAsia="en-US"/>
    </w:rPr>
  </w:style>
  <w:style w:type="character" w:customStyle="1" w:styleId="Normal-poolChar">
    <w:name w:val="Normal-pool Char"/>
    <w:link w:val="Normal-pool"/>
    <w:rsid w:val="008C0D77"/>
    <w:rPr>
      <w:rFonts w:ascii="Times New Roman" w:eastAsia="Times New Roman" w:hAnsi="Times New Roman" w:cs="Times New Roman"/>
      <w:sz w:val="20"/>
      <w:szCs w:val="20"/>
      <w:lang w:val="en-GB" w:eastAsia="en-US"/>
    </w:rPr>
  </w:style>
  <w:style w:type="paragraph" w:customStyle="1" w:styleId="NormalNonumber">
    <w:name w:val="Normal_No_number"/>
    <w:basedOn w:val="Normalpool"/>
    <w:link w:val="NormalNonumberChar"/>
    <w:qFormat/>
    <w:rsid w:val="008C0D77"/>
    <w:pPr>
      <w:spacing w:after="120"/>
      <w:ind w:left="1247"/>
    </w:pPr>
    <w:rPr>
      <w:lang w:val="en-GB"/>
    </w:rPr>
  </w:style>
  <w:style w:type="character" w:customStyle="1" w:styleId="NormalNonumberChar">
    <w:name w:val="Normal_No_number Char"/>
    <w:link w:val="NormalNonumber"/>
    <w:locked/>
    <w:rsid w:val="008C0D77"/>
    <w:rPr>
      <w:rFonts w:ascii="Times New Roman" w:eastAsia="Times New Roman" w:hAnsi="Times New Roman" w:cs="Times New Roman"/>
      <w:sz w:val="20"/>
      <w:szCs w:val="20"/>
      <w:lang w:val="en-GB" w:eastAsia="en-US"/>
    </w:rPr>
  </w:style>
  <w:style w:type="character" w:customStyle="1" w:styleId="NormalpoolChar">
    <w:name w:val="Normal_pool Char"/>
    <w:link w:val="Normalpool"/>
    <w:rsid w:val="008C0D77"/>
    <w:rPr>
      <w:rFonts w:ascii="Times New Roman" w:eastAsia="Times New Roman" w:hAnsi="Times New Roman" w:cs="Times New Roman"/>
      <w:sz w:val="20"/>
      <w:szCs w:val="20"/>
      <w:lang w:val="fr-FR"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8C0D77"/>
    <w:pPr>
      <w:tabs>
        <w:tab w:val="clear" w:pos="1247"/>
        <w:tab w:val="clear" w:pos="1814"/>
        <w:tab w:val="clear" w:pos="2381"/>
        <w:tab w:val="clear" w:pos="2948"/>
        <w:tab w:val="clear" w:pos="3515"/>
      </w:tabs>
      <w:spacing w:before="120" w:after="160" w:line="240" w:lineRule="exact"/>
    </w:pPr>
    <w:rPr>
      <w:rFonts w:eastAsiaTheme="minorEastAsia" w:cstheme="minorBidi"/>
      <w:szCs w:val="18"/>
      <w:vertAlign w:val="superscript"/>
      <w:lang w:val="en-US" w:eastAsia="zh-CN"/>
    </w:rPr>
  </w:style>
  <w:style w:type="paragraph" w:styleId="Header">
    <w:name w:val="header"/>
    <w:basedOn w:val="Normal"/>
    <w:link w:val="HeaderChar"/>
    <w:uiPriority w:val="99"/>
    <w:unhideWhenUsed/>
    <w:rsid w:val="008C0D77"/>
    <w:pPr>
      <w:tabs>
        <w:tab w:val="clear" w:pos="1247"/>
        <w:tab w:val="clear" w:pos="1814"/>
        <w:tab w:val="clear" w:pos="2381"/>
        <w:tab w:val="clear" w:pos="2948"/>
        <w:tab w:val="clear" w:pos="3515"/>
        <w:tab w:val="center" w:pos="4680"/>
        <w:tab w:val="right" w:pos="9360"/>
      </w:tabs>
    </w:pPr>
  </w:style>
  <w:style w:type="character" w:customStyle="1" w:styleId="HeaderChar">
    <w:name w:val="Header Char"/>
    <w:basedOn w:val="DefaultParagraphFont"/>
    <w:link w:val="Header"/>
    <w:uiPriority w:val="99"/>
    <w:rsid w:val="008C0D77"/>
    <w:rPr>
      <w:rFonts w:ascii="Times New Roman" w:eastAsia="Times New Roman" w:hAnsi="Times New Roman" w:cs="Times New Roman"/>
      <w:sz w:val="20"/>
      <w:szCs w:val="20"/>
      <w:lang w:val="fr-FR" w:eastAsia="en-US"/>
    </w:rPr>
  </w:style>
  <w:style w:type="paragraph" w:styleId="Footer">
    <w:name w:val="footer"/>
    <w:basedOn w:val="Normal"/>
    <w:link w:val="FooterChar"/>
    <w:uiPriority w:val="99"/>
    <w:unhideWhenUsed/>
    <w:rsid w:val="008C0D77"/>
    <w:pPr>
      <w:tabs>
        <w:tab w:val="clear" w:pos="1247"/>
        <w:tab w:val="clear" w:pos="1814"/>
        <w:tab w:val="clear" w:pos="2381"/>
        <w:tab w:val="clear" w:pos="2948"/>
        <w:tab w:val="clear" w:pos="3515"/>
        <w:tab w:val="center" w:pos="4680"/>
        <w:tab w:val="right" w:pos="9360"/>
      </w:tabs>
    </w:pPr>
  </w:style>
  <w:style w:type="character" w:customStyle="1" w:styleId="FooterChar">
    <w:name w:val="Footer Char"/>
    <w:basedOn w:val="DefaultParagraphFont"/>
    <w:link w:val="Footer"/>
    <w:uiPriority w:val="99"/>
    <w:rsid w:val="008C0D77"/>
    <w:rPr>
      <w:rFonts w:ascii="Times New Roman" w:eastAsia="Times New Roman" w:hAnsi="Times New Roman" w:cs="Times New Roman"/>
      <w:sz w:val="20"/>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2019-09-27T14:33:00Z</dcterms:created>
  <dcterms:modified xsi:type="dcterms:W3CDTF">2019-09-27T14:35:00Z</dcterms:modified>
</cp:coreProperties>
</file>