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5661B" w14:textId="77777777" w:rsidR="00C02126" w:rsidRPr="00C02126" w:rsidRDefault="00C02126" w:rsidP="00C02126">
      <w:pPr>
        <w:pStyle w:val="CH1"/>
      </w:pPr>
      <w:r w:rsidRPr="00C02126">
        <w:tab/>
      </w:r>
      <w:r w:rsidRPr="00C02126">
        <w:tab/>
        <w:t>BC-14/20: Work programme of the Open</w:t>
      </w:r>
      <w:r w:rsidRPr="00C02126">
        <w:noBreakHyphen/>
        <w:t>ended Working Group for the biennium 2020–2021</w:t>
      </w:r>
    </w:p>
    <w:p w14:paraId="6C3AE389" w14:textId="77777777" w:rsidR="00C02126" w:rsidRPr="00C02126" w:rsidRDefault="00C02126" w:rsidP="00C02126">
      <w:pPr>
        <w:pStyle w:val="NormalNonumber"/>
        <w:tabs>
          <w:tab w:val="clear" w:pos="1247"/>
          <w:tab w:val="clear" w:pos="1814"/>
          <w:tab w:val="clear" w:pos="2381"/>
          <w:tab w:val="clear" w:pos="2948"/>
          <w:tab w:val="clear" w:pos="3515"/>
          <w:tab w:val="clear" w:pos="4082"/>
          <w:tab w:val="left" w:pos="624"/>
        </w:tabs>
        <w:ind w:firstLine="624"/>
        <w:rPr>
          <w:i/>
        </w:rPr>
      </w:pPr>
      <w:r w:rsidRPr="00C02126">
        <w:rPr>
          <w:i/>
        </w:rPr>
        <w:t>The Conference of the Parties</w:t>
      </w:r>
    </w:p>
    <w:p w14:paraId="2A37F4C9" w14:textId="77777777" w:rsidR="00C02126" w:rsidRPr="00D73DF4" w:rsidRDefault="00C02126" w:rsidP="00C02126">
      <w:pPr>
        <w:pStyle w:val="Normalnumber"/>
        <w:numPr>
          <w:ilvl w:val="0"/>
          <w:numId w:val="0"/>
        </w:numPr>
        <w:tabs>
          <w:tab w:val="clear" w:pos="624"/>
        </w:tabs>
        <w:ind w:left="1276" w:firstLine="595"/>
        <w:rPr>
          <w:rFonts w:ascii="Times New Roman" w:hAnsi="Times New Roman" w:cs="Times New Roman"/>
          <w:sz w:val="20"/>
          <w:szCs w:val="20"/>
        </w:rPr>
      </w:pPr>
      <w:r w:rsidRPr="00D73DF4">
        <w:rPr>
          <w:rFonts w:ascii="Times New Roman" w:hAnsi="Times New Roman" w:cs="Times New Roman"/>
          <w:i/>
          <w:iCs/>
          <w:sz w:val="20"/>
          <w:szCs w:val="20"/>
        </w:rPr>
        <w:t xml:space="preserve">Adopts </w:t>
      </w:r>
      <w:r w:rsidRPr="00D73DF4">
        <w:rPr>
          <w:rFonts w:ascii="Times New Roman" w:hAnsi="Times New Roman" w:cs="Times New Roman"/>
          <w:sz w:val="20"/>
          <w:szCs w:val="20"/>
        </w:rPr>
        <w:t xml:space="preserve">the work </w:t>
      </w:r>
      <w:proofErr w:type="spellStart"/>
      <w:r w:rsidRPr="00D73DF4">
        <w:rPr>
          <w:rFonts w:ascii="Times New Roman" w:hAnsi="Times New Roman" w:cs="Times New Roman"/>
          <w:sz w:val="20"/>
          <w:szCs w:val="20"/>
        </w:rPr>
        <w:t>programme</w:t>
      </w:r>
      <w:proofErr w:type="spellEnd"/>
      <w:r w:rsidRPr="00D73DF4">
        <w:rPr>
          <w:rFonts w:ascii="Times New Roman" w:hAnsi="Times New Roman" w:cs="Times New Roman"/>
          <w:sz w:val="20"/>
          <w:szCs w:val="20"/>
        </w:rPr>
        <w:t xml:space="preserve"> of the Open</w:t>
      </w:r>
      <w:r w:rsidRPr="00D73DF4">
        <w:rPr>
          <w:rFonts w:ascii="Times New Roman" w:hAnsi="Times New Roman" w:cs="Times New Roman"/>
          <w:sz w:val="20"/>
          <w:szCs w:val="20"/>
        </w:rPr>
        <w:noBreakHyphen/>
        <w:t>ended Working Group for the biennium 2020–2021 set out in the annex to the present decision.</w:t>
      </w:r>
    </w:p>
    <w:p w14:paraId="3FB679CB" w14:textId="77777777" w:rsidR="00C02126" w:rsidRPr="00C02126" w:rsidRDefault="00C02126" w:rsidP="00C02126">
      <w:pPr>
        <w:pStyle w:val="CH1"/>
      </w:pPr>
      <w:r w:rsidRPr="00C02126">
        <w:tab/>
      </w:r>
      <w:r w:rsidRPr="00C02126">
        <w:tab/>
        <w:t>Annex to decision BC-14/20</w:t>
      </w:r>
      <w:bookmarkStart w:id="0" w:name="_GoBack"/>
      <w:bookmarkEnd w:id="0"/>
    </w:p>
    <w:p w14:paraId="566B321E" w14:textId="77777777" w:rsidR="00C02126" w:rsidRPr="00C02126" w:rsidRDefault="00C02126" w:rsidP="00C02126">
      <w:pPr>
        <w:pStyle w:val="CH1"/>
      </w:pPr>
      <w:r w:rsidRPr="00C02126">
        <w:tab/>
      </w:r>
      <w:r w:rsidRPr="00C02126">
        <w:tab/>
        <w:t>Work programme of the Open</w:t>
      </w:r>
      <w:r w:rsidRPr="00C02126">
        <w:noBreakHyphen/>
        <w:t>ended Working Group for the biennium 2020–2021</w:t>
      </w:r>
    </w:p>
    <w:tbl>
      <w:tblPr>
        <w:tblW w:w="8307" w:type="dxa"/>
        <w:jc w:val="right"/>
        <w:tblLook w:val="04A0" w:firstRow="1" w:lastRow="0" w:firstColumn="1" w:lastColumn="0" w:noHBand="0" w:noVBand="1"/>
      </w:tblPr>
      <w:tblGrid>
        <w:gridCol w:w="2160"/>
        <w:gridCol w:w="3206"/>
        <w:gridCol w:w="2001"/>
        <w:gridCol w:w="940"/>
      </w:tblGrid>
      <w:tr w:rsidR="00C02126" w:rsidRPr="00C02126" w14:paraId="1077D172" w14:textId="77777777" w:rsidTr="00934B71">
        <w:trPr>
          <w:trHeight w:val="57"/>
          <w:tblHeader/>
          <w:jc w:val="right"/>
        </w:trPr>
        <w:tc>
          <w:tcPr>
            <w:tcW w:w="2176" w:type="dxa"/>
            <w:tcBorders>
              <w:top w:val="single" w:sz="2" w:space="0" w:color="auto"/>
              <w:bottom w:val="single" w:sz="12" w:space="0" w:color="auto"/>
            </w:tcBorders>
            <w:hideMark/>
          </w:tcPr>
          <w:p w14:paraId="696E8CC7" w14:textId="77777777" w:rsidR="00C02126" w:rsidRPr="00C02126" w:rsidRDefault="00C02126" w:rsidP="00934B71">
            <w:pPr>
              <w:widowControl w:val="0"/>
              <w:tabs>
                <w:tab w:val="left" w:pos="1871"/>
                <w:tab w:val="left" w:pos="2495"/>
                <w:tab w:val="left" w:pos="3119"/>
                <w:tab w:val="left" w:pos="3742"/>
                <w:tab w:val="left" w:pos="4366"/>
                <w:tab w:val="left" w:pos="4990"/>
                <w:tab w:val="left" w:pos="5613"/>
              </w:tabs>
              <w:spacing w:before="40" w:after="40"/>
              <w:ind w:left="57" w:right="57"/>
              <w:jc w:val="both"/>
              <w:rPr>
                <w:rFonts w:ascii="Times New Roman" w:hAnsi="Times New Roman" w:cs="Times New Roman"/>
                <w:i/>
                <w:sz w:val="18"/>
                <w:szCs w:val="18"/>
                <w:lang w:val="en-GB"/>
              </w:rPr>
            </w:pPr>
            <w:r w:rsidRPr="00C02126">
              <w:rPr>
                <w:rFonts w:ascii="Times New Roman" w:hAnsi="Times New Roman" w:cs="Times New Roman"/>
                <w:i/>
                <w:sz w:val="18"/>
                <w:szCs w:val="18"/>
                <w:lang w:val="en-GB"/>
              </w:rPr>
              <w:t>Topics</w:t>
            </w:r>
          </w:p>
        </w:tc>
        <w:tc>
          <w:tcPr>
            <w:tcW w:w="3234" w:type="dxa"/>
            <w:tcBorders>
              <w:top w:val="single" w:sz="2" w:space="0" w:color="auto"/>
              <w:bottom w:val="single" w:sz="12" w:space="0" w:color="auto"/>
            </w:tcBorders>
            <w:hideMark/>
          </w:tcPr>
          <w:p w14:paraId="511B8D00" w14:textId="77777777" w:rsidR="00C02126" w:rsidRPr="00C02126" w:rsidRDefault="00C02126" w:rsidP="00934B71">
            <w:pPr>
              <w:widowControl w:val="0"/>
              <w:tabs>
                <w:tab w:val="left" w:pos="624"/>
                <w:tab w:val="left" w:pos="1871"/>
                <w:tab w:val="left" w:pos="2495"/>
                <w:tab w:val="left" w:pos="3119"/>
                <w:tab w:val="left" w:pos="3742"/>
                <w:tab w:val="left" w:pos="4366"/>
                <w:tab w:val="left" w:pos="4990"/>
                <w:tab w:val="left" w:pos="5613"/>
              </w:tabs>
              <w:spacing w:before="40" w:after="40"/>
              <w:ind w:left="57" w:right="57"/>
              <w:rPr>
                <w:rFonts w:ascii="Times New Roman" w:hAnsi="Times New Roman" w:cs="Times New Roman"/>
                <w:i/>
                <w:sz w:val="18"/>
                <w:szCs w:val="18"/>
                <w:lang w:val="en-GB"/>
              </w:rPr>
            </w:pPr>
            <w:r w:rsidRPr="00C02126">
              <w:rPr>
                <w:rFonts w:ascii="Times New Roman" w:hAnsi="Times New Roman" w:cs="Times New Roman"/>
                <w:i/>
                <w:sz w:val="18"/>
                <w:szCs w:val="18"/>
                <w:lang w:val="en-GB"/>
              </w:rPr>
              <w:t>Activities</w:t>
            </w:r>
          </w:p>
        </w:tc>
        <w:tc>
          <w:tcPr>
            <w:tcW w:w="2026" w:type="dxa"/>
            <w:tcBorders>
              <w:top w:val="single" w:sz="2" w:space="0" w:color="auto"/>
              <w:bottom w:val="single" w:sz="12" w:space="0" w:color="auto"/>
            </w:tcBorders>
            <w:hideMark/>
          </w:tcPr>
          <w:p w14:paraId="28FD299E" w14:textId="77777777" w:rsidR="00C02126" w:rsidRPr="00C02126" w:rsidRDefault="00C02126" w:rsidP="00934B71">
            <w:pPr>
              <w:widowControl w:val="0"/>
              <w:tabs>
                <w:tab w:val="left" w:pos="624"/>
                <w:tab w:val="left" w:pos="1871"/>
                <w:tab w:val="left" w:pos="2495"/>
                <w:tab w:val="left" w:pos="3119"/>
                <w:tab w:val="left" w:pos="3742"/>
                <w:tab w:val="left" w:pos="4366"/>
                <w:tab w:val="left" w:pos="4990"/>
                <w:tab w:val="left" w:pos="5613"/>
              </w:tabs>
              <w:spacing w:before="40" w:after="40"/>
              <w:ind w:left="57" w:right="57"/>
              <w:rPr>
                <w:rFonts w:ascii="Times New Roman" w:hAnsi="Times New Roman" w:cs="Times New Roman"/>
                <w:i/>
                <w:sz w:val="18"/>
                <w:szCs w:val="18"/>
                <w:lang w:val="en-GB"/>
              </w:rPr>
            </w:pPr>
            <w:r w:rsidRPr="00C02126">
              <w:rPr>
                <w:rFonts w:ascii="Times New Roman" w:hAnsi="Times New Roman" w:cs="Times New Roman"/>
                <w:i/>
                <w:sz w:val="18"/>
                <w:szCs w:val="18"/>
                <w:lang w:val="en-GB"/>
              </w:rPr>
              <w:t>Mandate</w:t>
            </w:r>
          </w:p>
        </w:tc>
        <w:tc>
          <w:tcPr>
            <w:tcW w:w="927" w:type="dxa"/>
            <w:tcBorders>
              <w:top w:val="single" w:sz="2" w:space="0" w:color="auto"/>
              <w:bottom w:val="single" w:sz="12" w:space="0" w:color="auto"/>
            </w:tcBorders>
            <w:hideMark/>
          </w:tcPr>
          <w:p w14:paraId="13326C77" w14:textId="77777777" w:rsidR="00C02126" w:rsidRPr="00C02126" w:rsidRDefault="00C02126" w:rsidP="00934B71">
            <w:pPr>
              <w:widowControl w:val="0"/>
              <w:tabs>
                <w:tab w:val="left" w:pos="624"/>
                <w:tab w:val="left" w:pos="1871"/>
                <w:tab w:val="left" w:pos="2495"/>
                <w:tab w:val="left" w:pos="3119"/>
                <w:tab w:val="left" w:pos="3742"/>
                <w:tab w:val="left" w:pos="4366"/>
                <w:tab w:val="left" w:pos="4990"/>
                <w:tab w:val="left" w:pos="5613"/>
              </w:tabs>
              <w:spacing w:before="40" w:after="40"/>
              <w:ind w:left="57" w:right="57"/>
              <w:rPr>
                <w:rFonts w:ascii="Times New Roman" w:hAnsi="Times New Roman" w:cs="Times New Roman"/>
                <w:i/>
                <w:sz w:val="18"/>
                <w:szCs w:val="18"/>
                <w:lang w:val="en-GB"/>
              </w:rPr>
            </w:pPr>
            <w:r w:rsidRPr="00C02126">
              <w:rPr>
                <w:rFonts w:ascii="Times New Roman" w:hAnsi="Times New Roman" w:cs="Times New Roman"/>
                <w:i/>
                <w:sz w:val="18"/>
                <w:szCs w:val="18"/>
                <w:lang w:val="en-GB"/>
              </w:rPr>
              <w:t>Priority</w:t>
            </w:r>
          </w:p>
        </w:tc>
      </w:tr>
      <w:tr w:rsidR="00C02126" w:rsidRPr="00C02126" w14:paraId="36E4F167" w14:textId="77777777" w:rsidTr="00934B71">
        <w:trPr>
          <w:trHeight w:val="57"/>
          <w:jc w:val="right"/>
        </w:trPr>
        <w:tc>
          <w:tcPr>
            <w:tcW w:w="8363" w:type="dxa"/>
            <w:gridSpan w:val="4"/>
            <w:tcBorders>
              <w:top w:val="single" w:sz="12" w:space="0" w:color="auto"/>
            </w:tcBorders>
            <w:hideMark/>
          </w:tcPr>
          <w:p w14:paraId="5FAACF70" w14:textId="77777777" w:rsidR="00C02126" w:rsidRPr="00C02126" w:rsidRDefault="00C02126" w:rsidP="00934B71">
            <w:pPr>
              <w:widowControl w:val="0"/>
              <w:tabs>
                <w:tab w:val="left" w:pos="540"/>
                <w:tab w:val="left" w:pos="4082"/>
              </w:tabs>
              <w:spacing w:before="40" w:after="40"/>
              <w:ind w:left="57" w:right="57"/>
              <w:rPr>
                <w:rFonts w:ascii="Times New Roman" w:hAnsi="Times New Roman" w:cs="Times New Roman"/>
                <w:b/>
                <w:sz w:val="18"/>
                <w:szCs w:val="18"/>
                <w:lang w:val="en-GB"/>
              </w:rPr>
            </w:pPr>
            <w:r w:rsidRPr="00C02126">
              <w:rPr>
                <w:rFonts w:ascii="Times New Roman" w:hAnsi="Times New Roman" w:cs="Times New Roman"/>
                <w:b/>
                <w:sz w:val="18"/>
                <w:szCs w:val="18"/>
                <w:lang w:val="en-GB"/>
              </w:rPr>
              <w:t>I. Strategic issues</w:t>
            </w:r>
          </w:p>
        </w:tc>
      </w:tr>
      <w:tr w:rsidR="00C02126" w:rsidRPr="00C02126" w14:paraId="5960002E" w14:textId="77777777" w:rsidTr="00934B71">
        <w:trPr>
          <w:trHeight w:val="57"/>
          <w:jc w:val="right"/>
        </w:trPr>
        <w:tc>
          <w:tcPr>
            <w:tcW w:w="2176" w:type="dxa"/>
            <w:hideMark/>
          </w:tcPr>
          <w:p w14:paraId="080DBD9C"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A. Strategic framework</w:t>
            </w:r>
          </w:p>
        </w:tc>
        <w:tc>
          <w:tcPr>
            <w:tcW w:w="3234" w:type="dxa"/>
            <w:hideMark/>
          </w:tcPr>
          <w:p w14:paraId="122FBE33" w14:textId="77777777" w:rsidR="00C02126" w:rsidRPr="00C02126" w:rsidRDefault="00C02126" w:rsidP="00934B71">
            <w:pPr>
              <w:widowControl w:val="0"/>
              <w:tabs>
                <w:tab w:val="left" w:pos="4082"/>
              </w:tabs>
              <w:spacing w:before="40" w:after="40"/>
              <w:ind w:left="57" w:right="57"/>
              <w:rPr>
                <w:rFonts w:ascii="Times New Roman" w:eastAsia="Batang" w:hAnsi="Times New Roman" w:cs="Times New Roman"/>
                <w:sz w:val="18"/>
                <w:szCs w:val="18"/>
                <w:lang w:val="en-GB" w:eastAsia="ko-KR"/>
              </w:rPr>
            </w:pPr>
            <w:r w:rsidRPr="00C02126">
              <w:rPr>
                <w:rFonts w:ascii="Times New Roman" w:eastAsia="Batang" w:hAnsi="Times New Roman" w:cs="Times New Roman"/>
                <w:sz w:val="18"/>
                <w:szCs w:val="18"/>
                <w:lang w:val="en-GB" w:eastAsia="ko-KR"/>
              </w:rPr>
              <w:t xml:space="preserve">Consider a draft report on the final evaluation of the strategic framework </w:t>
            </w:r>
            <w:r w:rsidRPr="00C02126">
              <w:rPr>
                <w:rFonts w:ascii="Times New Roman" w:hAnsi="Times New Roman" w:cs="Times New Roman"/>
                <w:sz w:val="18"/>
                <w:szCs w:val="18"/>
                <w:lang w:val="en-GB"/>
              </w:rPr>
              <w:t>for consideration by the Conference of the Parties at its fifteenth meeting.</w:t>
            </w:r>
          </w:p>
        </w:tc>
        <w:tc>
          <w:tcPr>
            <w:tcW w:w="2026" w:type="dxa"/>
            <w:hideMark/>
          </w:tcPr>
          <w:p w14:paraId="4CA06AA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w:t>
            </w:r>
          </w:p>
        </w:tc>
        <w:tc>
          <w:tcPr>
            <w:tcW w:w="927" w:type="dxa"/>
            <w:hideMark/>
          </w:tcPr>
          <w:p w14:paraId="4128E82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56F63A5D" w14:textId="77777777" w:rsidTr="00934B71">
        <w:trPr>
          <w:trHeight w:val="57"/>
          <w:jc w:val="right"/>
        </w:trPr>
        <w:tc>
          <w:tcPr>
            <w:tcW w:w="2176" w:type="dxa"/>
            <w:hideMark/>
          </w:tcPr>
          <w:p w14:paraId="52F3CBE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B. Development of guidelines for </w:t>
            </w:r>
            <w:bookmarkStart w:id="1" w:name="_Hlk8206568"/>
            <w:r w:rsidRPr="00C02126">
              <w:rPr>
                <w:rFonts w:ascii="Times New Roman" w:hAnsi="Times New Roman" w:cs="Times New Roman"/>
                <w:sz w:val="18"/>
                <w:szCs w:val="18"/>
                <w:lang w:val="en-GB"/>
              </w:rPr>
              <w:t>environmentally sound management</w:t>
            </w:r>
            <w:bookmarkEnd w:id="1"/>
          </w:p>
        </w:tc>
        <w:tc>
          <w:tcPr>
            <w:tcW w:w="3234" w:type="dxa"/>
            <w:hideMark/>
          </w:tcPr>
          <w:p w14:paraId="6DE1A1DF" w14:textId="77777777" w:rsidR="00C02126" w:rsidRPr="00C02126" w:rsidRDefault="00C02126" w:rsidP="00934B71">
            <w:pPr>
              <w:widowControl w:val="0"/>
              <w:tabs>
                <w:tab w:val="left" w:pos="4082"/>
              </w:tabs>
              <w:spacing w:before="40" w:after="40"/>
              <w:ind w:left="57" w:right="57"/>
              <w:rPr>
                <w:rFonts w:ascii="Times New Roman" w:eastAsia="Batang" w:hAnsi="Times New Roman" w:cs="Times New Roman"/>
                <w:sz w:val="18"/>
                <w:szCs w:val="18"/>
                <w:lang w:val="en-GB" w:eastAsia="ko-KR"/>
              </w:rPr>
            </w:pPr>
            <w:r w:rsidRPr="00C02126">
              <w:rPr>
                <w:rFonts w:ascii="Times New Roman" w:eastAsia="Batang" w:hAnsi="Times New Roman" w:cs="Times New Roman"/>
                <w:sz w:val="18"/>
                <w:szCs w:val="18"/>
                <w:lang w:val="en-GB" w:eastAsia="ko-KR"/>
              </w:rPr>
              <w:t xml:space="preserve">Consider the revised version of the draft practical manual for stakeholders to ensure that notifications of transboundary movements meet environmentally sound management requirements, </w:t>
            </w:r>
            <w:proofErr w:type="gramStart"/>
            <w:r w:rsidRPr="00C02126">
              <w:rPr>
                <w:rFonts w:ascii="Times New Roman" w:eastAsia="Batang" w:hAnsi="Times New Roman" w:cs="Times New Roman"/>
                <w:sz w:val="18"/>
                <w:szCs w:val="18"/>
                <w:lang w:val="en-GB" w:eastAsia="ko-KR"/>
              </w:rPr>
              <w:t>taking into account</w:t>
            </w:r>
            <w:proofErr w:type="gramEnd"/>
            <w:r w:rsidRPr="00C02126">
              <w:rPr>
                <w:rFonts w:ascii="Times New Roman" w:eastAsia="Batang" w:hAnsi="Times New Roman" w:cs="Times New Roman"/>
                <w:sz w:val="18"/>
                <w:szCs w:val="18"/>
                <w:lang w:val="en-GB" w:eastAsia="ko-KR"/>
              </w:rPr>
              <w:t xml:space="preserve"> the comments from Parties and others. </w:t>
            </w:r>
          </w:p>
        </w:tc>
        <w:tc>
          <w:tcPr>
            <w:tcW w:w="2026" w:type="dxa"/>
            <w:hideMark/>
          </w:tcPr>
          <w:p w14:paraId="040BE31F"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BC-14/3</w:t>
            </w:r>
          </w:p>
        </w:tc>
        <w:tc>
          <w:tcPr>
            <w:tcW w:w="927" w:type="dxa"/>
            <w:hideMark/>
          </w:tcPr>
          <w:p w14:paraId="5714E08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436E1FB6" w14:textId="77777777" w:rsidTr="00934B71">
        <w:trPr>
          <w:trHeight w:val="57"/>
          <w:jc w:val="right"/>
        </w:trPr>
        <w:tc>
          <w:tcPr>
            <w:tcW w:w="8363" w:type="dxa"/>
            <w:gridSpan w:val="4"/>
          </w:tcPr>
          <w:p w14:paraId="3F29D8C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b/>
                <w:sz w:val="18"/>
                <w:szCs w:val="18"/>
                <w:lang w:val="en-GB"/>
              </w:rPr>
              <w:t>II. Scientific and technical matters</w:t>
            </w:r>
          </w:p>
        </w:tc>
      </w:tr>
      <w:tr w:rsidR="00C02126" w:rsidRPr="00C02126" w14:paraId="0AF3C8C9" w14:textId="77777777" w:rsidTr="00934B71">
        <w:trPr>
          <w:trHeight w:val="57"/>
          <w:jc w:val="right"/>
        </w:trPr>
        <w:tc>
          <w:tcPr>
            <w:tcW w:w="2176" w:type="dxa"/>
            <w:vMerge w:val="restart"/>
          </w:tcPr>
          <w:p w14:paraId="72C365A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A. Technical guidelines</w:t>
            </w:r>
          </w:p>
        </w:tc>
        <w:tc>
          <w:tcPr>
            <w:tcW w:w="3234" w:type="dxa"/>
          </w:tcPr>
          <w:p w14:paraId="4D1F9E05" w14:textId="77777777" w:rsidR="00C02126" w:rsidRPr="00C02126" w:rsidRDefault="00C02126" w:rsidP="00934B71">
            <w:pPr>
              <w:widowControl w:val="0"/>
              <w:tabs>
                <w:tab w:val="left" w:pos="4082"/>
              </w:tabs>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1. </w:t>
            </w:r>
            <w:bookmarkStart w:id="2" w:name="_Hlk9583455"/>
            <w:r w:rsidRPr="00C02126">
              <w:rPr>
                <w:rFonts w:ascii="Times New Roman" w:hAnsi="Times New Roman" w:cs="Times New Roman"/>
                <w:sz w:val="18"/>
                <w:szCs w:val="18"/>
                <w:lang w:val="en-GB"/>
              </w:rPr>
              <w:t xml:space="preserve">Consider comments and information relating to </w:t>
            </w:r>
            <w:bookmarkEnd w:id="2"/>
            <w:r w:rsidRPr="00C02126">
              <w:rPr>
                <w:rFonts w:ascii="Times New Roman" w:hAnsi="Times New Roman" w:cs="Times New Roman"/>
                <w:sz w:val="18"/>
                <w:szCs w:val="18"/>
                <w:lang w:val="en-GB"/>
              </w:rPr>
              <w:t>the review of provisional low persistent organic pollutant content values in the general technical guidelines referred to in decision BC</w:t>
            </w:r>
            <w:r w:rsidRPr="00C02126">
              <w:rPr>
                <w:rFonts w:ascii="Times New Roman" w:hAnsi="Times New Roman" w:cs="Times New Roman"/>
                <w:sz w:val="18"/>
                <w:szCs w:val="18"/>
                <w:lang w:val="en-GB"/>
              </w:rPr>
              <w:noBreakHyphen/>
              <w:t>14/4 and other technical guidelines, as appropriate.</w:t>
            </w:r>
          </w:p>
        </w:tc>
        <w:tc>
          <w:tcPr>
            <w:tcW w:w="2026" w:type="dxa"/>
          </w:tcPr>
          <w:p w14:paraId="50FE047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BC-14/4</w:t>
            </w:r>
          </w:p>
        </w:tc>
        <w:tc>
          <w:tcPr>
            <w:tcW w:w="927" w:type="dxa"/>
          </w:tcPr>
          <w:p w14:paraId="3BFD996D"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5F13DF49" w14:textId="77777777" w:rsidTr="00934B71">
        <w:trPr>
          <w:trHeight w:val="57"/>
          <w:jc w:val="right"/>
        </w:trPr>
        <w:tc>
          <w:tcPr>
            <w:tcW w:w="2176" w:type="dxa"/>
            <w:vMerge/>
          </w:tcPr>
          <w:p w14:paraId="456A86DC" w14:textId="77777777" w:rsidR="00C02126" w:rsidRPr="00C02126" w:rsidRDefault="00C02126" w:rsidP="00934B71">
            <w:pPr>
              <w:widowControl w:val="0"/>
              <w:tabs>
                <w:tab w:val="left" w:pos="540"/>
                <w:tab w:val="left" w:pos="4082"/>
              </w:tabs>
              <w:spacing w:before="40" w:after="40"/>
              <w:ind w:left="57" w:right="57"/>
              <w:rPr>
                <w:rFonts w:ascii="Times New Roman" w:hAnsi="Times New Roman" w:cs="Times New Roman"/>
                <w:sz w:val="18"/>
                <w:szCs w:val="18"/>
                <w:lang w:val="en-GB"/>
              </w:rPr>
            </w:pPr>
          </w:p>
        </w:tc>
        <w:tc>
          <w:tcPr>
            <w:tcW w:w="3234" w:type="dxa"/>
          </w:tcPr>
          <w:p w14:paraId="22C47679" w14:textId="77777777" w:rsidR="00C02126" w:rsidRPr="00C02126" w:rsidRDefault="00C02126" w:rsidP="00934B71">
            <w:pPr>
              <w:widowControl w:val="0"/>
              <w:tabs>
                <w:tab w:val="left" w:pos="4082"/>
              </w:tabs>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2. Update the general technical guidelines for the environmentally sound management of wastes consisting of, containing or contaminated with persistent organic pollutants and update specific technical guidelines with regard to the chemicals listed in Annex A to the Stockholm Convention by decisions SC-9/11 and SC-9/12 of the Conference of the Parties to the Stockholm Convention and to the amendment, by decision SC-9/4, of the listing of </w:t>
            </w:r>
            <w:proofErr w:type="spellStart"/>
            <w:r w:rsidRPr="00C02126">
              <w:rPr>
                <w:rFonts w:ascii="Times New Roman" w:hAnsi="Times New Roman" w:cs="Times New Roman"/>
                <w:sz w:val="18"/>
                <w:szCs w:val="18"/>
                <w:lang w:val="en-GB"/>
              </w:rPr>
              <w:t>perfluorooctane</w:t>
            </w:r>
            <w:proofErr w:type="spellEnd"/>
            <w:r w:rsidRPr="00C02126">
              <w:rPr>
                <w:rFonts w:ascii="Times New Roman" w:hAnsi="Times New Roman" w:cs="Times New Roman"/>
                <w:sz w:val="18"/>
                <w:szCs w:val="18"/>
                <w:lang w:val="en-GB"/>
              </w:rPr>
              <w:t xml:space="preserve"> sulfonic acid (PFOS), its salts and </w:t>
            </w:r>
            <w:proofErr w:type="spellStart"/>
            <w:r w:rsidRPr="00C02126">
              <w:rPr>
                <w:rFonts w:ascii="Times New Roman" w:hAnsi="Times New Roman" w:cs="Times New Roman"/>
                <w:sz w:val="18"/>
                <w:szCs w:val="18"/>
                <w:lang w:val="en-GB"/>
              </w:rPr>
              <w:t>perfluorooctane</w:t>
            </w:r>
            <w:proofErr w:type="spellEnd"/>
            <w:r w:rsidRPr="00C02126">
              <w:rPr>
                <w:rFonts w:ascii="Times New Roman" w:hAnsi="Times New Roman" w:cs="Times New Roman"/>
                <w:sz w:val="18"/>
                <w:szCs w:val="18"/>
                <w:lang w:val="en-GB"/>
              </w:rPr>
              <w:t xml:space="preserve"> sulfonyl fluoride (PFOSF) in Annex B to the Stockholm Convention, including the following:</w:t>
            </w:r>
          </w:p>
          <w:p w14:paraId="6601BD8C" w14:textId="77777777" w:rsidR="00C02126" w:rsidRPr="00C02126" w:rsidRDefault="00C02126" w:rsidP="00C02126">
            <w:pPr>
              <w:keepNext/>
              <w:keepLines/>
              <w:widowControl w:val="0"/>
              <w:numPr>
                <w:ilvl w:val="0"/>
                <w:numId w:val="2"/>
              </w:numPr>
              <w:snapToGrid w:val="0"/>
              <w:spacing w:before="40" w:after="40" w:line="240" w:lineRule="auto"/>
              <w:ind w:left="57" w:right="57" w:firstLine="0"/>
              <w:rPr>
                <w:rFonts w:ascii="Times New Roman" w:eastAsia="Batang" w:hAnsi="Times New Roman" w:cs="Times New Roman"/>
                <w:sz w:val="18"/>
                <w:szCs w:val="18"/>
                <w:lang w:val="en-GB" w:eastAsia="ko-KR"/>
              </w:rPr>
            </w:pPr>
            <w:r w:rsidRPr="00C02126">
              <w:rPr>
                <w:rFonts w:ascii="Times New Roman" w:hAnsi="Times New Roman" w:cs="Times New Roman"/>
                <w:sz w:val="18"/>
                <w:szCs w:val="18"/>
                <w:lang w:val="en-GB"/>
              </w:rPr>
              <w:lastRenderedPageBreak/>
              <w:t xml:space="preserve">Establishment of levels of destruction and irreversible transformation for the chemicals necessary to ensure that when disposed of they do not exhibit the characteristics of persistent organic pollutants specified in paragraph 1 of Annex D to the Stockholm Convention; </w:t>
            </w:r>
          </w:p>
          <w:p w14:paraId="6BD18989" w14:textId="77777777" w:rsidR="00C02126" w:rsidRPr="00C02126" w:rsidRDefault="00C02126" w:rsidP="00C02126">
            <w:pPr>
              <w:keepNext/>
              <w:keepLines/>
              <w:widowControl w:val="0"/>
              <w:numPr>
                <w:ilvl w:val="0"/>
                <w:numId w:val="2"/>
              </w:numPr>
              <w:snapToGrid w:val="0"/>
              <w:spacing w:before="40" w:after="40" w:line="240" w:lineRule="auto"/>
              <w:ind w:left="57" w:right="57" w:firstLine="0"/>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Determination of which disposal methods constitute environmentally sound disposal as referred to in paragraph 1 (d) (ii) of Article 6 of the Stockholm Convention; </w:t>
            </w:r>
          </w:p>
          <w:p w14:paraId="60963944" w14:textId="77777777" w:rsidR="00C02126" w:rsidRPr="00C02126" w:rsidRDefault="00C02126" w:rsidP="00C02126">
            <w:pPr>
              <w:keepNext/>
              <w:keepLines/>
              <w:widowControl w:val="0"/>
              <w:numPr>
                <w:ilvl w:val="0"/>
                <w:numId w:val="2"/>
              </w:numPr>
              <w:snapToGrid w:val="0"/>
              <w:spacing w:before="40" w:after="40" w:line="240" w:lineRule="auto"/>
              <w:ind w:left="57" w:right="57" w:firstLine="0"/>
              <w:rPr>
                <w:rFonts w:ascii="Times New Roman" w:hAnsi="Times New Roman" w:cs="Times New Roman"/>
                <w:sz w:val="18"/>
                <w:szCs w:val="18"/>
                <w:lang w:val="en-GB"/>
              </w:rPr>
            </w:pPr>
            <w:r w:rsidRPr="00C02126">
              <w:rPr>
                <w:rFonts w:ascii="Times New Roman" w:hAnsi="Times New Roman" w:cs="Times New Roman"/>
                <w:sz w:val="18"/>
                <w:szCs w:val="18"/>
                <w:lang w:val="en-GB"/>
              </w:rPr>
              <w:t>Establishment, as appropriate, of the concentration levels of the chemicals in order to define for them low persistent organic pollutant content as referred to in paragraph 1 (d) (ii) of Article 6 of the Stockholm Convention.</w:t>
            </w:r>
          </w:p>
        </w:tc>
        <w:tc>
          <w:tcPr>
            <w:tcW w:w="2026" w:type="dxa"/>
          </w:tcPr>
          <w:p w14:paraId="7E1FC02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lastRenderedPageBreak/>
              <w:t>Decision BC-14/4</w:t>
            </w:r>
          </w:p>
        </w:tc>
        <w:tc>
          <w:tcPr>
            <w:tcW w:w="927" w:type="dxa"/>
          </w:tcPr>
          <w:p w14:paraId="231B082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4A78FAEA" w14:textId="77777777" w:rsidTr="00934B71">
        <w:trPr>
          <w:trHeight w:val="57"/>
          <w:jc w:val="right"/>
        </w:trPr>
        <w:tc>
          <w:tcPr>
            <w:tcW w:w="2176" w:type="dxa"/>
          </w:tcPr>
          <w:p w14:paraId="1869D2A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tc>
        <w:tc>
          <w:tcPr>
            <w:tcW w:w="3234" w:type="dxa"/>
          </w:tcPr>
          <w:p w14:paraId="2EC42AEA"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3. Consider comments and information relating to the use and testing, on a pilot basis, of the technical guidelines on transboundary movements of electrical and electronic waste and used electrical and electronic equipment, and the results of these activities.</w:t>
            </w:r>
          </w:p>
          <w:p w14:paraId="36AF1459"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4. Consider the draft updated technical guidelines on incineration on land (D10) with an extended scope to also address incineration as covered by the operation “use as a fuel (other than in direct incineration) or other means to generate energy” (R1), and the draft updated technical guidelines on specially engineered landfill (D5). </w:t>
            </w:r>
          </w:p>
        </w:tc>
        <w:tc>
          <w:tcPr>
            <w:tcW w:w="2026" w:type="dxa"/>
          </w:tcPr>
          <w:p w14:paraId="75AC5CC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BC-14/5</w:t>
            </w:r>
          </w:p>
          <w:p w14:paraId="7070B601"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F0331AF"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895E10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8E6132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D79513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22DEF4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BC-14/6</w:t>
            </w:r>
          </w:p>
        </w:tc>
        <w:tc>
          <w:tcPr>
            <w:tcW w:w="927" w:type="dxa"/>
          </w:tcPr>
          <w:p w14:paraId="7741E630"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p w14:paraId="3628A66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08413F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75FF733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3F45940"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3010DCB8"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1F04AF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67E22A43" w14:textId="77777777" w:rsidTr="00934B71">
        <w:trPr>
          <w:trHeight w:val="57"/>
          <w:jc w:val="right"/>
        </w:trPr>
        <w:tc>
          <w:tcPr>
            <w:tcW w:w="2176" w:type="dxa"/>
          </w:tcPr>
          <w:p w14:paraId="1E3EAF4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tc>
        <w:tc>
          <w:tcPr>
            <w:tcW w:w="3234" w:type="dxa"/>
          </w:tcPr>
          <w:p w14:paraId="65D759E9"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5. Consider whether the draft updated technical guidelines on hazardous waste </w:t>
            </w:r>
            <w:proofErr w:type="spellStart"/>
            <w:r w:rsidRPr="00C02126">
              <w:rPr>
                <w:rFonts w:ascii="Times New Roman" w:hAnsi="Times New Roman" w:cs="Times New Roman"/>
                <w:sz w:val="18"/>
                <w:szCs w:val="18"/>
                <w:lang w:val="en-GB"/>
              </w:rPr>
              <w:t>physico</w:t>
            </w:r>
            <w:proofErr w:type="spellEnd"/>
            <w:r w:rsidRPr="00C02126">
              <w:rPr>
                <w:rFonts w:ascii="Times New Roman" w:hAnsi="Times New Roman" w:cs="Times New Roman"/>
                <w:sz w:val="18"/>
                <w:szCs w:val="18"/>
                <w:lang w:val="en-GB"/>
              </w:rPr>
              <w:t>-chemical treatment (D9) and biological treatment (D8) should be updated.</w:t>
            </w:r>
          </w:p>
          <w:p w14:paraId="11A12A0C"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6. </w:t>
            </w:r>
            <w:bookmarkStart w:id="3" w:name="_Hlk9583734"/>
            <w:r w:rsidRPr="00C02126">
              <w:rPr>
                <w:rFonts w:ascii="Times New Roman" w:hAnsi="Times New Roman" w:cs="Times New Roman"/>
                <w:sz w:val="18"/>
                <w:szCs w:val="18"/>
                <w:lang w:val="en-GB"/>
              </w:rPr>
              <w:t xml:space="preserve">Consider the draft updated technical guidelines </w:t>
            </w:r>
            <w:bookmarkEnd w:id="3"/>
            <w:r w:rsidRPr="00C02126">
              <w:rPr>
                <w:rFonts w:ascii="Times New Roman" w:hAnsi="Times New Roman" w:cs="Times New Roman"/>
                <w:sz w:val="18"/>
                <w:szCs w:val="18"/>
                <w:lang w:val="en-GB"/>
              </w:rPr>
              <w:t>on the environmentally sound management of wastes consisting of, containing or contaminated with mercury or mercury compounds.</w:t>
            </w:r>
          </w:p>
          <w:p w14:paraId="6ED6BF23"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7. Consider whether the technical guidelines for the environmentally sound management of waste lead-acid batteries referred to in decision VI/22 should be updated.</w:t>
            </w:r>
          </w:p>
          <w:p w14:paraId="3F6F8512"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8. Consider the draft updated technical guidelines for the identification and environmentally sound management of plastic wastes and for their disposal.</w:t>
            </w:r>
          </w:p>
        </w:tc>
        <w:tc>
          <w:tcPr>
            <w:tcW w:w="2026" w:type="dxa"/>
          </w:tcPr>
          <w:p w14:paraId="3450D7FC"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OEWG-11/15</w:t>
            </w:r>
          </w:p>
          <w:p w14:paraId="1C7AAD3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95432E8"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E31C7E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76CE7F52"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AF7528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BC-14/8</w:t>
            </w:r>
          </w:p>
          <w:p w14:paraId="2D266BC0"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360062B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7D7E8A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1048D1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BC-14/7</w:t>
            </w:r>
          </w:p>
          <w:p w14:paraId="66A6211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0E5173B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5D0D19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705DB8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BC-14/13</w:t>
            </w:r>
          </w:p>
        </w:tc>
        <w:tc>
          <w:tcPr>
            <w:tcW w:w="927" w:type="dxa"/>
          </w:tcPr>
          <w:p w14:paraId="56C3E16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Medium</w:t>
            </w:r>
          </w:p>
          <w:p w14:paraId="33AADC9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3CDDAB8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F0B357D"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0C0FBA28"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265376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p w14:paraId="100BE821"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33D4EED0"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0ADA7D9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7B104C5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Medium</w:t>
            </w:r>
          </w:p>
          <w:p w14:paraId="3B4D7A9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66432A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CF7A43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73643F6D"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7CF93A75" w14:textId="77777777" w:rsidTr="00934B71">
        <w:trPr>
          <w:trHeight w:val="57"/>
          <w:jc w:val="right"/>
        </w:trPr>
        <w:tc>
          <w:tcPr>
            <w:tcW w:w="2176" w:type="dxa"/>
          </w:tcPr>
          <w:p w14:paraId="6A7C3B4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B. National reporting </w:t>
            </w:r>
          </w:p>
        </w:tc>
        <w:tc>
          <w:tcPr>
            <w:tcW w:w="3234" w:type="dxa"/>
          </w:tcPr>
          <w:p w14:paraId="3AFC1FE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Consider the draft practical guidance on the development of inventories for </w:t>
            </w:r>
            <w:r w:rsidRPr="00C02126">
              <w:rPr>
                <w:rFonts w:ascii="Times New Roman" w:hAnsi="Times New Roman" w:cs="Times New Roman"/>
                <w:sz w:val="18"/>
                <w:szCs w:val="18"/>
                <w:lang w:val="en-GB"/>
              </w:rPr>
              <w:lastRenderedPageBreak/>
              <w:t>the waste streams as set out in decision BC</w:t>
            </w:r>
            <w:r w:rsidRPr="00C02126">
              <w:rPr>
                <w:rFonts w:ascii="Times New Roman" w:hAnsi="Times New Roman" w:cs="Times New Roman"/>
                <w:sz w:val="18"/>
                <w:szCs w:val="18"/>
                <w:lang w:val="en-GB"/>
              </w:rPr>
              <w:noBreakHyphen/>
              <w:t>14/10.</w:t>
            </w:r>
          </w:p>
        </w:tc>
        <w:tc>
          <w:tcPr>
            <w:tcW w:w="2026" w:type="dxa"/>
          </w:tcPr>
          <w:p w14:paraId="75612228"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lastRenderedPageBreak/>
              <w:t>Decision BC-14/10</w:t>
            </w:r>
          </w:p>
        </w:tc>
        <w:tc>
          <w:tcPr>
            <w:tcW w:w="927" w:type="dxa"/>
          </w:tcPr>
          <w:p w14:paraId="2A6843A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018E9498" w14:textId="77777777" w:rsidTr="00934B71">
        <w:trPr>
          <w:trHeight w:val="57"/>
          <w:jc w:val="right"/>
        </w:trPr>
        <w:tc>
          <w:tcPr>
            <w:tcW w:w="2176" w:type="dxa"/>
            <w:hideMark/>
          </w:tcPr>
          <w:p w14:paraId="004488F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C. Electronic approaches to the notification and movement documents</w:t>
            </w:r>
          </w:p>
        </w:tc>
        <w:tc>
          <w:tcPr>
            <w:tcW w:w="3234" w:type="dxa"/>
            <w:hideMark/>
          </w:tcPr>
          <w:p w14:paraId="6046A23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Consider progress made on the activities pertaining to an electronic system for the notification and movement of hazardous and other wastes, set out in decision BC-14/11.</w:t>
            </w:r>
          </w:p>
        </w:tc>
        <w:tc>
          <w:tcPr>
            <w:tcW w:w="2026" w:type="dxa"/>
            <w:hideMark/>
          </w:tcPr>
          <w:p w14:paraId="10CA5DA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BC-14/11</w:t>
            </w:r>
          </w:p>
        </w:tc>
        <w:tc>
          <w:tcPr>
            <w:tcW w:w="927" w:type="dxa"/>
            <w:hideMark/>
          </w:tcPr>
          <w:p w14:paraId="3E774B3F"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Medium</w:t>
            </w:r>
          </w:p>
        </w:tc>
      </w:tr>
      <w:tr w:rsidR="00C02126" w:rsidRPr="00C02126" w14:paraId="51A371FE" w14:textId="77777777" w:rsidTr="00934B71">
        <w:trPr>
          <w:trHeight w:val="57"/>
          <w:jc w:val="right"/>
        </w:trPr>
        <w:tc>
          <w:tcPr>
            <w:tcW w:w="2176" w:type="dxa"/>
            <w:hideMark/>
          </w:tcPr>
          <w:p w14:paraId="55E7437D"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 Plastic waste</w:t>
            </w:r>
          </w:p>
        </w:tc>
        <w:tc>
          <w:tcPr>
            <w:tcW w:w="3234" w:type="dxa"/>
            <w:hideMark/>
          </w:tcPr>
          <w:p w14:paraId="2414FC10" w14:textId="77777777" w:rsidR="00C02126" w:rsidRPr="00C02126" w:rsidRDefault="00C02126" w:rsidP="00934B71">
            <w:pPr>
              <w:keepNext/>
              <w:keepLines/>
              <w:widowControl w:val="0"/>
              <w:tabs>
                <w:tab w:val="left" w:pos="4082"/>
              </w:tabs>
              <w:spacing w:before="40" w:after="40"/>
              <w:ind w:left="57" w:right="57"/>
              <w:rPr>
                <w:rFonts w:ascii="Times New Roman" w:eastAsia="Batang" w:hAnsi="Times New Roman" w:cs="Times New Roman"/>
                <w:color w:val="000000"/>
                <w:sz w:val="18"/>
                <w:szCs w:val="18"/>
                <w:lang w:val="en-GB" w:eastAsia="ko-KR"/>
              </w:rPr>
            </w:pPr>
            <w:r w:rsidRPr="00C02126">
              <w:rPr>
                <w:rFonts w:ascii="Times New Roman" w:eastAsia="Batang" w:hAnsi="Times New Roman" w:cs="Times New Roman"/>
                <w:color w:val="000000"/>
                <w:sz w:val="18"/>
                <w:szCs w:val="18"/>
                <w:lang w:val="en-GB" w:eastAsia="ko-KR"/>
              </w:rPr>
              <w:t>1. Consider whether, how and when the Conference of the Parties should assess the effectiveness of the measures taken under the Convention to address the plastic waste contributing to marine plastic litter and microplastics.</w:t>
            </w:r>
          </w:p>
          <w:p w14:paraId="5416B519" w14:textId="77777777" w:rsidR="00C02126" w:rsidRPr="00C02126" w:rsidRDefault="00C02126" w:rsidP="00934B71">
            <w:pPr>
              <w:keepNext/>
              <w:keepLines/>
              <w:widowControl w:val="0"/>
              <w:tabs>
                <w:tab w:val="left" w:pos="4082"/>
              </w:tabs>
              <w:spacing w:before="40" w:after="40"/>
              <w:ind w:left="57" w:right="57"/>
              <w:rPr>
                <w:rFonts w:ascii="Times New Roman" w:eastAsia="Batang" w:hAnsi="Times New Roman" w:cs="Times New Roman"/>
                <w:color w:val="000000"/>
                <w:sz w:val="18"/>
                <w:szCs w:val="18"/>
                <w:lang w:val="en-GB" w:eastAsia="ko-KR"/>
              </w:rPr>
            </w:pPr>
            <w:r w:rsidRPr="00C02126">
              <w:rPr>
                <w:rFonts w:ascii="Times New Roman" w:eastAsia="Batang" w:hAnsi="Times New Roman" w:cs="Times New Roman"/>
                <w:color w:val="000000"/>
                <w:sz w:val="18"/>
                <w:szCs w:val="18"/>
                <w:lang w:val="en-GB" w:eastAsia="ko-KR"/>
              </w:rPr>
              <w:t>2. Consider which further activities could possibly be conducted under the Convention in response to developments in scientific knowledge and environmental information related to plastic waste as a source of land pollution, marine plastic litter and microplastics.</w:t>
            </w:r>
          </w:p>
        </w:tc>
        <w:tc>
          <w:tcPr>
            <w:tcW w:w="2026" w:type="dxa"/>
            <w:hideMark/>
          </w:tcPr>
          <w:p w14:paraId="062E5E45"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BC-14/13</w:t>
            </w:r>
          </w:p>
          <w:p w14:paraId="3BE33CE8"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p>
          <w:p w14:paraId="17A460D5"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p>
          <w:p w14:paraId="182388F9"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p>
          <w:p w14:paraId="264A77C6"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p>
          <w:p w14:paraId="11E1AD11"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BC-14/13</w:t>
            </w:r>
          </w:p>
        </w:tc>
        <w:tc>
          <w:tcPr>
            <w:tcW w:w="927" w:type="dxa"/>
            <w:hideMark/>
          </w:tcPr>
          <w:p w14:paraId="19B91941" w14:textId="77777777" w:rsidR="00C02126" w:rsidRPr="00C02126" w:rsidRDefault="00C02126" w:rsidP="00934B71">
            <w:pPr>
              <w:keepNext/>
              <w:keepLines/>
              <w:widowControl w:val="0"/>
              <w:tabs>
                <w:tab w:val="left" w:pos="4082"/>
              </w:tabs>
              <w:spacing w:before="40" w:after="40"/>
              <w:ind w:left="57" w:right="57"/>
              <w:rPr>
                <w:rFonts w:ascii="Times New Roman" w:eastAsia="Batang" w:hAnsi="Times New Roman" w:cs="Times New Roman"/>
                <w:sz w:val="18"/>
                <w:szCs w:val="18"/>
                <w:lang w:val="en-GB" w:eastAsia="ko-KR"/>
              </w:rPr>
            </w:pPr>
            <w:r w:rsidRPr="00C02126">
              <w:rPr>
                <w:rFonts w:ascii="Times New Roman" w:eastAsia="Batang" w:hAnsi="Times New Roman" w:cs="Times New Roman"/>
                <w:sz w:val="18"/>
                <w:szCs w:val="18"/>
                <w:lang w:val="en-GB" w:eastAsia="ko-KR"/>
              </w:rPr>
              <w:t>High</w:t>
            </w:r>
          </w:p>
          <w:p w14:paraId="6D0A8F4E" w14:textId="77777777" w:rsidR="00C02126" w:rsidRPr="00C02126" w:rsidRDefault="00C02126" w:rsidP="00934B71">
            <w:pPr>
              <w:keepNext/>
              <w:keepLines/>
              <w:widowControl w:val="0"/>
              <w:tabs>
                <w:tab w:val="left" w:pos="4082"/>
              </w:tabs>
              <w:spacing w:before="40" w:after="40"/>
              <w:ind w:left="57" w:right="57"/>
              <w:rPr>
                <w:rFonts w:ascii="Times New Roman" w:eastAsia="Batang" w:hAnsi="Times New Roman" w:cs="Times New Roman"/>
                <w:sz w:val="18"/>
                <w:szCs w:val="18"/>
                <w:lang w:val="en-GB" w:eastAsia="ko-KR"/>
              </w:rPr>
            </w:pPr>
          </w:p>
          <w:p w14:paraId="4928821F" w14:textId="77777777" w:rsidR="00C02126" w:rsidRPr="00C02126" w:rsidRDefault="00C02126" w:rsidP="00934B71">
            <w:pPr>
              <w:keepNext/>
              <w:keepLines/>
              <w:widowControl w:val="0"/>
              <w:tabs>
                <w:tab w:val="left" w:pos="4082"/>
              </w:tabs>
              <w:spacing w:before="40" w:after="40"/>
              <w:ind w:left="57" w:right="57"/>
              <w:rPr>
                <w:rFonts w:ascii="Times New Roman" w:eastAsia="Batang" w:hAnsi="Times New Roman" w:cs="Times New Roman"/>
                <w:sz w:val="18"/>
                <w:szCs w:val="18"/>
                <w:lang w:val="en-GB" w:eastAsia="ko-KR"/>
              </w:rPr>
            </w:pPr>
          </w:p>
          <w:p w14:paraId="3214B08F" w14:textId="77777777" w:rsidR="00C02126" w:rsidRPr="00C02126" w:rsidRDefault="00C02126" w:rsidP="00934B71">
            <w:pPr>
              <w:keepNext/>
              <w:keepLines/>
              <w:widowControl w:val="0"/>
              <w:tabs>
                <w:tab w:val="left" w:pos="4082"/>
              </w:tabs>
              <w:spacing w:before="40" w:after="40"/>
              <w:ind w:left="57" w:right="57"/>
              <w:rPr>
                <w:rFonts w:ascii="Times New Roman" w:eastAsia="Batang" w:hAnsi="Times New Roman" w:cs="Times New Roman"/>
                <w:sz w:val="18"/>
                <w:szCs w:val="18"/>
                <w:lang w:val="en-GB" w:eastAsia="ko-KR"/>
              </w:rPr>
            </w:pPr>
          </w:p>
          <w:p w14:paraId="5EC63ADC" w14:textId="77777777" w:rsidR="00C02126" w:rsidRPr="00C02126" w:rsidRDefault="00C02126" w:rsidP="00934B71">
            <w:pPr>
              <w:keepNext/>
              <w:keepLines/>
              <w:widowControl w:val="0"/>
              <w:tabs>
                <w:tab w:val="left" w:pos="4082"/>
              </w:tabs>
              <w:spacing w:before="40" w:after="40"/>
              <w:ind w:left="57" w:right="57"/>
              <w:rPr>
                <w:rFonts w:ascii="Times New Roman" w:eastAsia="Batang" w:hAnsi="Times New Roman" w:cs="Times New Roman"/>
                <w:sz w:val="18"/>
                <w:szCs w:val="18"/>
                <w:lang w:val="en-GB" w:eastAsia="ko-KR"/>
              </w:rPr>
            </w:pPr>
          </w:p>
          <w:p w14:paraId="75CCECC0" w14:textId="77777777" w:rsidR="00C02126" w:rsidRPr="00C02126" w:rsidRDefault="00C02126" w:rsidP="00934B71">
            <w:pPr>
              <w:keepNext/>
              <w:keepLines/>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eastAsia="Batang" w:hAnsi="Times New Roman" w:cs="Times New Roman"/>
                <w:sz w:val="18"/>
                <w:szCs w:val="18"/>
                <w:lang w:val="en-GB" w:eastAsia="ko-KR"/>
              </w:rPr>
              <w:t>High</w:t>
            </w:r>
          </w:p>
        </w:tc>
      </w:tr>
      <w:tr w:rsidR="00C02126" w:rsidRPr="00C02126" w14:paraId="1D2E7790" w14:textId="77777777" w:rsidTr="00934B71">
        <w:trPr>
          <w:trHeight w:val="57"/>
          <w:jc w:val="right"/>
        </w:trPr>
        <w:tc>
          <w:tcPr>
            <w:tcW w:w="2176" w:type="dxa"/>
            <w:hideMark/>
          </w:tcPr>
          <w:p w14:paraId="0658FB0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E. Waste containing nanomaterials </w:t>
            </w:r>
          </w:p>
        </w:tc>
        <w:tc>
          <w:tcPr>
            <w:tcW w:w="3234" w:type="dxa"/>
            <w:hideMark/>
          </w:tcPr>
          <w:p w14:paraId="1EA25E7C"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Consider information related to activities aimed at addressing issues related to waste containing nanomaterials.</w:t>
            </w:r>
          </w:p>
        </w:tc>
        <w:tc>
          <w:tcPr>
            <w:tcW w:w="2026" w:type="dxa"/>
            <w:hideMark/>
          </w:tcPr>
          <w:p w14:paraId="560F7DF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BC-14/14</w:t>
            </w:r>
          </w:p>
        </w:tc>
        <w:tc>
          <w:tcPr>
            <w:tcW w:w="927" w:type="dxa"/>
            <w:hideMark/>
          </w:tcPr>
          <w:p w14:paraId="2B6001B6" w14:textId="77777777" w:rsidR="00C02126" w:rsidRPr="00C02126" w:rsidRDefault="00C02126" w:rsidP="00934B71">
            <w:pPr>
              <w:widowControl w:val="0"/>
              <w:tabs>
                <w:tab w:val="left" w:pos="4082"/>
              </w:tabs>
              <w:spacing w:before="40" w:after="40"/>
              <w:ind w:left="57" w:right="57"/>
              <w:rPr>
                <w:rFonts w:ascii="Times New Roman" w:eastAsia="Batang" w:hAnsi="Times New Roman" w:cs="Times New Roman"/>
                <w:sz w:val="18"/>
                <w:szCs w:val="18"/>
                <w:lang w:val="en-GB" w:eastAsia="ko-KR"/>
              </w:rPr>
            </w:pPr>
            <w:r w:rsidRPr="00C02126">
              <w:rPr>
                <w:rFonts w:ascii="Times New Roman" w:hAnsi="Times New Roman" w:cs="Times New Roman"/>
                <w:sz w:val="18"/>
                <w:szCs w:val="18"/>
                <w:lang w:val="en-GB"/>
              </w:rPr>
              <w:t>Medium</w:t>
            </w:r>
          </w:p>
        </w:tc>
      </w:tr>
      <w:tr w:rsidR="00C02126" w:rsidRPr="00C02126" w14:paraId="4BECBE8F" w14:textId="77777777" w:rsidTr="00934B71">
        <w:trPr>
          <w:trHeight w:val="57"/>
          <w:jc w:val="right"/>
        </w:trPr>
        <w:tc>
          <w:tcPr>
            <w:tcW w:w="2176" w:type="dxa"/>
          </w:tcPr>
          <w:p w14:paraId="1AAD9DFD"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F. Amendments to the annexes to the Basel Convention</w:t>
            </w:r>
          </w:p>
        </w:tc>
        <w:tc>
          <w:tcPr>
            <w:tcW w:w="3234" w:type="dxa"/>
          </w:tcPr>
          <w:p w14:paraId="1192C21D" w14:textId="77777777" w:rsidR="00C02126" w:rsidRPr="00C02126" w:rsidRDefault="00C02126" w:rsidP="00934B71">
            <w:pPr>
              <w:widowControl w:val="0"/>
              <w:snapToGrid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Consider and review any applications for changes and any corrections to the lists of wastes contained in Annexes VIII and IX to the Basel Convention.</w:t>
            </w:r>
          </w:p>
        </w:tc>
        <w:tc>
          <w:tcPr>
            <w:tcW w:w="2026" w:type="dxa"/>
          </w:tcPr>
          <w:p w14:paraId="462D85C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VIII/15</w:t>
            </w:r>
          </w:p>
        </w:tc>
        <w:tc>
          <w:tcPr>
            <w:tcW w:w="927" w:type="dxa"/>
          </w:tcPr>
          <w:p w14:paraId="5B72532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3267660B" w14:textId="77777777" w:rsidTr="00934B71">
        <w:trPr>
          <w:trHeight w:val="57"/>
          <w:jc w:val="right"/>
        </w:trPr>
        <w:tc>
          <w:tcPr>
            <w:tcW w:w="8363" w:type="dxa"/>
            <w:gridSpan w:val="4"/>
            <w:hideMark/>
          </w:tcPr>
          <w:p w14:paraId="5457410D" w14:textId="77777777" w:rsidR="00C02126" w:rsidRPr="00C02126" w:rsidRDefault="00C02126" w:rsidP="00934B71">
            <w:pPr>
              <w:widowControl w:val="0"/>
              <w:tabs>
                <w:tab w:val="left" w:pos="540"/>
                <w:tab w:val="left" w:pos="4082"/>
              </w:tabs>
              <w:spacing w:before="40" w:after="40"/>
              <w:ind w:left="57" w:right="57"/>
              <w:rPr>
                <w:rFonts w:ascii="Times New Roman" w:hAnsi="Times New Roman" w:cs="Times New Roman"/>
                <w:b/>
                <w:i/>
                <w:iCs/>
                <w:sz w:val="18"/>
                <w:szCs w:val="18"/>
                <w:lang w:val="en-GB"/>
              </w:rPr>
            </w:pPr>
            <w:r w:rsidRPr="00C02126">
              <w:rPr>
                <w:rFonts w:ascii="Times New Roman" w:hAnsi="Times New Roman" w:cs="Times New Roman"/>
                <w:b/>
                <w:sz w:val="18"/>
                <w:szCs w:val="18"/>
                <w:lang w:val="en-GB"/>
              </w:rPr>
              <w:t xml:space="preserve">III. Legal, governance and enforcement matters </w:t>
            </w:r>
          </w:p>
        </w:tc>
      </w:tr>
      <w:tr w:rsidR="00C02126" w:rsidRPr="00C02126" w14:paraId="73ED712D" w14:textId="77777777" w:rsidTr="00934B71">
        <w:trPr>
          <w:trHeight w:val="57"/>
          <w:jc w:val="right"/>
        </w:trPr>
        <w:tc>
          <w:tcPr>
            <w:tcW w:w="2176" w:type="dxa"/>
            <w:hideMark/>
          </w:tcPr>
          <w:p w14:paraId="43C27110"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A. Consultation with the Committee Administering the Mechanism for Promoting Implementation and Compliance</w:t>
            </w:r>
          </w:p>
        </w:tc>
        <w:tc>
          <w:tcPr>
            <w:tcW w:w="3234" w:type="dxa"/>
            <w:hideMark/>
          </w:tcPr>
          <w:p w14:paraId="15784E14" w14:textId="77777777" w:rsidR="00C02126" w:rsidRPr="00C02126" w:rsidRDefault="00C02126" w:rsidP="00934B71">
            <w:pPr>
              <w:spacing w:before="40" w:after="40"/>
              <w:ind w:left="57" w:right="57"/>
              <w:rPr>
                <w:rFonts w:ascii="Times New Roman" w:eastAsia="Batang" w:hAnsi="Times New Roman" w:cs="Times New Roman"/>
                <w:color w:val="000000"/>
                <w:sz w:val="18"/>
                <w:szCs w:val="18"/>
                <w:lang w:val="en-GB" w:eastAsia="ko-KR"/>
              </w:rPr>
            </w:pPr>
            <w:r w:rsidRPr="00C02126">
              <w:rPr>
                <w:rFonts w:ascii="Times New Roman" w:eastAsia="Batang" w:hAnsi="Times New Roman" w:cs="Times New Roman"/>
                <w:color w:val="000000"/>
                <w:sz w:val="18"/>
                <w:szCs w:val="18"/>
                <w:lang w:val="en-GB" w:eastAsia="ko-KR"/>
              </w:rPr>
              <w:t xml:space="preserve">1. Consult with the Committee towards the finalization of the </w:t>
            </w:r>
            <w:r w:rsidRPr="00C02126">
              <w:rPr>
                <w:rFonts w:ascii="Times New Roman" w:hAnsi="Times New Roman" w:cs="Times New Roman"/>
                <w:sz w:val="18"/>
                <w:szCs w:val="18"/>
                <w:lang w:val="en-GB"/>
              </w:rPr>
              <w:t>guidance to improve the implementation of paragraph 11 of Article 6 of the Convention, on insurance, bond and guarantee.</w:t>
            </w:r>
            <w:r w:rsidRPr="00C02126">
              <w:rPr>
                <w:rFonts w:ascii="Times New Roman" w:hAnsi="Times New Roman" w:cs="Times New Roman"/>
                <w:sz w:val="18"/>
                <w:vertAlign w:val="superscript"/>
                <w:lang w:val="en-GB"/>
              </w:rPr>
              <w:footnoteReference w:id="1"/>
            </w:r>
            <w:r w:rsidRPr="00C02126">
              <w:rPr>
                <w:rFonts w:ascii="Times New Roman" w:hAnsi="Times New Roman" w:cs="Times New Roman"/>
                <w:sz w:val="18"/>
                <w:szCs w:val="18"/>
                <w:lang w:val="en-GB"/>
              </w:rPr>
              <w:t xml:space="preserve"> </w:t>
            </w:r>
          </w:p>
          <w:p w14:paraId="435811E2" w14:textId="77777777" w:rsidR="00C02126" w:rsidRPr="00C02126" w:rsidRDefault="00C02126" w:rsidP="00934B71">
            <w:pPr>
              <w:spacing w:before="40" w:after="40"/>
              <w:ind w:left="57" w:right="57"/>
              <w:rPr>
                <w:rFonts w:ascii="Times New Roman" w:eastAsia="Batang" w:hAnsi="Times New Roman" w:cs="Times New Roman"/>
                <w:color w:val="000000"/>
                <w:sz w:val="18"/>
                <w:szCs w:val="18"/>
                <w:lang w:val="en-GB"/>
              </w:rPr>
            </w:pPr>
            <w:r w:rsidRPr="00C02126">
              <w:rPr>
                <w:rFonts w:ascii="Times New Roman" w:hAnsi="Times New Roman" w:cs="Times New Roman"/>
                <w:sz w:val="18"/>
                <w:szCs w:val="18"/>
                <w:lang w:val="en-GB" w:eastAsia="ar-SA"/>
              </w:rPr>
              <w:t>2. Consult with the Committee towards the finalization of guidance on the implementation of paragraph 4 of Article 6 of the Convention on transit transboundary movements.</w:t>
            </w:r>
            <w:r w:rsidRPr="00C02126">
              <w:rPr>
                <w:rFonts w:ascii="Times New Roman" w:hAnsi="Times New Roman" w:cs="Times New Roman"/>
                <w:sz w:val="18"/>
                <w:vertAlign w:val="superscript"/>
                <w:lang w:val="en-GB" w:eastAsia="ar-SA"/>
              </w:rPr>
              <w:footnoteReference w:id="2"/>
            </w:r>
            <w:r w:rsidRPr="00C02126">
              <w:rPr>
                <w:rFonts w:ascii="Times New Roman" w:hAnsi="Times New Roman" w:cs="Times New Roman"/>
                <w:sz w:val="18"/>
                <w:szCs w:val="18"/>
                <w:lang w:val="en-GB" w:eastAsia="ar-SA"/>
              </w:rPr>
              <w:t xml:space="preserve"> </w:t>
            </w:r>
          </w:p>
        </w:tc>
        <w:tc>
          <w:tcPr>
            <w:tcW w:w="2026" w:type="dxa"/>
          </w:tcPr>
          <w:p w14:paraId="24B2E2EB"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BC-14/15</w:t>
            </w:r>
          </w:p>
          <w:p w14:paraId="7DB826B6"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1CB2100D"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761E86FB"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0C2D373C"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BC-14/15</w:t>
            </w:r>
          </w:p>
        </w:tc>
        <w:tc>
          <w:tcPr>
            <w:tcW w:w="927" w:type="dxa"/>
            <w:hideMark/>
          </w:tcPr>
          <w:p w14:paraId="3DACA99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p w14:paraId="23F24FC2"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1EA99C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01A01A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0BED490"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6B82C6DD" w14:textId="77777777" w:rsidTr="00934B71">
        <w:trPr>
          <w:trHeight w:val="57"/>
          <w:jc w:val="right"/>
        </w:trPr>
        <w:tc>
          <w:tcPr>
            <w:tcW w:w="2176" w:type="dxa"/>
          </w:tcPr>
          <w:p w14:paraId="771BB58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B. Providing further legal clarity </w:t>
            </w:r>
          </w:p>
        </w:tc>
        <w:tc>
          <w:tcPr>
            <w:tcW w:w="3234" w:type="dxa"/>
          </w:tcPr>
          <w:p w14:paraId="7D0F97FD" w14:textId="77777777" w:rsidR="00C02126" w:rsidRPr="00C02126" w:rsidRDefault="00C02126" w:rsidP="00934B71">
            <w:pPr>
              <w:spacing w:before="40" w:after="40"/>
              <w:ind w:left="57" w:right="57"/>
              <w:rPr>
                <w:rFonts w:ascii="Times New Roman" w:hAnsi="Times New Roman" w:cs="Times New Roman"/>
                <w:sz w:val="18"/>
                <w:szCs w:val="18"/>
                <w:lang w:val="en-GB"/>
              </w:rPr>
            </w:pPr>
            <w:r w:rsidRPr="00C02126">
              <w:rPr>
                <w:rFonts w:ascii="Times New Roman" w:hAnsi="Times New Roman" w:cs="Times New Roman"/>
                <w:color w:val="000000"/>
                <w:sz w:val="18"/>
                <w:szCs w:val="18"/>
                <w:lang w:val="en-GB"/>
              </w:rPr>
              <w:t xml:space="preserve">1. </w:t>
            </w:r>
            <w:r w:rsidRPr="00C02126">
              <w:rPr>
                <w:rFonts w:ascii="Times New Roman" w:hAnsi="Times New Roman" w:cs="Times New Roman"/>
                <w:iCs/>
                <w:sz w:val="18"/>
                <w:szCs w:val="18"/>
                <w:lang w:val="en-GB"/>
              </w:rPr>
              <w:t xml:space="preserve">Consider </w:t>
            </w:r>
            <w:r w:rsidRPr="00C02126">
              <w:rPr>
                <w:rFonts w:ascii="Times New Roman" w:hAnsi="Times New Roman" w:cs="Times New Roman"/>
                <w:bCs/>
                <w:iCs/>
                <w:sz w:val="18"/>
                <w:szCs w:val="18"/>
                <w:lang w:val="en-GB"/>
              </w:rPr>
              <w:t xml:space="preserve">the proposals for amendments to </w:t>
            </w:r>
            <w:r w:rsidRPr="00C02126">
              <w:rPr>
                <w:rFonts w:ascii="Times New Roman" w:hAnsi="Times New Roman" w:cs="Times New Roman"/>
                <w:iCs/>
                <w:sz w:val="18"/>
                <w:szCs w:val="18"/>
                <w:lang w:val="en-GB"/>
              </w:rPr>
              <w:t xml:space="preserve">annexes IV, VIII (A1180) and IX (B1110) </w:t>
            </w:r>
            <w:r w:rsidRPr="00C02126">
              <w:rPr>
                <w:rFonts w:ascii="Times New Roman" w:hAnsi="Times New Roman" w:cs="Times New Roman"/>
                <w:bCs/>
                <w:iCs/>
                <w:sz w:val="18"/>
                <w:szCs w:val="18"/>
                <w:lang w:val="en-GB"/>
              </w:rPr>
              <w:t xml:space="preserve">prepared by </w:t>
            </w:r>
            <w:r w:rsidRPr="00C02126">
              <w:rPr>
                <w:rFonts w:ascii="Times New Roman" w:hAnsi="Times New Roman" w:cs="Times New Roman"/>
                <w:sz w:val="18"/>
                <w:szCs w:val="18"/>
                <w:lang w:val="en-GB"/>
              </w:rPr>
              <w:t xml:space="preserve">the </w:t>
            </w:r>
            <w:r w:rsidRPr="00C02126">
              <w:rPr>
                <w:rFonts w:ascii="Times New Roman" w:hAnsi="Times New Roman" w:cs="Times New Roman"/>
                <w:color w:val="000000"/>
                <w:sz w:val="18"/>
                <w:szCs w:val="18"/>
                <w:lang w:val="en-GB"/>
              </w:rPr>
              <w:t>expert working group on the review of Annexes I, III and IV</w:t>
            </w:r>
            <w:r w:rsidRPr="00C02126">
              <w:rPr>
                <w:rFonts w:ascii="Times New Roman" w:hAnsi="Times New Roman" w:cs="Times New Roman"/>
                <w:iCs/>
                <w:sz w:val="18"/>
                <w:szCs w:val="18"/>
                <w:lang w:val="en-GB"/>
              </w:rPr>
              <w:t xml:space="preserve"> and related aspects of Annexes VIII and IX</w:t>
            </w:r>
            <w:r w:rsidRPr="00C02126">
              <w:rPr>
                <w:rFonts w:ascii="Times New Roman" w:hAnsi="Times New Roman" w:cs="Times New Roman"/>
                <w:sz w:val="18"/>
                <w:szCs w:val="18"/>
                <w:lang w:val="en-GB"/>
              </w:rPr>
              <w:t>.</w:t>
            </w:r>
          </w:p>
          <w:p w14:paraId="5A46BBAC" w14:textId="77777777" w:rsidR="00C02126" w:rsidRPr="00C02126" w:rsidRDefault="00C02126" w:rsidP="00934B71">
            <w:pPr>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2. </w:t>
            </w:r>
            <w:r w:rsidRPr="00C02126">
              <w:rPr>
                <w:rFonts w:ascii="Times New Roman" w:hAnsi="Times New Roman" w:cs="Times New Roman"/>
                <w:iCs/>
                <w:sz w:val="18"/>
                <w:szCs w:val="18"/>
                <w:lang w:val="en-GB"/>
              </w:rPr>
              <w:t>Consider the</w:t>
            </w:r>
            <w:r w:rsidRPr="00C02126">
              <w:rPr>
                <w:rFonts w:ascii="Times New Roman" w:hAnsi="Times New Roman" w:cs="Times New Roman"/>
                <w:sz w:val="18"/>
                <w:szCs w:val="18"/>
                <w:lang w:val="en-GB"/>
              </w:rPr>
              <w:t xml:space="preserve"> findings of the </w:t>
            </w:r>
            <w:r w:rsidRPr="00C02126">
              <w:rPr>
                <w:rFonts w:ascii="Times New Roman" w:hAnsi="Times New Roman" w:cs="Times New Roman"/>
                <w:color w:val="000000"/>
                <w:sz w:val="18"/>
                <w:szCs w:val="18"/>
                <w:lang w:val="en-GB"/>
              </w:rPr>
              <w:t xml:space="preserve">expert working group on the review of Annexes I, III and IV </w:t>
            </w:r>
            <w:r w:rsidRPr="00C02126">
              <w:rPr>
                <w:rFonts w:ascii="Times New Roman" w:hAnsi="Times New Roman" w:cs="Times New Roman"/>
                <w:iCs/>
                <w:sz w:val="18"/>
                <w:szCs w:val="18"/>
                <w:lang w:val="en-GB"/>
              </w:rPr>
              <w:t>and related aspects of Annexes VIII and IX</w:t>
            </w:r>
            <w:r w:rsidRPr="00C02126">
              <w:rPr>
                <w:rFonts w:ascii="Times New Roman" w:hAnsi="Times New Roman" w:cs="Times New Roman"/>
                <w:color w:val="000000"/>
                <w:sz w:val="18"/>
                <w:szCs w:val="18"/>
                <w:lang w:val="en-GB"/>
              </w:rPr>
              <w:t xml:space="preserve"> </w:t>
            </w:r>
            <w:r w:rsidRPr="00C02126">
              <w:rPr>
                <w:rFonts w:ascii="Times New Roman" w:hAnsi="Times New Roman" w:cs="Times New Roman"/>
                <w:sz w:val="18"/>
                <w:szCs w:val="18"/>
                <w:lang w:val="en-GB"/>
              </w:rPr>
              <w:t xml:space="preserve">on the </w:t>
            </w:r>
            <w:r w:rsidRPr="00C02126">
              <w:rPr>
                <w:rFonts w:ascii="Times New Roman" w:hAnsi="Times New Roman" w:cs="Times New Roman"/>
                <w:sz w:val="18"/>
                <w:szCs w:val="18"/>
                <w:lang w:val="en-GB"/>
              </w:rPr>
              <w:lastRenderedPageBreak/>
              <w:t>possible consequential implications of the review of Annex IV for other annexes of the Convention and for relevant decisions of the Conference of the Parties, including, inter alia, for the notification and movement documents and the reporting format.</w:t>
            </w:r>
          </w:p>
          <w:p w14:paraId="669A8B93" w14:textId="77777777" w:rsidR="00C02126" w:rsidRPr="00C02126" w:rsidRDefault="00C02126" w:rsidP="00934B71">
            <w:pPr>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3. Consider the findings of the </w:t>
            </w:r>
            <w:r w:rsidRPr="00C02126">
              <w:rPr>
                <w:rFonts w:ascii="Times New Roman" w:hAnsi="Times New Roman" w:cs="Times New Roman"/>
                <w:iCs/>
                <w:sz w:val="18"/>
                <w:szCs w:val="18"/>
                <w:lang w:val="en-GB"/>
              </w:rPr>
              <w:t xml:space="preserve">expert working group on the review of Annexes I, III and IV and related aspects of Annexes VIII and IX to the Basel Convention to consider, as part of its mandate, </w:t>
            </w:r>
            <w:r w:rsidRPr="00C02126">
              <w:rPr>
                <w:rFonts w:ascii="Times New Roman" w:hAnsi="Times New Roman" w:cs="Times New Roman"/>
                <w:sz w:val="18"/>
                <w:szCs w:val="18"/>
                <w:lang w:val="en-GB"/>
              </w:rPr>
              <w:t>whether</w:t>
            </w:r>
            <w:r w:rsidRPr="00C02126">
              <w:rPr>
                <w:rFonts w:ascii="Times New Roman" w:hAnsi="Times New Roman" w:cs="Times New Roman"/>
                <w:iCs/>
                <w:sz w:val="18"/>
                <w:szCs w:val="18"/>
                <w:lang w:val="en-GB"/>
              </w:rPr>
              <w:t xml:space="preserve"> any additional constituents or characteristics in relation to plastic waste should be added to Annex I or III, respectively, to the Convention.</w:t>
            </w:r>
          </w:p>
        </w:tc>
        <w:tc>
          <w:tcPr>
            <w:tcW w:w="2026" w:type="dxa"/>
          </w:tcPr>
          <w:p w14:paraId="51E97B4A"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lastRenderedPageBreak/>
              <w:t>Decision BC-14/16</w:t>
            </w:r>
          </w:p>
          <w:p w14:paraId="052BAD83"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77AC3614"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24A3A603"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35248799"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5572CF7F"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BC-14/16</w:t>
            </w:r>
          </w:p>
          <w:p w14:paraId="308F2FF4"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002F5DF0"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34337FCD"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36BABD7B"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3503F006"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731BF5EF"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12B6D746"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0B6D5F3E"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p>
          <w:p w14:paraId="7DEB7395"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BC-14/13</w:t>
            </w:r>
          </w:p>
        </w:tc>
        <w:tc>
          <w:tcPr>
            <w:tcW w:w="927" w:type="dxa"/>
          </w:tcPr>
          <w:p w14:paraId="4CBE25D2"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lastRenderedPageBreak/>
              <w:t>High</w:t>
            </w:r>
          </w:p>
          <w:p w14:paraId="35BDCB8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D358C2D"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A4F728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74E9E9F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CC11CF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p w14:paraId="27811C2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F21D7A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705A6F6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8702DBD"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297806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925D9F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C27BDC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BA98950"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205971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Medium</w:t>
            </w:r>
          </w:p>
        </w:tc>
      </w:tr>
      <w:tr w:rsidR="00C02126" w:rsidRPr="00C02126" w14:paraId="7E2A4F1F" w14:textId="77777777" w:rsidTr="00934B71">
        <w:trPr>
          <w:trHeight w:val="57"/>
          <w:jc w:val="right"/>
        </w:trPr>
        <w:tc>
          <w:tcPr>
            <w:tcW w:w="2176" w:type="dxa"/>
          </w:tcPr>
          <w:p w14:paraId="1314073F"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lastRenderedPageBreak/>
              <w:t>C. National legislation, notifications, enforcement of the Convention and efforts to combat illegal traffic</w:t>
            </w:r>
          </w:p>
        </w:tc>
        <w:tc>
          <w:tcPr>
            <w:tcW w:w="3234" w:type="dxa"/>
          </w:tcPr>
          <w:p w14:paraId="0266B237" w14:textId="77777777" w:rsidR="00C02126" w:rsidRPr="00C02126" w:rsidRDefault="00C02126" w:rsidP="00934B71">
            <w:pPr>
              <w:widowControl w:val="0"/>
              <w:tabs>
                <w:tab w:val="left" w:pos="4082"/>
              </w:tabs>
              <w:spacing w:before="40" w:after="40"/>
              <w:ind w:left="57" w:right="57"/>
              <w:rPr>
                <w:rFonts w:ascii="Times New Roman" w:hAnsi="Times New Roman" w:cs="Times New Roman"/>
                <w:color w:val="000000"/>
                <w:sz w:val="18"/>
                <w:szCs w:val="18"/>
                <w:lang w:val="en-GB"/>
              </w:rPr>
            </w:pPr>
            <w:r w:rsidRPr="00C02126">
              <w:rPr>
                <w:rFonts w:ascii="Times New Roman" w:hAnsi="Times New Roman" w:cs="Times New Roman"/>
                <w:color w:val="000000"/>
                <w:sz w:val="18"/>
                <w:szCs w:val="18"/>
                <w:lang w:val="en-GB"/>
              </w:rPr>
              <w:t>Consider whether a common interpretation of the meaning of “State of transit” may be agreed upon.</w:t>
            </w:r>
          </w:p>
        </w:tc>
        <w:tc>
          <w:tcPr>
            <w:tcW w:w="2026" w:type="dxa"/>
          </w:tcPr>
          <w:p w14:paraId="38CF8F8B" w14:textId="77777777" w:rsidR="00C02126" w:rsidRPr="00C02126" w:rsidRDefault="00C02126" w:rsidP="00934B71">
            <w:pPr>
              <w:widowControl w:val="0"/>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BC-14/17</w:t>
            </w:r>
          </w:p>
        </w:tc>
        <w:tc>
          <w:tcPr>
            <w:tcW w:w="927" w:type="dxa"/>
          </w:tcPr>
          <w:p w14:paraId="0DC29DBF"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Medium</w:t>
            </w:r>
          </w:p>
        </w:tc>
      </w:tr>
      <w:tr w:rsidR="00C02126" w:rsidRPr="00C02126" w14:paraId="4B0984FB" w14:textId="77777777" w:rsidTr="00934B71">
        <w:trPr>
          <w:trHeight w:val="57"/>
          <w:jc w:val="right"/>
        </w:trPr>
        <w:tc>
          <w:tcPr>
            <w:tcW w:w="8363" w:type="dxa"/>
            <w:gridSpan w:val="4"/>
            <w:hideMark/>
          </w:tcPr>
          <w:p w14:paraId="382A54F1" w14:textId="77777777" w:rsidR="00C02126" w:rsidRPr="00C02126" w:rsidRDefault="00C02126" w:rsidP="00934B71">
            <w:pPr>
              <w:keepNext/>
              <w:tabs>
                <w:tab w:val="left" w:pos="540"/>
                <w:tab w:val="left" w:pos="4082"/>
              </w:tabs>
              <w:spacing w:before="40" w:after="40"/>
              <w:ind w:left="57" w:right="57"/>
              <w:rPr>
                <w:rFonts w:ascii="Times New Roman" w:hAnsi="Times New Roman" w:cs="Times New Roman"/>
                <w:b/>
                <w:i/>
                <w:sz w:val="18"/>
                <w:szCs w:val="18"/>
                <w:lang w:val="en-GB"/>
              </w:rPr>
            </w:pPr>
            <w:r w:rsidRPr="00C02126">
              <w:rPr>
                <w:rFonts w:ascii="Times New Roman" w:hAnsi="Times New Roman" w:cs="Times New Roman"/>
                <w:b/>
                <w:sz w:val="18"/>
                <w:szCs w:val="18"/>
                <w:lang w:val="en-GB"/>
              </w:rPr>
              <w:t xml:space="preserve">IV. International cooperation and coordination </w:t>
            </w:r>
          </w:p>
        </w:tc>
      </w:tr>
      <w:tr w:rsidR="00C02126" w:rsidRPr="00C02126" w14:paraId="45F95C3F" w14:textId="77777777" w:rsidTr="00934B71">
        <w:trPr>
          <w:trHeight w:val="57"/>
          <w:jc w:val="right"/>
        </w:trPr>
        <w:tc>
          <w:tcPr>
            <w:tcW w:w="2176" w:type="dxa"/>
            <w:hideMark/>
          </w:tcPr>
          <w:p w14:paraId="473F6C72"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A. Basel Convention Partnership Programme</w:t>
            </w:r>
          </w:p>
        </w:tc>
        <w:tc>
          <w:tcPr>
            <w:tcW w:w="3234" w:type="dxa"/>
            <w:hideMark/>
          </w:tcPr>
          <w:p w14:paraId="67303464" w14:textId="77777777" w:rsidR="00C02126" w:rsidRPr="00C02126" w:rsidRDefault="00C02126" w:rsidP="00934B71">
            <w:pPr>
              <w:keepNext/>
              <w:tabs>
                <w:tab w:val="left" w:pos="4082"/>
              </w:tabs>
              <w:spacing w:before="40" w:after="40"/>
              <w:ind w:left="57" w:right="57"/>
              <w:rPr>
                <w:rFonts w:ascii="Times New Roman" w:hAnsi="Times New Roman" w:cs="Times New Roman"/>
                <w:sz w:val="18"/>
                <w:szCs w:val="18"/>
                <w:shd w:val="clear" w:color="auto" w:fill="FFFFFF"/>
                <w:lang w:val="en-GB"/>
              </w:rPr>
            </w:pPr>
            <w:r w:rsidRPr="00C02126">
              <w:rPr>
                <w:rFonts w:ascii="Times New Roman" w:hAnsi="Times New Roman" w:cs="Times New Roman"/>
                <w:sz w:val="18"/>
                <w:szCs w:val="18"/>
                <w:lang w:val="en-GB"/>
              </w:rPr>
              <w:t>1. Adopt, on behalf of the Conference of the Parties, the terms of reference and programme of work of the follow</w:t>
            </w:r>
            <w:r w:rsidRPr="00C02126">
              <w:rPr>
                <w:rFonts w:ascii="Times New Roman" w:hAnsi="Times New Roman" w:cs="Times New Roman"/>
                <w:sz w:val="18"/>
                <w:szCs w:val="18"/>
                <w:lang w:val="en-GB"/>
              </w:rPr>
              <w:noBreakHyphen/>
              <w:t xml:space="preserve">up partnership to the </w:t>
            </w:r>
            <w:r w:rsidRPr="00C02126">
              <w:rPr>
                <w:rFonts w:ascii="Times New Roman" w:hAnsi="Times New Roman" w:cs="Times New Roman"/>
                <w:sz w:val="18"/>
                <w:szCs w:val="18"/>
                <w:shd w:val="clear" w:color="auto" w:fill="FFFFFF"/>
                <w:lang w:val="en-GB"/>
              </w:rPr>
              <w:t>Partnership for Action on Computing Equipment.</w:t>
            </w:r>
          </w:p>
          <w:p w14:paraId="3F56DE82" w14:textId="77777777" w:rsidR="00C02126" w:rsidRPr="00C02126" w:rsidRDefault="00C02126" w:rsidP="00934B71">
            <w:pPr>
              <w:keepNext/>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shd w:val="clear" w:color="auto" w:fill="FFFFFF"/>
                <w:lang w:val="en-GB"/>
              </w:rPr>
              <w:t>2. Consider</w:t>
            </w:r>
            <w:r w:rsidRPr="00C02126">
              <w:rPr>
                <w:rFonts w:ascii="Times New Roman" w:hAnsi="Times New Roman" w:cs="Times New Roman"/>
                <w:sz w:val="18"/>
                <w:szCs w:val="18"/>
                <w:lang w:val="en-GB"/>
              </w:rPr>
              <w:t xml:space="preserve"> </w:t>
            </w:r>
            <w:r w:rsidRPr="00C02126">
              <w:rPr>
                <w:rFonts w:ascii="Times New Roman" w:hAnsi="Times New Roman" w:cs="Times New Roman"/>
                <w:iCs/>
                <w:sz w:val="18"/>
                <w:szCs w:val="18"/>
                <w:lang w:val="en-GB"/>
              </w:rPr>
              <w:t xml:space="preserve">progress in the implementation of the priority activities of the work programme of the working group of the </w:t>
            </w:r>
            <w:r w:rsidRPr="00C02126">
              <w:rPr>
                <w:rFonts w:ascii="Times New Roman" w:hAnsi="Times New Roman" w:cs="Times New Roman"/>
                <w:sz w:val="18"/>
                <w:szCs w:val="18"/>
                <w:lang w:val="en-GB"/>
              </w:rPr>
              <w:t xml:space="preserve">follow-up </w:t>
            </w:r>
            <w:r w:rsidRPr="00C02126">
              <w:rPr>
                <w:rFonts w:ascii="Times New Roman" w:hAnsi="Times New Roman" w:cs="Times New Roman"/>
                <w:iCs/>
                <w:sz w:val="18"/>
                <w:szCs w:val="18"/>
                <w:lang w:val="en-GB"/>
              </w:rPr>
              <w:t xml:space="preserve">partnership </w:t>
            </w:r>
            <w:r w:rsidRPr="00C02126">
              <w:rPr>
                <w:rFonts w:ascii="Times New Roman" w:hAnsi="Times New Roman" w:cs="Times New Roman"/>
                <w:sz w:val="18"/>
                <w:szCs w:val="18"/>
                <w:lang w:val="en-GB"/>
              </w:rPr>
              <w:t xml:space="preserve">to the </w:t>
            </w:r>
            <w:r w:rsidRPr="00C02126">
              <w:rPr>
                <w:rFonts w:ascii="Times New Roman" w:hAnsi="Times New Roman" w:cs="Times New Roman"/>
                <w:sz w:val="18"/>
                <w:szCs w:val="18"/>
                <w:shd w:val="clear" w:color="auto" w:fill="FFFFFF"/>
                <w:lang w:val="en-GB"/>
              </w:rPr>
              <w:t>Partnership for Action on Computing Equipment</w:t>
            </w:r>
            <w:r w:rsidRPr="00C02126">
              <w:rPr>
                <w:rFonts w:ascii="Times New Roman" w:hAnsi="Times New Roman" w:cs="Times New Roman"/>
                <w:iCs/>
                <w:sz w:val="18"/>
                <w:szCs w:val="18"/>
                <w:lang w:val="en-GB"/>
              </w:rPr>
              <w:t xml:space="preserve">. </w:t>
            </w:r>
          </w:p>
          <w:p w14:paraId="02A2F693" w14:textId="77777777" w:rsidR="00C02126" w:rsidRPr="00C02126" w:rsidRDefault="00C02126" w:rsidP="00934B71">
            <w:pPr>
              <w:keepNext/>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3. Consider the revised draft of the overall guidance document on the environmentally sound management of household waste and progress made in the implementation of the workplan of the working group of the Household Waste Partnership for the biennium </w:t>
            </w:r>
            <w:r w:rsidRPr="00C02126">
              <w:rPr>
                <w:rFonts w:ascii="Times New Roman" w:eastAsia="Batang" w:hAnsi="Times New Roman" w:cs="Times New Roman"/>
                <w:color w:val="000000"/>
                <w:sz w:val="18"/>
                <w:szCs w:val="18"/>
                <w:lang w:val="en-GB" w:eastAsia="ko-KR"/>
              </w:rPr>
              <w:t xml:space="preserve">2020–2021. </w:t>
            </w:r>
          </w:p>
          <w:p w14:paraId="40DA149C" w14:textId="77777777" w:rsidR="00C02126" w:rsidRPr="00C02126" w:rsidRDefault="00C02126" w:rsidP="00934B71">
            <w:pPr>
              <w:keepNext/>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4. Consider progress made and provide guidance on the implementation of the workplan of the Partnership on Plastic Waste for the biennium </w:t>
            </w:r>
            <w:r w:rsidRPr="00C02126">
              <w:rPr>
                <w:rFonts w:ascii="Times New Roman" w:eastAsia="Batang" w:hAnsi="Times New Roman" w:cs="Times New Roman"/>
                <w:color w:val="000000"/>
                <w:sz w:val="18"/>
                <w:szCs w:val="18"/>
                <w:lang w:val="en-GB" w:eastAsia="ko-KR"/>
              </w:rPr>
              <w:t xml:space="preserve">2020–2021. </w:t>
            </w:r>
          </w:p>
        </w:tc>
        <w:tc>
          <w:tcPr>
            <w:tcW w:w="2026" w:type="dxa"/>
            <w:hideMark/>
          </w:tcPr>
          <w:p w14:paraId="095568C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BC-14/19</w:t>
            </w:r>
          </w:p>
          <w:p w14:paraId="2CA1B5C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2C71CBC"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3BA62DC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713781E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BC-14/19</w:t>
            </w:r>
          </w:p>
          <w:p w14:paraId="797EC3B1"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0F26629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EA166D1"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0F23499" w14:textId="77777777" w:rsidR="00C02126" w:rsidRPr="00C02126" w:rsidRDefault="00C02126" w:rsidP="00934B71">
            <w:pPr>
              <w:widowControl w:val="0"/>
              <w:tabs>
                <w:tab w:val="left" w:pos="4082"/>
              </w:tabs>
              <w:spacing w:before="40" w:after="40"/>
              <w:ind w:left="57" w:right="57"/>
              <w:rPr>
                <w:rFonts w:ascii="Times New Roman" w:hAnsi="Times New Roman" w:cs="Times New Roman"/>
                <w:strike/>
                <w:sz w:val="18"/>
                <w:szCs w:val="18"/>
                <w:lang w:val="en-GB"/>
              </w:rPr>
            </w:pPr>
          </w:p>
          <w:p w14:paraId="06D88ECD" w14:textId="77777777" w:rsidR="00C02126" w:rsidRPr="00C02126" w:rsidRDefault="00C02126" w:rsidP="00934B71">
            <w:pPr>
              <w:widowControl w:val="0"/>
              <w:tabs>
                <w:tab w:val="left" w:pos="4082"/>
              </w:tabs>
              <w:spacing w:before="40" w:after="40"/>
              <w:ind w:left="57" w:right="57"/>
              <w:rPr>
                <w:rFonts w:ascii="Times New Roman" w:hAnsi="Times New Roman" w:cs="Times New Roman"/>
                <w:strike/>
                <w:sz w:val="18"/>
                <w:szCs w:val="18"/>
                <w:lang w:val="en-GB"/>
              </w:rPr>
            </w:pPr>
          </w:p>
          <w:p w14:paraId="3CEB114F"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BC-14/19</w:t>
            </w:r>
          </w:p>
          <w:p w14:paraId="2103DE71"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C794741"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3AF56E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38A621B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868CAC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73888A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BC-14/13</w:t>
            </w:r>
          </w:p>
        </w:tc>
        <w:tc>
          <w:tcPr>
            <w:tcW w:w="927" w:type="dxa"/>
            <w:hideMark/>
          </w:tcPr>
          <w:p w14:paraId="5EDECC9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p w14:paraId="245B0AC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3BA4DC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D4706C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18DB528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p w14:paraId="30F9461B"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6033D78"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2559FF42"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08A25894"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72CD1D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D7A5DFF"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p w14:paraId="0A74F162"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35CE5E3"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DEC1286"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448F8F72"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527EF06A"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p>
          <w:p w14:paraId="6AD9F0D7"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r w:rsidR="00C02126" w:rsidRPr="00C02126" w14:paraId="478204D0" w14:textId="77777777" w:rsidTr="00934B71">
        <w:trPr>
          <w:trHeight w:val="57"/>
          <w:jc w:val="right"/>
        </w:trPr>
        <w:tc>
          <w:tcPr>
            <w:tcW w:w="2176" w:type="dxa"/>
          </w:tcPr>
          <w:p w14:paraId="0A54A559"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B. Cooperation with the World Customs Organization on the Harmonized Commodity Description and Coding System</w:t>
            </w:r>
          </w:p>
        </w:tc>
        <w:tc>
          <w:tcPr>
            <w:tcW w:w="3234" w:type="dxa"/>
          </w:tcPr>
          <w:p w14:paraId="6C57ED3E"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 xml:space="preserve">Consider progress made </w:t>
            </w:r>
            <w:proofErr w:type="gramStart"/>
            <w:r w:rsidRPr="00C02126">
              <w:rPr>
                <w:rFonts w:ascii="Times New Roman" w:hAnsi="Times New Roman" w:cs="Times New Roman"/>
                <w:sz w:val="18"/>
                <w:szCs w:val="18"/>
                <w:lang w:val="en-GB"/>
              </w:rPr>
              <w:t>with regard to</w:t>
            </w:r>
            <w:proofErr w:type="gramEnd"/>
            <w:r w:rsidRPr="00C02126">
              <w:rPr>
                <w:rFonts w:ascii="Times New Roman" w:hAnsi="Times New Roman" w:cs="Times New Roman"/>
                <w:sz w:val="18"/>
                <w:szCs w:val="18"/>
                <w:lang w:val="en-GB"/>
              </w:rPr>
              <w:t xml:space="preserve"> the inclusion of Basel Convention wastes in the World Customs Organization Harmonized Commodity Description and Coding System.</w:t>
            </w:r>
          </w:p>
        </w:tc>
        <w:tc>
          <w:tcPr>
            <w:tcW w:w="2026" w:type="dxa"/>
          </w:tcPr>
          <w:p w14:paraId="04356048"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Decision BC-14/9</w:t>
            </w:r>
          </w:p>
        </w:tc>
        <w:tc>
          <w:tcPr>
            <w:tcW w:w="927" w:type="dxa"/>
          </w:tcPr>
          <w:p w14:paraId="0EBB6E45" w14:textId="77777777" w:rsidR="00C02126" w:rsidRPr="00C02126" w:rsidRDefault="00C02126" w:rsidP="00934B71">
            <w:pPr>
              <w:widowControl w:val="0"/>
              <w:tabs>
                <w:tab w:val="left" w:pos="4082"/>
              </w:tabs>
              <w:spacing w:before="40" w:after="40"/>
              <w:ind w:left="57" w:right="57"/>
              <w:rPr>
                <w:rFonts w:ascii="Times New Roman" w:hAnsi="Times New Roman" w:cs="Times New Roman"/>
                <w:sz w:val="18"/>
                <w:szCs w:val="18"/>
                <w:lang w:val="en-GB"/>
              </w:rPr>
            </w:pPr>
            <w:r w:rsidRPr="00C02126">
              <w:rPr>
                <w:rFonts w:ascii="Times New Roman" w:hAnsi="Times New Roman" w:cs="Times New Roman"/>
                <w:sz w:val="18"/>
                <w:szCs w:val="18"/>
                <w:lang w:val="en-GB"/>
              </w:rPr>
              <w:t>High</w:t>
            </w:r>
          </w:p>
        </w:tc>
      </w:tr>
    </w:tbl>
    <w:p w14:paraId="61FF7ECB" w14:textId="77777777" w:rsidR="00F935A6" w:rsidRPr="00C02126" w:rsidRDefault="00F935A6">
      <w:pPr>
        <w:rPr>
          <w:rFonts w:ascii="Times New Roman" w:hAnsi="Times New Roman" w:cs="Times New Roman"/>
        </w:rPr>
      </w:pPr>
    </w:p>
    <w:sectPr w:rsidR="00F935A6" w:rsidRPr="00C02126" w:rsidSect="00C0212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47FA9" w14:textId="77777777" w:rsidR="002958CB" w:rsidRDefault="002958CB" w:rsidP="00C02126">
      <w:pPr>
        <w:spacing w:after="0" w:line="240" w:lineRule="auto"/>
      </w:pPr>
      <w:r>
        <w:separator/>
      </w:r>
    </w:p>
  </w:endnote>
  <w:endnote w:type="continuationSeparator" w:id="0">
    <w:p w14:paraId="7FA6D54E" w14:textId="77777777" w:rsidR="002958CB" w:rsidRDefault="002958CB" w:rsidP="00C0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B76DA" w14:textId="77777777" w:rsidR="002958CB" w:rsidRDefault="002958CB" w:rsidP="00C02126">
      <w:pPr>
        <w:spacing w:after="0" w:line="240" w:lineRule="auto"/>
      </w:pPr>
      <w:r>
        <w:separator/>
      </w:r>
    </w:p>
  </w:footnote>
  <w:footnote w:type="continuationSeparator" w:id="0">
    <w:p w14:paraId="504BACBF" w14:textId="77777777" w:rsidR="002958CB" w:rsidRDefault="002958CB" w:rsidP="00C02126">
      <w:pPr>
        <w:spacing w:after="0" w:line="240" w:lineRule="auto"/>
      </w:pPr>
      <w:r>
        <w:continuationSeparator/>
      </w:r>
    </w:p>
  </w:footnote>
  <w:footnote w:id="1">
    <w:p w14:paraId="4B41E386" w14:textId="77777777" w:rsidR="00C02126" w:rsidRPr="00750A35" w:rsidRDefault="00C02126" w:rsidP="00C02126">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iCs/>
          <w:sz w:val="18"/>
          <w:szCs w:val="18"/>
          <w:lang w:val="en-GB"/>
        </w:rPr>
        <w:t>U</w:t>
      </w:r>
      <w:r w:rsidRPr="00750A35">
        <w:rPr>
          <w:sz w:val="18"/>
          <w:szCs w:val="18"/>
          <w:lang w:val="en-GB"/>
        </w:rPr>
        <w:t>NEP/CHW.14/13/Add.3.</w:t>
      </w:r>
    </w:p>
  </w:footnote>
  <w:footnote w:id="2">
    <w:p w14:paraId="39C27315" w14:textId="77777777" w:rsidR="00C02126" w:rsidRPr="00750A35" w:rsidRDefault="00C02126" w:rsidP="00C02126">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 xml:space="preserve">UNEP/CHW.14/INF/26.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13864"/>
    <w:multiLevelType w:val="hybridMultilevel"/>
    <w:tmpl w:val="9B548E76"/>
    <w:lvl w:ilvl="0" w:tplc="9892855E">
      <w:start w:val="1"/>
      <w:numFmt w:val="lowerLetter"/>
      <w:lvlText w:val="(%1)"/>
      <w:lvlJc w:val="left"/>
      <w:pPr>
        <w:ind w:left="720" w:hanging="360"/>
      </w:pPr>
      <w:rPr>
        <w:rFonts w:cs="Times New Roman" w:hint="default"/>
      </w:rPr>
    </w:lvl>
    <w:lvl w:ilvl="1" w:tplc="E9C49AD0" w:tentative="1">
      <w:start w:val="1"/>
      <w:numFmt w:val="lowerLetter"/>
      <w:lvlText w:val="%2."/>
      <w:lvlJc w:val="left"/>
      <w:pPr>
        <w:ind w:left="1440" w:hanging="360"/>
      </w:pPr>
    </w:lvl>
    <w:lvl w:ilvl="2" w:tplc="AD5088EC" w:tentative="1">
      <w:start w:val="1"/>
      <w:numFmt w:val="lowerRoman"/>
      <w:lvlText w:val="%3."/>
      <w:lvlJc w:val="right"/>
      <w:pPr>
        <w:ind w:left="2160" w:hanging="180"/>
      </w:pPr>
    </w:lvl>
    <w:lvl w:ilvl="3" w:tplc="3626999C" w:tentative="1">
      <w:start w:val="1"/>
      <w:numFmt w:val="decimal"/>
      <w:lvlText w:val="%4."/>
      <w:lvlJc w:val="left"/>
      <w:pPr>
        <w:ind w:left="2880" w:hanging="360"/>
      </w:pPr>
    </w:lvl>
    <w:lvl w:ilvl="4" w:tplc="6C406F2A" w:tentative="1">
      <w:start w:val="1"/>
      <w:numFmt w:val="lowerLetter"/>
      <w:lvlText w:val="%5."/>
      <w:lvlJc w:val="left"/>
      <w:pPr>
        <w:ind w:left="3600" w:hanging="360"/>
      </w:pPr>
    </w:lvl>
    <w:lvl w:ilvl="5" w:tplc="1BF27F36" w:tentative="1">
      <w:start w:val="1"/>
      <w:numFmt w:val="lowerRoman"/>
      <w:lvlText w:val="%6."/>
      <w:lvlJc w:val="right"/>
      <w:pPr>
        <w:ind w:left="4320" w:hanging="180"/>
      </w:pPr>
    </w:lvl>
    <w:lvl w:ilvl="6" w:tplc="C4FECFB8" w:tentative="1">
      <w:start w:val="1"/>
      <w:numFmt w:val="decimal"/>
      <w:lvlText w:val="%7."/>
      <w:lvlJc w:val="left"/>
      <w:pPr>
        <w:ind w:left="5040" w:hanging="360"/>
      </w:pPr>
    </w:lvl>
    <w:lvl w:ilvl="7" w:tplc="52BED9F8" w:tentative="1">
      <w:start w:val="1"/>
      <w:numFmt w:val="lowerLetter"/>
      <w:lvlText w:val="%8."/>
      <w:lvlJc w:val="left"/>
      <w:pPr>
        <w:ind w:left="5760" w:hanging="360"/>
      </w:pPr>
    </w:lvl>
    <w:lvl w:ilvl="8" w:tplc="8B98E45C" w:tentative="1">
      <w:start w:val="1"/>
      <w:numFmt w:val="lowerRoman"/>
      <w:lvlText w:val="%9."/>
      <w:lvlJc w:val="right"/>
      <w:pPr>
        <w:ind w:left="6480" w:hanging="180"/>
      </w:pPr>
    </w:lvl>
  </w:abstractNum>
  <w:abstractNum w:abstractNumId="1" w15:restartNumberingAfterBreak="0">
    <w:nsid w:val="4575583A"/>
    <w:multiLevelType w:val="multilevel"/>
    <w:tmpl w:val="D07A6E4C"/>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1"/>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26"/>
    <w:rsid w:val="002958CB"/>
    <w:rsid w:val="00A03672"/>
    <w:rsid w:val="00C02126"/>
    <w:rsid w:val="00D73DF4"/>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21D3E"/>
  <w15:chartTrackingRefBased/>
  <w15:docId w15:val="{DA9C989B-CC6B-498C-B4E0-AACF897B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C02126"/>
    <w:pPr>
      <w:keepNext/>
      <w:keepLines/>
      <w:tabs>
        <w:tab w:val="right" w:pos="851"/>
        <w:tab w:val="left" w:pos="1247"/>
        <w:tab w:val="left" w:pos="1814"/>
        <w:tab w:val="left" w:pos="2381"/>
        <w:tab w:val="left" w:pos="2948"/>
        <w:tab w:val="left" w:pos="3515"/>
        <w:tab w:val="left" w:pos="4082"/>
      </w:tabs>
      <w:suppressAutoHyphens/>
      <w:spacing w:before="240" w:after="120" w:line="240" w:lineRule="auto"/>
      <w:ind w:left="1247" w:right="284" w:hanging="1247"/>
    </w:pPr>
    <w:rPr>
      <w:rFonts w:ascii="Times New Roman" w:eastAsia="Times New Roman" w:hAnsi="Times New Roman" w:cs="Times New Roman"/>
      <w:b/>
      <w:sz w:val="28"/>
      <w:szCs w:val="28"/>
      <w:lang w:val="en-GB" w:eastAsia="en-US"/>
    </w:rPr>
  </w:style>
  <w:style w:type="character" w:customStyle="1" w:styleId="NormalnumberChar">
    <w:name w:val="Normal_number Char"/>
    <w:link w:val="Normalnumber"/>
    <w:rsid w:val="00C02126"/>
    <w:rPr>
      <w:lang w:eastAsia="en-US"/>
    </w:rPr>
  </w:style>
  <w:style w:type="paragraph" w:customStyle="1" w:styleId="NormalNonumber">
    <w:name w:val="Normal_No_number"/>
    <w:basedOn w:val="Normal"/>
    <w:link w:val="NormalNonumberChar"/>
    <w:qFormat/>
    <w:rsid w:val="00C02126"/>
    <w:pPr>
      <w:tabs>
        <w:tab w:val="left" w:pos="1247"/>
        <w:tab w:val="left" w:pos="1814"/>
        <w:tab w:val="left" w:pos="2381"/>
        <w:tab w:val="left" w:pos="2948"/>
        <w:tab w:val="left" w:pos="3515"/>
        <w:tab w:val="left" w:pos="4082"/>
      </w:tabs>
      <w:spacing w:after="120" w:line="240" w:lineRule="auto"/>
      <w:ind w:left="1247"/>
    </w:pPr>
    <w:rPr>
      <w:rFonts w:ascii="Times New Roman" w:eastAsia="Times New Roman" w:hAnsi="Times New Roman" w:cs="Times New Roman"/>
      <w:sz w:val="20"/>
      <w:szCs w:val="20"/>
      <w:lang w:val="en-GB" w:eastAsia="en-US"/>
    </w:rPr>
  </w:style>
  <w:style w:type="paragraph" w:customStyle="1" w:styleId="Normalnumber">
    <w:name w:val="Normal_number"/>
    <w:basedOn w:val="Normal"/>
    <w:link w:val="NormalnumberChar"/>
    <w:qFormat/>
    <w:rsid w:val="00C02126"/>
    <w:pPr>
      <w:numPr>
        <w:numId w:val="1"/>
      </w:numPr>
      <w:tabs>
        <w:tab w:val="left" w:pos="624"/>
      </w:tabs>
      <w:spacing w:after="120" w:line="240" w:lineRule="auto"/>
    </w:pPr>
    <w:rPr>
      <w:lang w:eastAsia="en-US"/>
    </w:rPr>
  </w:style>
  <w:style w:type="character" w:customStyle="1" w:styleId="NormalNonumberChar">
    <w:name w:val="Normal_No_number Char"/>
    <w:link w:val="NormalNonumber"/>
    <w:locked/>
    <w:rsid w:val="00C02126"/>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2020-01-21T10:25:00Z</dcterms:created>
  <dcterms:modified xsi:type="dcterms:W3CDTF">2020-01-30T08:57:00Z</dcterms:modified>
</cp:coreProperties>
</file>