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7AF" w:rsidRPr="00A14CB9" w:rsidRDefault="002F27AF" w:rsidP="00A93C19">
      <w:pPr>
        <w:tabs>
          <w:tab w:val="left" w:pos="1814"/>
          <w:tab w:val="left" w:pos="2381"/>
          <w:tab w:val="left" w:pos="2552"/>
          <w:tab w:val="left" w:pos="2948"/>
          <w:tab w:val="left" w:pos="3515"/>
          <w:tab w:val="left" w:pos="4082"/>
        </w:tabs>
        <w:spacing w:before="240"/>
        <w:ind w:left="426"/>
        <w:rPr>
          <w:i/>
          <w:sz w:val="28"/>
          <w:szCs w:val="28"/>
        </w:rPr>
      </w:pPr>
      <w:r w:rsidRPr="00A14CB9">
        <w:rPr>
          <w:b/>
          <w:sz w:val="28"/>
          <w:szCs w:val="28"/>
        </w:rPr>
        <w:t>POPRC-</w:t>
      </w:r>
      <w:r w:rsidRPr="00A14CB9">
        <w:rPr>
          <w:b/>
          <w:sz w:val="28"/>
          <w:szCs w:val="28"/>
          <w:lang w:eastAsia="ja-JP"/>
        </w:rPr>
        <w:t>11</w:t>
      </w:r>
      <w:r w:rsidRPr="00A14CB9">
        <w:rPr>
          <w:b/>
          <w:sz w:val="28"/>
          <w:szCs w:val="28"/>
        </w:rPr>
        <w:t>/</w:t>
      </w:r>
      <w:r w:rsidRPr="00A14CB9">
        <w:rPr>
          <w:b/>
          <w:sz w:val="28"/>
          <w:szCs w:val="28"/>
          <w:lang w:eastAsia="ja-JP"/>
        </w:rPr>
        <w:t>1</w:t>
      </w:r>
      <w:r w:rsidRPr="00A14CB9">
        <w:rPr>
          <w:b/>
          <w:sz w:val="28"/>
          <w:szCs w:val="28"/>
        </w:rPr>
        <w:t>:</w:t>
      </w:r>
      <w:r w:rsidRPr="00A14CB9">
        <w:t xml:space="preserve"> </w:t>
      </w:r>
      <w:proofErr w:type="spellStart"/>
      <w:r w:rsidRPr="00A14CB9">
        <w:rPr>
          <w:b/>
          <w:sz w:val="28"/>
          <w:szCs w:val="28"/>
        </w:rPr>
        <w:t>Decabromodiphenyl</w:t>
      </w:r>
      <w:proofErr w:type="spellEnd"/>
      <w:r w:rsidRPr="00A14CB9">
        <w:rPr>
          <w:b/>
          <w:sz w:val="28"/>
          <w:szCs w:val="28"/>
        </w:rPr>
        <w:t xml:space="preserve"> ether (commercial mixture, </w:t>
      </w:r>
      <w:r w:rsidRPr="00A14CB9">
        <w:rPr>
          <w:b/>
          <w:sz w:val="28"/>
          <w:szCs w:val="28"/>
        </w:rPr>
        <w:br/>
        <w:t>c-</w:t>
      </w:r>
      <w:proofErr w:type="spellStart"/>
      <w:r w:rsidRPr="00A14CB9">
        <w:rPr>
          <w:b/>
          <w:sz w:val="28"/>
          <w:szCs w:val="28"/>
        </w:rPr>
        <w:t>decaBDE</w:t>
      </w:r>
      <w:proofErr w:type="spellEnd"/>
      <w:r w:rsidRPr="00A14CB9">
        <w:rPr>
          <w:b/>
          <w:sz w:val="28"/>
          <w:szCs w:val="28"/>
        </w:rPr>
        <w:t>)</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rPr>
          <w:i/>
        </w:rPr>
      </w:pPr>
      <w:r w:rsidRPr="00A14CB9">
        <w:rPr>
          <w:i/>
        </w:rPr>
        <w:t>The Persistent Organic Pollutants Review Committee,</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rPr>
          <w:i/>
        </w:rPr>
        <w:t>Having concluded</w:t>
      </w:r>
      <w:r w:rsidRPr="00A14CB9">
        <w:t xml:space="preserve"> in its decision POPRC-9/4 that </w:t>
      </w:r>
      <w:proofErr w:type="spellStart"/>
      <w:r w:rsidRPr="00A14CB9">
        <w:t>decabromodiphenyl</w:t>
      </w:r>
      <w:proofErr w:type="spellEnd"/>
      <w:r w:rsidRPr="00A14CB9">
        <w:t xml:space="preserve"> (commercial mixture, </w:t>
      </w:r>
      <w:r w:rsidRPr="00A14CB9">
        <w:br/>
        <w:t>c-</w:t>
      </w:r>
      <w:proofErr w:type="spellStart"/>
      <w:r w:rsidRPr="00A14CB9">
        <w:t>decaBDE</w:t>
      </w:r>
      <w:proofErr w:type="spellEnd"/>
      <w:r w:rsidRPr="00A14CB9">
        <w:t>) ether fulfils the criteria set out in Annex D to the Stockholm Convention,</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rPr>
          <w:i/>
        </w:rPr>
        <w:t>Having evaluated</w:t>
      </w:r>
      <w:r w:rsidRPr="00A14CB9">
        <w:t xml:space="preserve"> the risk profile for </w:t>
      </w:r>
      <w:proofErr w:type="spellStart"/>
      <w:r w:rsidRPr="00A14CB9">
        <w:t>decabromodiphenyl</w:t>
      </w:r>
      <w:proofErr w:type="spellEnd"/>
      <w:r w:rsidRPr="00A14CB9">
        <w:t xml:space="preserve"> ether (commercial mixture, </w:t>
      </w:r>
      <w:r w:rsidRPr="00A14CB9">
        <w:br/>
        <w:t>c-</w:t>
      </w:r>
      <w:proofErr w:type="spellStart"/>
      <w:r w:rsidRPr="00A14CB9">
        <w:t>decaBDE</w:t>
      </w:r>
      <w:proofErr w:type="spellEnd"/>
      <w:r w:rsidRPr="00A14CB9">
        <w:t>) adopted by the Committee at its tenth meeting</w:t>
      </w:r>
      <w:r w:rsidRPr="00A14CB9">
        <w:rPr>
          <w:vertAlign w:val="superscript"/>
        </w:rPr>
        <w:footnoteReference w:id="1"/>
      </w:r>
      <w:r w:rsidRPr="00A14CB9">
        <w:t xml:space="preserve"> in accordance with paragraph 6 of Article 8 of the Convention,</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rPr>
          <w:i/>
        </w:rPr>
        <w:t>Having concluded</w:t>
      </w:r>
      <w:r w:rsidRPr="00A14CB9">
        <w:t xml:space="preserve"> in its decision POPRC-10/2 that the </w:t>
      </w:r>
      <w:proofErr w:type="spellStart"/>
      <w:r w:rsidRPr="00A14CB9">
        <w:t>decabromodiphenyl</w:t>
      </w:r>
      <w:proofErr w:type="spellEnd"/>
      <w:r w:rsidRPr="00A14CB9">
        <w:t xml:space="preserve"> ether component (BDE-209) of c-</w:t>
      </w:r>
      <w:proofErr w:type="spellStart"/>
      <w:r w:rsidRPr="00A14CB9">
        <w:t>decaBDE</w:t>
      </w:r>
      <w:proofErr w:type="spellEnd"/>
      <w:r w:rsidRPr="00A14CB9">
        <w:t xml:space="preserve"> is likely, as a result of its long-range environmental transport, to lead to significant adverse human health and environmental effects such that global action is warranted,</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rPr>
          <w:i/>
        </w:rPr>
        <w:t>Having completed</w:t>
      </w:r>
      <w:r w:rsidRPr="00A14CB9">
        <w:t xml:space="preserve"> the risk management evaluation for </w:t>
      </w:r>
      <w:proofErr w:type="spellStart"/>
      <w:r w:rsidRPr="00A14CB9">
        <w:t>decabromodiphenyl</w:t>
      </w:r>
      <w:proofErr w:type="spellEnd"/>
      <w:r w:rsidRPr="00A14CB9">
        <w:t xml:space="preserve"> ether (commercial mixture, c-</w:t>
      </w:r>
      <w:proofErr w:type="spellStart"/>
      <w:r w:rsidRPr="00A14CB9">
        <w:t>decaBDE</w:t>
      </w:r>
      <w:proofErr w:type="spellEnd"/>
      <w:r w:rsidRPr="00A14CB9">
        <w:t>) in accordance with paragraph 7 (a) of Article 8 of the Stockholm Convention,</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rPr>
          <w:i/>
        </w:rPr>
        <w:t xml:space="preserve">Noting </w:t>
      </w:r>
      <w:r w:rsidRPr="00A14CB9">
        <w:t xml:space="preserve">that non-persistent organic pollutant alternatives to </w:t>
      </w:r>
      <w:proofErr w:type="spellStart"/>
      <w:r w:rsidRPr="00A14CB9">
        <w:t>decabromodiphenyl</w:t>
      </w:r>
      <w:proofErr w:type="spellEnd"/>
      <w:r w:rsidRPr="00A14CB9">
        <w:t xml:space="preserve"> ether are available,</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t>1.</w:t>
      </w:r>
      <w:r w:rsidRPr="00A14CB9">
        <w:tab/>
      </w:r>
      <w:r w:rsidRPr="00A14CB9">
        <w:rPr>
          <w:i/>
        </w:rPr>
        <w:t>Adopts</w:t>
      </w:r>
      <w:r w:rsidRPr="00A14CB9">
        <w:t xml:space="preserve"> the risk management evaluation for </w:t>
      </w:r>
      <w:proofErr w:type="spellStart"/>
      <w:r w:rsidRPr="00A14CB9">
        <w:t>decabromodiphenyl</w:t>
      </w:r>
      <w:proofErr w:type="spellEnd"/>
      <w:r w:rsidRPr="00A14CB9">
        <w:t xml:space="preserve"> ether (commercial mixture, c-</w:t>
      </w:r>
      <w:proofErr w:type="spellStart"/>
      <w:r w:rsidRPr="00A14CB9">
        <w:t>decaBDE</w:t>
      </w:r>
      <w:proofErr w:type="spellEnd"/>
      <w:r w:rsidRPr="00A14CB9">
        <w:t>);</w:t>
      </w:r>
      <w:r w:rsidRPr="00A14CB9">
        <w:rPr>
          <w:szCs w:val="18"/>
          <w:vertAlign w:val="superscript"/>
        </w:rPr>
        <w:footnoteReference w:id="2"/>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t>2.</w:t>
      </w:r>
      <w:r w:rsidRPr="00A14CB9">
        <w:tab/>
      </w:r>
      <w:r w:rsidRPr="00A14CB9">
        <w:rPr>
          <w:i/>
        </w:rPr>
        <w:t>Decides</w:t>
      </w:r>
      <w:r w:rsidRPr="00A14CB9">
        <w:t xml:space="preserve">, in accordance with paragraph 9 of Article 8 of the Convention, to recommend to the Conference of the Parties that it consider listing </w:t>
      </w:r>
      <w:proofErr w:type="spellStart"/>
      <w:r w:rsidRPr="00A14CB9">
        <w:t>decabromodiphenyl</w:t>
      </w:r>
      <w:proofErr w:type="spellEnd"/>
      <w:r w:rsidRPr="00A14CB9">
        <w:t xml:space="preserve"> ether (BDE-209) of </w:t>
      </w:r>
      <w:r w:rsidRPr="00A14CB9">
        <w:br/>
        <w:t>c-</w:t>
      </w:r>
      <w:proofErr w:type="spellStart"/>
      <w:r w:rsidRPr="00A14CB9">
        <w:t>decaBDE</w:t>
      </w:r>
      <w:proofErr w:type="spellEnd"/>
      <w:r w:rsidRPr="00A14CB9">
        <w:t xml:space="preserve"> in Annex A to the Convention with specific exemptions for some critical spare parts, to be defined, for the automotive and aerospace industries;</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t>3.</w:t>
      </w:r>
      <w:r w:rsidRPr="00A14CB9">
        <w:tab/>
      </w:r>
      <w:r w:rsidRPr="00A14CB9">
        <w:rPr>
          <w:i/>
        </w:rPr>
        <w:t xml:space="preserve">Invites </w:t>
      </w:r>
      <w:r w:rsidRPr="00A14CB9">
        <w:t xml:space="preserve">parties and observers, including from the automotive and aerospace industries, to provide information that would assist the further defining by the Committee of such critical spare parts and invites parties and observers from small and medium-sized enterprises of the textile industry in developing countries to provide information on the use of </w:t>
      </w:r>
      <w:proofErr w:type="spellStart"/>
      <w:r w:rsidRPr="00A14CB9">
        <w:t>decabromodiphenyl</w:t>
      </w:r>
      <w:proofErr w:type="spellEnd"/>
      <w:r w:rsidRPr="00A14CB9">
        <w:t xml:space="preserve"> ether in the textile industry before 31 January 2016;</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t>4.</w:t>
      </w:r>
      <w:r w:rsidRPr="00A14CB9">
        <w:tab/>
      </w:r>
      <w:r w:rsidRPr="00A14CB9">
        <w:rPr>
          <w:i/>
        </w:rPr>
        <w:t>Requests</w:t>
      </w:r>
      <w:r w:rsidRPr="00A14CB9">
        <w:t xml:space="preserve"> the Secretariat to compile the information provided in accordance with paragraph 3 above and make it available to the Committee;</w:t>
      </w:r>
    </w:p>
    <w:p w:rsidR="002F27AF" w:rsidRPr="00A14CB9" w:rsidRDefault="002F27AF" w:rsidP="002F27AF">
      <w:pPr>
        <w:pStyle w:val="Normal-pool"/>
        <w:tabs>
          <w:tab w:val="clear" w:pos="1247"/>
          <w:tab w:val="clear" w:pos="1814"/>
          <w:tab w:val="clear" w:pos="2381"/>
          <w:tab w:val="clear" w:pos="2948"/>
          <w:tab w:val="clear" w:pos="3515"/>
          <w:tab w:val="clear" w:pos="4082"/>
        </w:tabs>
        <w:spacing w:after="120"/>
        <w:ind w:left="426" w:firstLine="624"/>
      </w:pPr>
      <w:r w:rsidRPr="00A14CB9">
        <w:t>5.</w:t>
      </w:r>
      <w:r w:rsidRPr="00A14CB9">
        <w:tab/>
      </w:r>
      <w:r w:rsidRPr="00A14CB9">
        <w:rPr>
          <w:i/>
        </w:rPr>
        <w:t xml:space="preserve">Decides </w:t>
      </w:r>
      <w:r w:rsidRPr="00A14CB9">
        <w:t xml:space="preserve">to establish an </w:t>
      </w:r>
      <w:proofErr w:type="spellStart"/>
      <w:r w:rsidRPr="00A14CB9">
        <w:t>intersessional</w:t>
      </w:r>
      <w:proofErr w:type="spellEnd"/>
      <w:r w:rsidRPr="00A14CB9">
        <w:t xml:space="preserve"> working group to assess the information provided in accordance with paragraph 3 above with the intention of strengthening the recommendation on the listing of the chemical for consideration at its twelfth meeting.</w:t>
      </w:r>
    </w:p>
    <w:p w:rsidR="000B18ED" w:rsidRDefault="000B18ED" w:rsidP="002F27AF">
      <w:pPr>
        <w:ind w:left="426"/>
      </w:pPr>
    </w:p>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A31" w:rsidRDefault="00340A31" w:rsidP="002F27AF">
      <w:pPr>
        <w:spacing w:after="0"/>
      </w:pPr>
      <w:r>
        <w:separator/>
      </w:r>
    </w:p>
  </w:endnote>
  <w:endnote w:type="continuationSeparator" w:id="0">
    <w:p w:rsidR="00340A31" w:rsidRDefault="00340A31" w:rsidP="002F27A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A31" w:rsidRDefault="00340A31" w:rsidP="002F27AF">
      <w:pPr>
        <w:spacing w:after="0"/>
      </w:pPr>
      <w:r>
        <w:separator/>
      </w:r>
    </w:p>
  </w:footnote>
  <w:footnote w:type="continuationSeparator" w:id="0">
    <w:p w:rsidR="00340A31" w:rsidRDefault="00340A31" w:rsidP="002F27AF">
      <w:pPr>
        <w:spacing w:after="0"/>
      </w:pPr>
      <w:r>
        <w:continuationSeparator/>
      </w:r>
    </w:p>
  </w:footnote>
  <w:footnote w:id="1">
    <w:p w:rsidR="002F27AF" w:rsidRPr="00E52E5A" w:rsidRDefault="002F27AF" w:rsidP="002F27AF">
      <w:pPr>
        <w:pStyle w:val="FootnoteText"/>
        <w:tabs>
          <w:tab w:val="left" w:pos="624"/>
        </w:tabs>
        <w:rPr>
          <w:rStyle w:val="FootnoteReference"/>
          <w:sz w:val="18"/>
        </w:rPr>
      </w:pPr>
      <w:r w:rsidRPr="00E52E5A">
        <w:rPr>
          <w:rStyle w:val="FootnoteReference"/>
          <w:sz w:val="18"/>
        </w:rPr>
        <w:footnoteRef/>
      </w:r>
      <w:r w:rsidRPr="00E52E5A">
        <w:rPr>
          <w:rStyle w:val="FootnoteReference"/>
          <w:sz w:val="18"/>
        </w:rPr>
        <w:t xml:space="preserve"> </w:t>
      </w:r>
      <w:r w:rsidRPr="00E52E5A">
        <w:rPr>
          <w:rStyle w:val="FootnoteReference"/>
          <w:sz w:val="18"/>
          <w:vertAlign w:val="baseline"/>
        </w:rPr>
        <w:t>UNEP/POPS/POPRC.10/1</w:t>
      </w:r>
      <w:r w:rsidRPr="00E52E5A">
        <w:rPr>
          <w:szCs w:val="18"/>
        </w:rPr>
        <w:t>0</w:t>
      </w:r>
      <w:r w:rsidRPr="00E52E5A">
        <w:rPr>
          <w:rStyle w:val="FootnoteReference"/>
          <w:sz w:val="18"/>
          <w:vertAlign w:val="baseline"/>
        </w:rPr>
        <w:t xml:space="preserve">/Add.2. </w:t>
      </w:r>
    </w:p>
  </w:footnote>
  <w:footnote w:id="2">
    <w:p w:rsidR="002F27AF" w:rsidRPr="00131629" w:rsidRDefault="002F27AF" w:rsidP="002F27AF">
      <w:pPr>
        <w:pStyle w:val="FootnoteText"/>
        <w:tabs>
          <w:tab w:val="left" w:pos="624"/>
        </w:tabs>
        <w:rPr>
          <w:rStyle w:val="FootnoteReference"/>
        </w:rPr>
      </w:pPr>
      <w:r w:rsidRPr="00E52E5A">
        <w:rPr>
          <w:rStyle w:val="FootnoteReference"/>
          <w:sz w:val="18"/>
        </w:rPr>
        <w:footnoteRef/>
      </w:r>
      <w:r w:rsidRPr="00E52E5A">
        <w:rPr>
          <w:rStyle w:val="FootnoteReference"/>
          <w:sz w:val="18"/>
        </w:rPr>
        <w:t xml:space="preserve"> </w:t>
      </w:r>
      <w:r w:rsidRPr="00E52E5A">
        <w:rPr>
          <w:rStyle w:val="FootnoteReference"/>
          <w:sz w:val="18"/>
          <w:vertAlign w:val="baseline"/>
        </w:rPr>
        <w:t>UNEP/POPS/POPRC.11/10/Add.</w:t>
      </w:r>
      <w:r w:rsidRPr="00E52E5A">
        <w:rPr>
          <w:szCs w:val="18"/>
        </w:rPr>
        <w:t>1</w:t>
      </w:r>
      <w:r w:rsidRPr="00E52E5A">
        <w:rPr>
          <w:rStyle w:val="FootnoteReference"/>
          <w:sz w:val="18"/>
          <w:vertAlign w:val="baseline"/>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2F27AF"/>
    <w:rsid w:val="00045F3B"/>
    <w:rsid w:val="0009039B"/>
    <w:rsid w:val="000B18ED"/>
    <w:rsid w:val="002508C0"/>
    <w:rsid w:val="002E3F11"/>
    <w:rsid w:val="002F27AF"/>
    <w:rsid w:val="00340A31"/>
    <w:rsid w:val="00475D4E"/>
    <w:rsid w:val="0047632B"/>
    <w:rsid w:val="00476D2C"/>
    <w:rsid w:val="004B7AA0"/>
    <w:rsid w:val="0055191B"/>
    <w:rsid w:val="00771173"/>
    <w:rsid w:val="00A93C19"/>
    <w:rsid w:val="00A96E69"/>
    <w:rsid w:val="00B33BA9"/>
    <w:rsid w:val="00BA076F"/>
    <w:rsid w:val="00BE378E"/>
    <w:rsid w:val="00BE6CAD"/>
    <w:rsid w:val="00C21410"/>
    <w:rsid w:val="00CE0E59"/>
    <w:rsid w:val="00E52E5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7AF"/>
    <w:pPr>
      <w:spacing w:after="12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2F27AF"/>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ja-JP"/>
    </w:rPr>
  </w:style>
  <w:style w:type="character" w:styleId="FootnoteReference">
    <w:name w:val="footnote reference"/>
    <w:aliases w:val="16 Point,Superscript 6 Point,number,SUPERS,Footnote Reference Superscript,ftref,(Ref. de nota al pie)"/>
    <w:semiHidden/>
    <w:rsid w:val="002F27AF"/>
    <w:rPr>
      <w:rFonts w:ascii="Times New Roman" w:hAnsi="Times New Roman"/>
      <w:color w:val="auto"/>
      <w:sz w:val="20"/>
      <w:szCs w:val="18"/>
      <w:vertAlign w:val="superscript"/>
    </w:rPr>
  </w:style>
  <w:style w:type="paragraph" w:styleId="FootnoteText">
    <w:name w:val="footnote text"/>
    <w:aliases w:val="Geneva 9,Font: Geneva 9,Boston 10,f,Footnote Text Char Char,Footnote Text Char Char Char Char,Footnote Text1,Footnote Text Char Char Char,93,single space,Footnote Text Rail EIS,ft,Char,footnote3,Footnotes,Footnote ak,fn cafc,fn Char Char"/>
    <w:basedOn w:val="Normal"/>
    <w:link w:val="FootnoteTextChar"/>
    <w:rsid w:val="002F27AF"/>
    <w:pPr>
      <w:spacing w:before="20" w:after="40"/>
      <w:ind w:left="1247"/>
    </w:pPr>
    <w:rPr>
      <w:sz w:val="18"/>
    </w:rPr>
  </w:style>
  <w:style w:type="character" w:customStyle="1" w:styleId="FootnoteTextChar">
    <w:name w:val="Footnote Text Char"/>
    <w:aliases w:val="Geneva 9 Char,Font: Geneva 9 Char,Boston 10 Char,f Char,Footnote Text Char Char Char1,Footnote Text Char Char Char Char Char,Footnote Text1 Char,Footnote Text Char Char Char Char1,93 Char,single space Char,Footnote Text Rail EIS Char"/>
    <w:basedOn w:val="DefaultParagraphFont"/>
    <w:link w:val="FootnoteText"/>
    <w:rsid w:val="002F27AF"/>
    <w:rPr>
      <w:rFonts w:ascii="Times New Roman" w:eastAsia="Times New Roman" w:hAnsi="Times New Roman" w:cs="Times New Roman"/>
      <w:sz w:val="18"/>
      <w:szCs w:val="20"/>
    </w:rPr>
  </w:style>
  <w:style w:type="character" w:customStyle="1" w:styleId="Normal-poolChar">
    <w:name w:val="Normal-pool Char"/>
    <w:link w:val="Normal-pool"/>
    <w:locked/>
    <w:rsid w:val="002F27AF"/>
    <w:rPr>
      <w:rFonts w:ascii="Times New Roman" w:eastAsia="Times New Roman" w:hAnsi="Times New Roman" w:cs="Times New Roman"/>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330</Words>
  <Characters>2008</Characters>
  <Application>Microsoft Office Word</Application>
  <DocSecurity>0</DocSecurity>
  <Lines>30</Lines>
  <Paragraphs>13</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3</cp:revision>
  <dcterms:created xsi:type="dcterms:W3CDTF">2016-02-24T15:30:00Z</dcterms:created>
  <dcterms:modified xsi:type="dcterms:W3CDTF">2016-03-21T09:10:00Z</dcterms:modified>
</cp:coreProperties>
</file>