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0F" w:rsidRPr="00A14CB9" w:rsidRDefault="0072420F" w:rsidP="0072420F">
      <w:pPr>
        <w:keepNext/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  <w:tab w:val="left" w:pos="4082"/>
        </w:tabs>
        <w:spacing w:before="240"/>
        <w:ind w:left="1276"/>
        <w:rPr>
          <w:i/>
          <w:sz w:val="28"/>
          <w:szCs w:val="28"/>
        </w:rPr>
      </w:pPr>
      <w:r w:rsidRPr="00A14CB9">
        <w:rPr>
          <w:b/>
          <w:sz w:val="28"/>
          <w:szCs w:val="28"/>
        </w:rPr>
        <w:t>POPRC-</w:t>
      </w:r>
      <w:r w:rsidRPr="00A14CB9">
        <w:rPr>
          <w:b/>
          <w:sz w:val="28"/>
          <w:szCs w:val="28"/>
          <w:lang w:eastAsia="ja-JP"/>
        </w:rPr>
        <w:t>11</w:t>
      </w:r>
      <w:r w:rsidRPr="00A14CB9">
        <w:rPr>
          <w:b/>
          <w:sz w:val="28"/>
          <w:szCs w:val="28"/>
        </w:rPr>
        <w:t>/</w:t>
      </w:r>
      <w:r w:rsidRPr="00A14CB9">
        <w:rPr>
          <w:b/>
          <w:sz w:val="28"/>
          <w:szCs w:val="28"/>
          <w:lang w:eastAsia="ja-JP"/>
        </w:rPr>
        <w:t>6</w:t>
      </w:r>
      <w:r w:rsidRPr="00A14CB9">
        <w:rPr>
          <w:b/>
          <w:sz w:val="28"/>
          <w:szCs w:val="28"/>
        </w:rPr>
        <w:t xml:space="preserve">: Guidance on alternatives to </w:t>
      </w:r>
      <w:proofErr w:type="spellStart"/>
      <w:r w:rsidRPr="00A14CB9">
        <w:rPr>
          <w:b/>
          <w:sz w:val="28"/>
          <w:szCs w:val="28"/>
        </w:rPr>
        <w:t>perfluorooctane</w:t>
      </w:r>
      <w:proofErr w:type="spellEnd"/>
      <w:r w:rsidRPr="00A14CB9">
        <w:rPr>
          <w:b/>
          <w:sz w:val="28"/>
          <w:szCs w:val="28"/>
        </w:rPr>
        <w:t xml:space="preserve"> </w:t>
      </w:r>
      <w:proofErr w:type="spellStart"/>
      <w:r w:rsidRPr="00A14CB9">
        <w:rPr>
          <w:b/>
          <w:sz w:val="28"/>
          <w:szCs w:val="28"/>
        </w:rPr>
        <w:t>sulfonic</w:t>
      </w:r>
      <w:proofErr w:type="spellEnd"/>
      <w:r w:rsidRPr="00A14CB9">
        <w:rPr>
          <w:b/>
          <w:sz w:val="28"/>
          <w:szCs w:val="28"/>
        </w:rPr>
        <w:t xml:space="preserve"> acid, its salts, </w:t>
      </w:r>
      <w:proofErr w:type="spellStart"/>
      <w:r w:rsidRPr="00A14CB9">
        <w:rPr>
          <w:b/>
          <w:sz w:val="28"/>
          <w:szCs w:val="28"/>
        </w:rPr>
        <w:t>perfluorooctane</w:t>
      </w:r>
      <w:proofErr w:type="spellEnd"/>
      <w:r w:rsidRPr="00A14CB9">
        <w:rPr>
          <w:b/>
          <w:sz w:val="28"/>
          <w:szCs w:val="28"/>
        </w:rPr>
        <w:t xml:space="preserve"> </w:t>
      </w:r>
      <w:proofErr w:type="spellStart"/>
      <w:r w:rsidRPr="00A14CB9">
        <w:rPr>
          <w:b/>
          <w:sz w:val="28"/>
          <w:szCs w:val="28"/>
        </w:rPr>
        <w:t>sulfonyl</w:t>
      </w:r>
      <w:proofErr w:type="spellEnd"/>
      <w:r w:rsidRPr="00A14CB9">
        <w:rPr>
          <w:b/>
          <w:sz w:val="28"/>
          <w:szCs w:val="28"/>
        </w:rPr>
        <w:t xml:space="preserve"> fluoride and their related chemicals</w:t>
      </w:r>
      <w:r w:rsidRPr="00A14CB9">
        <w:rPr>
          <w:i/>
          <w:sz w:val="28"/>
          <w:szCs w:val="28"/>
        </w:rPr>
        <w:t xml:space="preserve"> </w:t>
      </w:r>
    </w:p>
    <w:p w:rsidR="0072420F" w:rsidRPr="00A14CB9" w:rsidRDefault="0072420F" w:rsidP="0072420F">
      <w:pPr>
        <w:pStyle w:val="NormalNonumber"/>
        <w:keepNext/>
        <w:keepLines/>
        <w:tabs>
          <w:tab w:val="left" w:pos="624"/>
        </w:tabs>
        <w:ind w:firstLine="624"/>
        <w:rPr>
          <w:i/>
        </w:rPr>
      </w:pPr>
      <w:r w:rsidRPr="00A14CB9">
        <w:rPr>
          <w:i/>
        </w:rPr>
        <w:t>The Persistent Organic Pollutants Review Committee</w:t>
      </w:r>
    </w:p>
    <w:p w:rsidR="0072420F" w:rsidRPr="00A14CB9" w:rsidRDefault="0072420F" w:rsidP="0072420F">
      <w:pPr>
        <w:pStyle w:val="NormalNonumber"/>
        <w:keepNext/>
        <w:keepLines/>
        <w:tabs>
          <w:tab w:val="left" w:pos="2520"/>
        </w:tabs>
        <w:ind w:firstLine="643"/>
      </w:pPr>
      <w:r w:rsidRPr="00A14CB9">
        <w:t>1.</w:t>
      </w:r>
      <w:r w:rsidRPr="00A14CB9">
        <w:tab/>
      </w:r>
      <w:r w:rsidRPr="00A14CB9">
        <w:rPr>
          <w:i/>
        </w:rPr>
        <w:t xml:space="preserve">Decides </w:t>
      </w:r>
      <w:r w:rsidRPr="00A14CB9">
        <w:t xml:space="preserve">to establish an </w:t>
      </w:r>
      <w:proofErr w:type="spellStart"/>
      <w:r w:rsidRPr="00A14CB9">
        <w:t>intersessional</w:t>
      </w:r>
      <w:proofErr w:type="spellEnd"/>
      <w:r w:rsidRPr="00A14CB9">
        <w:t xml:space="preserve"> working group to prepare revised guidance on alternatives to </w:t>
      </w:r>
      <w:proofErr w:type="spellStart"/>
      <w:r w:rsidRPr="00A14CB9">
        <w:t>perfluorooctane</w:t>
      </w:r>
      <w:proofErr w:type="spellEnd"/>
      <w:r w:rsidRPr="00A14CB9">
        <w:t xml:space="preserve"> </w:t>
      </w:r>
      <w:proofErr w:type="spellStart"/>
      <w:r w:rsidRPr="00A14CB9">
        <w:t>sulfonic</w:t>
      </w:r>
      <w:proofErr w:type="spellEnd"/>
      <w:r w:rsidRPr="00A14CB9">
        <w:t xml:space="preserve"> acid, its salts, </w:t>
      </w:r>
      <w:proofErr w:type="spellStart"/>
      <w:r w:rsidRPr="00A14CB9">
        <w:t>perfluorooctane</w:t>
      </w:r>
      <w:proofErr w:type="spellEnd"/>
      <w:r w:rsidRPr="00A14CB9">
        <w:t xml:space="preserve"> </w:t>
      </w:r>
      <w:proofErr w:type="spellStart"/>
      <w:r w:rsidRPr="00A14CB9">
        <w:t>sulfonyl</w:t>
      </w:r>
      <w:proofErr w:type="spellEnd"/>
      <w:r w:rsidRPr="00A14CB9">
        <w:t xml:space="preserve"> fluoride and their related chemicals, based on the proposal set out in the note by the Secretariat,</w:t>
      </w:r>
      <w:r w:rsidRPr="00A14CB9">
        <w:rPr>
          <w:rStyle w:val="FootnoteReference"/>
        </w:rPr>
        <w:footnoteReference w:id="1"/>
      </w:r>
      <w:r w:rsidRPr="00A14CB9" w:rsidDel="00FA75C7">
        <w:t xml:space="preserve"> </w:t>
      </w:r>
      <w:r w:rsidRPr="00A14CB9">
        <w:t xml:space="preserve">for consideration at its twelfth meeting, and agrees to work in accordance with the </w:t>
      </w:r>
      <w:proofErr w:type="spellStart"/>
      <w:r w:rsidRPr="00A14CB9">
        <w:t>workplan</w:t>
      </w:r>
      <w:proofErr w:type="spellEnd"/>
      <w:r w:rsidRPr="00A14CB9">
        <w:t xml:space="preserve"> set out in the annex to the present decision;</w:t>
      </w:r>
    </w:p>
    <w:p w:rsidR="0072420F" w:rsidRPr="00A14CB9" w:rsidRDefault="0072420F" w:rsidP="0072420F">
      <w:pPr>
        <w:pStyle w:val="NormalNonumber"/>
        <w:tabs>
          <w:tab w:val="left" w:pos="2520"/>
        </w:tabs>
        <w:ind w:firstLine="624"/>
      </w:pPr>
      <w:r w:rsidRPr="00A14CB9">
        <w:t>2.</w:t>
      </w:r>
      <w:r w:rsidRPr="00A14CB9">
        <w:tab/>
      </w:r>
      <w:r w:rsidRPr="00A14CB9">
        <w:rPr>
          <w:i/>
        </w:rPr>
        <w:t>Requests</w:t>
      </w:r>
      <w:r w:rsidRPr="00A14CB9">
        <w:t xml:space="preserve"> the Secretariat, subject to the availability of resources, to commission the preparation of the revised guidance for consideration by the Committee at its twelfth meeting;</w:t>
      </w:r>
    </w:p>
    <w:p w:rsidR="0072420F" w:rsidRPr="00A14CB9" w:rsidRDefault="0072420F" w:rsidP="0072420F">
      <w:pPr>
        <w:pStyle w:val="NormalNonumber"/>
        <w:tabs>
          <w:tab w:val="left" w:pos="2520"/>
        </w:tabs>
        <w:ind w:firstLine="624"/>
      </w:pPr>
      <w:r w:rsidRPr="00A14CB9">
        <w:t>3.</w:t>
      </w:r>
      <w:r w:rsidRPr="00A14CB9">
        <w:tab/>
      </w:r>
      <w:r w:rsidRPr="00A14CB9">
        <w:rPr>
          <w:i/>
        </w:rPr>
        <w:t xml:space="preserve">Invites </w:t>
      </w:r>
      <w:r w:rsidRPr="00A14CB9">
        <w:t xml:space="preserve">parties and observers to submit information to enable the Committee to prepare the revised guidance in accordance with the </w:t>
      </w:r>
      <w:proofErr w:type="spellStart"/>
      <w:r w:rsidRPr="00A14CB9">
        <w:t>workplan</w:t>
      </w:r>
      <w:proofErr w:type="spellEnd"/>
      <w:r w:rsidRPr="00A14CB9">
        <w:t xml:space="preserve"> set out in the annex to the present decision;</w:t>
      </w:r>
    </w:p>
    <w:p w:rsidR="0072420F" w:rsidRPr="00A14CB9" w:rsidRDefault="0072420F" w:rsidP="0072420F">
      <w:pPr>
        <w:pStyle w:val="NormalNonumber"/>
        <w:tabs>
          <w:tab w:val="left" w:pos="2520"/>
        </w:tabs>
        <w:ind w:firstLine="624"/>
      </w:pPr>
      <w:r w:rsidRPr="00A14CB9">
        <w:t>4.</w:t>
      </w:r>
      <w:r w:rsidRPr="00A14CB9">
        <w:tab/>
      </w:r>
      <w:r w:rsidRPr="00A14CB9">
        <w:rPr>
          <w:i/>
        </w:rPr>
        <w:t>Invites</w:t>
      </w:r>
      <w:r w:rsidRPr="00A14CB9">
        <w:t xml:space="preserve"> parties and observers in a position to do so to provide financial support for the implementation of the activities referred to in the present decision.</w:t>
      </w:r>
    </w:p>
    <w:p w:rsidR="0072420F" w:rsidRPr="00A14CB9" w:rsidRDefault="0072420F" w:rsidP="0072420F">
      <w:pPr>
        <w:pStyle w:val="Subtitle"/>
        <w:tabs>
          <w:tab w:val="left" w:pos="624"/>
          <w:tab w:val="left" w:pos="1247"/>
          <w:tab w:val="left" w:pos="1871"/>
          <w:tab w:val="left" w:pos="2495"/>
        </w:tabs>
        <w:spacing w:before="120" w:after="240"/>
        <w:ind w:left="624"/>
      </w:pPr>
      <w:r>
        <w:tab/>
      </w:r>
      <w:r w:rsidRPr="00A14CB9">
        <w:t>Annex to decision POPRC-11/6</w:t>
      </w:r>
    </w:p>
    <w:p w:rsidR="0072420F" w:rsidRPr="00A14CB9" w:rsidRDefault="0072420F" w:rsidP="0072420F">
      <w:pPr>
        <w:pStyle w:val="NormalNonumber"/>
        <w:keepNext/>
        <w:spacing w:before="120" w:after="240"/>
        <w:rPr>
          <w:b/>
          <w:szCs w:val="24"/>
        </w:rPr>
      </w:pPr>
      <w:proofErr w:type="spellStart"/>
      <w:r w:rsidRPr="00A14CB9">
        <w:rPr>
          <w:b/>
          <w:szCs w:val="24"/>
        </w:rPr>
        <w:t>Workplan</w:t>
      </w:r>
      <w:proofErr w:type="spellEnd"/>
      <w:r w:rsidRPr="00A14CB9">
        <w:rPr>
          <w:b/>
          <w:szCs w:val="24"/>
        </w:rPr>
        <w:t xml:space="preserve"> for the development of revised guidance on alternatives to </w:t>
      </w:r>
      <w:proofErr w:type="spellStart"/>
      <w:r w:rsidRPr="00A14CB9">
        <w:rPr>
          <w:b/>
          <w:szCs w:val="24"/>
        </w:rPr>
        <w:t>perfluorooctane</w:t>
      </w:r>
      <w:proofErr w:type="spellEnd"/>
      <w:r w:rsidRPr="00A14CB9">
        <w:rPr>
          <w:b/>
          <w:szCs w:val="24"/>
        </w:rPr>
        <w:t xml:space="preserve"> </w:t>
      </w:r>
      <w:proofErr w:type="spellStart"/>
      <w:r w:rsidRPr="00A14CB9">
        <w:rPr>
          <w:b/>
          <w:szCs w:val="24"/>
        </w:rPr>
        <w:t>sulfonic</w:t>
      </w:r>
      <w:proofErr w:type="spellEnd"/>
      <w:r w:rsidRPr="00A14CB9">
        <w:rPr>
          <w:b/>
          <w:szCs w:val="24"/>
        </w:rPr>
        <w:t xml:space="preserve"> acid, its salts, </w:t>
      </w:r>
      <w:proofErr w:type="spellStart"/>
      <w:r w:rsidRPr="00A14CB9">
        <w:rPr>
          <w:b/>
          <w:szCs w:val="24"/>
        </w:rPr>
        <w:t>perfluorooctane</w:t>
      </w:r>
      <w:proofErr w:type="spellEnd"/>
      <w:r w:rsidRPr="00A14CB9">
        <w:rPr>
          <w:b/>
          <w:szCs w:val="24"/>
        </w:rPr>
        <w:t xml:space="preserve"> </w:t>
      </w:r>
      <w:proofErr w:type="spellStart"/>
      <w:r w:rsidRPr="00A14CB9">
        <w:rPr>
          <w:b/>
          <w:szCs w:val="24"/>
        </w:rPr>
        <w:t>sulfonyl</w:t>
      </w:r>
      <w:proofErr w:type="spellEnd"/>
      <w:r w:rsidRPr="00A14CB9">
        <w:rPr>
          <w:b/>
          <w:szCs w:val="24"/>
        </w:rPr>
        <w:t xml:space="preserve"> fluoride and their related chemicals</w:t>
      </w:r>
    </w:p>
    <w:tbl>
      <w:tblPr>
        <w:tblW w:w="8327" w:type="dxa"/>
        <w:jc w:val="right"/>
        <w:tblInd w:w="-623" w:type="dxa"/>
        <w:tblLayout w:type="fixed"/>
        <w:tblLook w:val="0000"/>
      </w:tblPr>
      <w:tblGrid>
        <w:gridCol w:w="1984"/>
        <w:gridCol w:w="1701"/>
        <w:gridCol w:w="4642"/>
      </w:tblGrid>
      <w:tr w:rsidR="0072420F" w:rsidRPr="00A14CB9" w:rsidTr="00C14239">
        <w:trPr>
          <w:trHeight w:val="356"/>
          <w:tblHeader/>
          <w:jc w:val="right"/>
        </w:trPr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i/>
                <w:sz w:val="18"/>
                <w:szCs w:val="18"/>
                <w:lang w:eastAsia="en-US"/>
              </w:rPr>
            </w:pPr>
            <w:r w:rsidRPr="00A14CB9">
              <w:rPr>
                <w:i/>
                <w:sz w:val="18"/>
                <w:szCs w:val="18"/>
                <w:lang w:eastAsia="en-US"/>
              </w:rPr>
              <w:t>Scheduled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i/>
                <w:sz w:val="18"/>
                <w:szCs w:val="18"/>
                <w:lang w:eastAsia="en-US"/>
              </w:rPr>
            </w:pPr>
            <w:r w:rsidRPr="00A14CB9">
              <w:rPr>
                <w:i/>
                <w:sz w:val="18"/>
                <w:szCs w:val="18"/>
                <w:lang w:eastAsia="en-US"/>
              </w:rPr>
              <w:t>Interval between  activities (weeks)</w:t>
            </w:r>
          </w:p>
        </w:tc>
        <w:tc>
          <w:tcPr>
            <w:tcW w:w="4642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i/>
                <w:sz w:val="18"/>
                <w:szCs w:val="18"/>
                <w:lang w:eastAsia="en-US"/>
              </w:rPr>
            </w:pPr>
            <w:r w:rsidRPr="00A14CB9">
              <w:rPr>
                <w:i/>
                <w:sz w:val="18"/>
                <w:szCs w:val="18"/>
                <w:lang w:eastAsia="en-US"/>
              </w:rPr>
              <w:t>Activity</w:t>
            </w:r>
          </w:p>
        </w:tc>
      </w:tr>
      <w:tr w:rsidR="0072420F" w:rsidRPr="00A14CB9" w:rsidTr="00C14239">
        <w:trPr>
          <w:trHeight w:val="212"/>
          <w:jc w:val="right"/>
        </w:trPr>
        <w:tc>
          <w:tcPr>
            <w:tcW w:w="1984" w:type="dxa"/>
            <w:tcBorders>
              <w:top w:val="single" w:sz="12" w:space="0" w:color="auto"/>
            </w:tcBorders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23 October 2015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–</w:t>
            </w:r>
          </w:p>
        </w:tc>
        <w:tc>
          <w:tcPr>
            <w:tcW w:w="4642" w:type="dxa"/>
            <w:tcBorders>
              <w:top w:val="single" w:sz="12" w:space="0" w:color="auto"/>
            </w:tcBorders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 xml:space="preserve">The Committee establishes an </w:t>
            </w:r>
            <w:proofErr w:type="spellStart"/>
            <w:r w:rsidRPr="00A14CB9">
              <w:rPr>
                <w:sz w:val="18"/>
                <w:szCs w:val="18"/>
                <w:lang w:eastAsia="en-US"/>
              </w:rPr>
              <w:t>intersessional</w:t>
            </w:r>
            <w:proofErr w:type="spellEnd"/>
            <w:r w:rsidRPr="00A14CB9">
              <w:rPr>
                <w:sz w:val="18"/>
                <w:szCs w:val="18"/>
                <w:lang w:eastAsia="en-US"/>
              </w:rPr>
              <w:t xml:space="preserve"> working group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30 October 2015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The Secretariat invites parties and observers to submit information to assist in the preparation of the revised guidance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8 January 2016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Parties and observers submit the information to the Secretariat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4 March 2016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8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The chair of the working group complete the first draft and submit it to the Secretariat</w:t>
            </w:r>
          </w:p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The Secretariat invites the working group to provide comments on the first draft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1 April 2016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4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The working group members submit comments on the first draft to the Secretariat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29 April 2016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4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The chair of the working group review the comments on the first draft and complete the second draft and a compilation of responses to the comments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6 May 2016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The Secretariat invites parties and observers to provide comments on the second draft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17 June 2016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6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Parties and observers submit comments to the Secretariat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15 July 2016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4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The chair of the working group review the comments from parties and observers and complete the third (final) draft and a compilation of responses to the comments</w:t>
            </w:r>
          </w:p>
        </w:tc>
      </w:tr>
      <w:tr w:rsidR="0072420F" w:rsidRPr="00A14CB9" w:rsidTr="00C14239">
        <w:trPr>
          <w:trHeight w:val="211"/>
          <w:jc w:val="right"/>
        </w:trPr>
        <w:tc>
          <w:tcPr>
            <w:tcW w:w="1984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8 August 2016</w:t>
            </w:r>
          </w:p>
        </w:tc>
        <w:tc>
          <w:tcPr>
            <w:tcW w:w="1701" w:type="dxa"/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3</w:t>
            </w:r>
          </w:p>
        </w:tc>
        <w:tc>
          <w:tcPr>
            <w:tcW w:w="4642" w:type="dxa"/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The Secretariat distributes the final draft in English</w:t>
            </w:r>
          </w:p>
        </w:tc>
      </w:tr>
      <w:tr w:rsidR="0072420F" w:rsidRPr="00A14CB9" w:rsidTr="00C14239">
        <w:trPr>
          <w:trHeight w:val="401"/>
          <w:jc w:val="right"/>
        </w:trPr>
        <w:tc>
          <w:tcPr>
            <w:tcW w:w="1984" w:type="dxa"/>
            <w:tcBorders>
              <w:bottom w:val="single" w:sz="12" w:space="0" w:color="auto"/>
            </w:tcBorders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19</w:t>
            </w:r>
            <w:r w:rsidRPr="00A14CB9">
              <w:rPr>
                <w:sz w:val="18"/>
                <w:szCs w:val="18"/>
                <w:lang w:eastAsia="en-US"/>
              </w:rPr>
              <w:sym w:font="Symbol" w:char="F02D"/>
            </w:r>
            <w:r w:rsidRPr="00A14CB9">
              <w:rPr>
                <w:sz w:val="18"/>
                <w:szCs w:val="18"/>
                <w:lang w:eastAsia="en-US"/>
              </w:rPr>
              <w:t>23 September 2016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72420F" w:rsidRPr="00A14CB9" w:rsidRDefault="0072420F" w:rsidP="00C14239">
            <w:pPr>
              <w:pStyle w:val="Normal-pool"/>
              <w:spacing w:before="40" w:after="40"/>
              <w:jc w:val="center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6</w:t>
            </w:r>
          </w:p>
        </w:tc>
        <w:tc>
          <w:tcPr>
            <w:tcW w:w="4642" w:type="dxa"/>
            <w:tcBorders>
              <w:bottom w:val="single" w:sz="12" w:space="0" w:color="auto"/>
            </w:tcBorders>
          </w:tcPr>
          <w:p w:rsidR="0072420F" w:rsidRPr="00A14CB9" w:rsidRDefault="0072420F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Twelfth meeting of the Committee</w:t>
            </w:r>
          </w:p>
        </w:tc>
      </w:tr>
    </w:tbl>
    <w:p w:rsidR="0072420F" w:rsidRPr="00A14CB9" w:rsidRDefault="0072420F" w:rsidP="0072420F">
      <w:pPr>
        <w:pStyle w:val="Normal-pool"/>
      </w:pPr>
    </w:p>
    <w:p w:rsidR="000B18ED" w:rsidRPr="0072420F" w:rsidRDefault="000B18ED" w:rsidP="0072420F"/>
    <w:sectPr w:rsidR="000B18ED" w:rsidRPr="0072420F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C7B" w:rsidRDefault="00515C7B" w:rsidP="002F27AF">
      <w:pPr>
        <w:spacing w:after="0"/>
      </w:pPr>
      <w:r>
        <w:separator/>
      </w:r>
    </w:p>
  </w:endnote>
  <w:endnote w:type="continuationSeparator" w:id="0">
    <w:p w:rsidR="00515C7B" w:rsidRDefault="00515C7B" w:rsidP="002F27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C7B" w:rsidRDefault="00515C7B" w:rsidP="002F27AF">
      <w:pPr>
        <w:spacing w:after="0"/>
      </w:pPr>
      <w:r>
        <w:separator/>
      </w:r>
    </w:p>
  </w:footnote>
  <w:footnote w:type="continuationSeparator" w:id="0">
    <w:p w:rsidR="00515C7B" w:rsidRDefault="00515C7B" w:rsidP="002F27AF">
      <w:pPr>
        <w:spacing w:after="0"/>
      </w:pPr>
      <w:r>
        <w:continuationSeparator/>
      </w:r>
    </w:p>
  </w:footnote>
  <w:footnote w:id="1">
    <w:p w:rsidR="0072420F" w:rsidRPr="00A4669F" w:rsidRDefault="0072420F" w:rsidP="0072420F">
      <w:pPr>
        <w:pStyle w:val="FootnoteText"/>
        <w:rPr>
          <w:szCs w:val="18"/>
          <w:lang w:val="en-US"/>
        </w:rPr>
      </w:pPr>
      <w:r w:rsidRPr="00835DC2">
        <w:rPr>
          <w:rStyle w:val="FootnoteReference"/>
        </w:rPr>
        <w:footnoteRef/>
      </w:r>
      <w:r w:rsidRPr="00A4669F">
        <w:rPr>
          <w:szCs w:val="18"/>
          <w:lang w:val="en-US"/>
        </w:rPr>
        <w:t xml:space="preserve"> </w:t>
      </w:r>
      <w:proofErr w:type="gramStart"/>
      <w:r w:rsidRPr="00A4669F">
        <w:rPr>
          <w:szCs w:val="18"/>
          <w:lang w:val="en-US"/>
        </w:rPr>
        <w:t>UNEP/POPS/POPRC.11/INF/11</w:t>
      </w:r>
      <w:r>
        <w:rPr>
          <w:szCs w:val="18"/>
          <w:lang w:val="en-US"/>
        </w:rPr>
        <w:t>/Rev.1</w:t>
      </w:r>
      <w:r w:rsidRPr="00A4669F">
        <w:rPr>
          <w:szCs w:val="18"/>
          <w:lang w:val="en-US"/>
        </w:rPr>
        <w:t xml:space="preserve">, </w:t>
      </w:r>
      <w:r w:rsidRPr="00A4669F">
        <w:rPr>
          <w:szCs w:val="18"/>
        </w:rPr>
        <w:t>annex.</w:t>
      </w:r>
      <w:proofErr w:type="gram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AF"/>
    <w:rsid w:val="00045F3B"/>
    <w:rsid w:val="0009039B"/>
    <w:rsid w:val="000B18ED"/>
    <w:rsid w:val="000F44A4"/>
    <w:rsid w:val="002508C0"/>
    <w:rsid w:val="002E3F11"/>
    <w:rsid w:val="002F27AF"/>
    <w:rsid w:val="00475D4E"/>
    <w:rsid w:val="004B7AA0"/>
    <w:rsid w:val="00515C7B"/>
    <w:rsid w:val="0055191B"/>
    <w:rsid w:val="0072420F"/>
    <w:rsid w:val="00771173"/>
    <w:rsid w:val="00A96E69"/>
    <w:rsid w:val="00B33BA9"/>
    <w:rsid w:val="00BA076F"/>
    <w:rsid w:val="00BE378E"/>
    <w:rsid w:val="00BE6CAD"/>
    <w:rsid w:val="00C2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A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rsid w:val="002F27AF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FootnoteReference">
    <w:name w:val="footnote reference"/>
    <w:aliases w:val="16 Point,Superscript 6 Point,number,SUPERS,Footnote Reference Superscript,ftref,(Ref. de nota al pie)"/>
    <w:semiHidden/>
    <w:rsid w:val="002F27AF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Footnote Text Char Char,Footnote Text Char Char Char Char,Footnote Text1,Footnote Text Char Char Char,93,single space,Footnote Text Rail EIS,ft,Char,footnote3,Footnotes,Footnote ak,fn cafc,fn Char Char"/>
    <w:basedOn w:val="Normal"/>
    <w:link w:val="FootnoteTextChar"/>
    <w:rsid w:val="002F27AF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Geneva 9 Char,Font: Geneva 9 Char,Boston 10 Char,f Char,Footnote Text Char Char Char1,Footnote Text Char Char Char Char Char,Footnote Text1 Char,Footnote Text Char Char Char Char1,93 Char,single space Char,Footnote Text Rail EIS Char"/>
    <w:basedOn w:val="DefaultParagraphFont"/>
    <w:link w:val="FootnoteText"/>
    <w:rsid w:val="002F27AF"/>
    <w:rPr>
      <w:rFonts w:ascii="Times New Roman" w:eastAsia="Times New Roman" w:hAnsi="Times New Roman" w:cs="Times New Roman"/>
      <w:sz w:val="18"/>
      <w:szCs w:val="20"/>
    </w:rPr>
  </w:style>
  <w:style w:type="character" w:customStyle="1" w:styleId="Normal-poolChar">
    <w:name w:val="Normal-pool Char"/>
    <w:link w:val="Normal-pool"/>
    <w:locked/>
    <w:rsid w:val="002F27AF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Subtitle">
    <w:name w:val="Sub title"/>
    <w:basedOn w:val="Heading2"/>
    <w:rsid w:val="0072420F"/>
    <w:pPr>
      <w:keepLines w:val="0"/>
      <w:spacing w:before="0"/>
      <w:ind w:left="1247"/>
    </w:pPr>
    <w:rPr>
      <w:rFonts w:ascii="Times New Roman" w:eastAsia="Times New Roman" w:hAnsi="Times New Roman" w:cs="Times New Roman"/>
      <w:bCs w:val="0"/>
      <w:color w:val="auto"/>
      <w:sz w:val="24"/>
      <w:szCs w:val="24"/>
    </w:rPr>
  </w:style>
  <w:style w:type="paragraph" w:customStyle="1" w:styleId="NormalNonumber">
    <w:name w:val="Normal_No_number"/>
    <w:basedOn w:val="Normal"/>
    <w:rsid w:val="0072420F"/>
    <w:pPr>
      <w:ind w:left="12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2</cp:revision>
  <dcterms:created xsi:type="dcterms:W3CDTF">2016-02-24T15:35:00Z</dcterms:created>
  <dcterms:modified xsi:type="dcterms:W3CDTF">2016-02-24T15:35:00Z</dcterms:modified>
</cp:coreProperties>
</file>