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49D" w:rsidRPr="00A14CB9" w:rsidRDefault="0039149D" w:rsidP="0039149D">
      <w:pPr>
        <w:tabs>
          <w:tab w:val="left" w:pos="624"/>
          <w:tab w:val="left" w:pos="1247"/>
          <w:tab w:val="left" w:pos="1814"/>
          <w:tab w:val="left" w:pos="2381"/>
          <w:tab w:val="left" w:pos="2948"/>
          <w:tab w:val="left" w:pos="3515"/>
          <w:tab w:val="left" w:pos="4082"/>
        </w:tabs>
        <w:spacing w:before="240"/>
        <w:ind w:left="1276"/>
        <w:rPr>
          <w:i/>
          <w:sz w:val="28"/>
          <w:szCs w:val="28"/>
        </w:rPr>
      </w:pPr>
      <w:r w:rsidRPr="00A14CB9">
        <w:rPr>
          <w:b/>
          <w:sz w:val="28"/>
          <w:szCs w:val="28"/>
        </w:rPr>
        <w:t>POPRC-</w:t>
      </w:r>
      <w:r w:rsidRPr="00A14CB9">
        <w:rPr>
          <w:b/>
          <w:sz w:val="28"/>
          <w:szCs w:val="28"/>
          <w:lang w:eastAsia="ja-JP"/>
        </w:rPr>
        <w:t>11</w:t>
      </w:r>
      <w:r w:rsidRPr="00A14CB9">
        <w:rPr>
          <w:b/>
          <w:sz w:val="28"/>
          <w:szCs w:val="28"/>
        </w:rPr>
        <w:t>/</w:t>
      </w:r>
      <w:r w:rsidRPr="00A14CB9">
        <w:rPr>
          <w:b/>
          <w:sz w:val="28"/>
          <w:szCs w:val="28"/>
          <w:lang w:eastAsia="ja-JP"/>
        </w:rPr>
        <w:t>5</w:t>
      </w:r>
      <w:r w:rsidRPr="00A14CB9">
        <w:rPr>
          <w:b/>
          <w:sz w:val="28"/>
          <w:szCs w:val="28"/>
        </w:rPr>
        <w:t xml:space="preserve">: Unintentional releases of </w:t>
      </w:r>
      <w:proofErr w:type="spellStart"/>
      <w:r w:rsidRPr="00A14CB9">
        <w:rPr>
          <w:b/>
          <w:sz w:val="28"/>
          <w:szCs w:val="28"/>
        </w:rPr>
        <w:t>hexachlorobutadiene</w:t>
      </w:r>
      <w:proofErr w:type="spellEnd"/>
      <w:r w:rsidRPr="00A14CB9">
        <w:rPr>
          <w:i/>
          <w:sz w:val="28"/>
          <w:szCs w:val="28"/>
        </w:rPr>
        <w:t xml:space="preserve"> </w:t>
      </w:r>
    </w:p>
    <w:p w:rsidR="0039149D" w:rsidRPr="00A14CB9" w:rsidRDefault="0039149D" w:rsidP="0039149D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  <w:tab w:val="left" w:pos="624"/>
        </w:tabs>
        <w:spacing w:after="120"/>
        <w:ind w:left="1247" w:firstLine="624"/>
        <w:rPr>
          <w:i/>
        </w:rPr>
      </w:pPr>
      <w:r w:rsidRPr="00A14CB9">
        <w:rPr>
          <w:i/>
        </w:rPr>
        <w:t>The Persistent Organic Pollutants Review Committee,</w:t>
      </w:r>
    </w:p>
    <w:p w:rsidR="0039149D" w:rsidRPr="00A14CB9" w:rsidRDefault="0039149D" w:rsidP="0039149D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  <w:tab w:val="left" w:pos="624"/>
        </w:tabs>
        <w:spacing w:after="120"/>
        <w:ind w:left="1247" w:firstLine="624"/>
      </w:pPr>
      <w:r w:rsidRPr="00A14CB9">
        <w:rPr>
          <w:i/>
        </w:rPr>
        <w:t>Taking note</w:t>
      </w:r>
      <w:r w:rsidRPr="00A14CB9">
        <w:t xml:space="preserve"> </w:t>
      </w:r>
      <w:r w:rsidRPr="00A14CB9">
        <w:rPr>
          <w:lang w:eastAsia="nb-NO"/>
        </w:rPr>
        <w:t>of</w:t>
      </w:r>
      <w:r w:rsidRPr="00A14CB9">
        <w:t xml:space="preserve"> decision SC-7/11, by which the Conference of the Parties requested the Committee to further evaluate </w:t>
      </w:r>
      <w:proofErr w:type="spellStart"/>
      <w:r w:rsidRPr="00A14CB9">
        <w:t>hexachlorobutadiene</w:t>
      </w:r>
      <w:proofErr w:type="spellEnd"/>
      <w:r w:rsidRPr="00A14CB9">
        <w:t xml:space="preserve"> on the basis of newly available information in relation to its listing in Annex C and to make a recommendation to the Conference of the Parties on listing </w:t>
      </w:r>
      <w:proofErr w:type="spellStart"/>
      <w:r w:rsidRPr="00A14CB9">
        <w:t>hexachlorobutadiene</w:t>
      </w:r>
      <w:proofErr w:type="spellEnd"/>
      <w:r w:rsidRPr="00A14CB9">
        <w:t xml:space="preserve"> in Annex C for further consideration at its eighth meeting,</w:t>
      </w:r>
    </w:p>
    <w:p w:rsidR="0039149D" w:rsidRPr="00A14CB9" w:rsidRDefault="0039149D" w:rsidP="0039149D">
      <w:pPr>
        <w:pStyle w:val="Normal-pool"/>
        <w:numPr>
          <w:ilvl w:val="0"/>
          <w:numId w:val="4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  <w:tab w:val="left" w:pos="2430"/>
        </w:tabs>
        <w:spacing w:after="120"/>
        <w:ind w:left="1247" w:firstLine="624"/>
      </w:pPr>
      <w:r w:rsidRPr="00A14CB9">
        <w:rPr>
          <w:i/>
        </w:rPr>
        <w:t xml:space="preserve">Decides </w:t>
      </w:r>
      <w:r w:rsidRPr="00A14CB9">
        <w:t xml:space="preserve">to establish an </w:t>
      </w:r>
      <w:proofErr w:type="spellStart"/>
      <w:r w:rsidRPr="00A14CB9">
        <w:t>intersessional</w:t>
      </w:r>
      <w:proofErr w:type="spellEnd"/>
      <w:r w:rsidRPr="00A14CB9">
        <w:t xml:space="preserve"> working group to undertake the activities requested in paragraphs 1 and 3 of decision SC-7/11 and agrees to work in accordance with the </w:t>
      </w:r>
      <w:proofErr w:type="spellStart"/>
      <w:r w:rsidRPr="00A14CB9">
        <w:t>workplan</w:t>
      </w:r>
      <w:proofErr w:type="spellEnd"/>
      <w:r w:rsidRPr="00A14CB9">
        <w:t xml:space="preserve"> set out in the annex to the present decision;</w:t>
      </w:r>
    </w:p>
    <w:p w:rsidR="0039149D" w:rsidRPr="00A14CB9" w:rsidRDefault="0039149D" w:rsidP="0039149D">
      <w:pPr>
        <w:pStyle w:val="Normal-pool"/>
        <w:numPr>
          <w:ilvl w:val="0"/>
          <w:numId w:val="4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  <w:tab w:val="left" w:pos="2430"/>
        </w:tabs>
        <w:spacing w:after="120"/>
        <w:ind w:left="1247" w:firstLine="624"/>
      </w:pPr>
      <w:r w:rsidRPr="00A14CB9">
        <w:rPr>
          <w:i/>
        </w:rPr>
        <w:t xml:space="preserve">Requests </w:t>
      </w:r>
      <w:r w:rsidRPr="00A14CB9">
        <w:t xml:space="preserve">the Secretariat to collect from parties and observers any additional information that would assist the further evaluation by the Committee of the unintentional production of </w:t>
      </w:r>
      <w:proofErr w:type="spellStart"/>
      <w:r w:rsidRPr="00A14CB9">
        <w:t>hexachlorobutadiene</w:t>
      </w:r>
      <w:proofErr w:type="spellEnd"/>
      <w:r w:rsidRPr="00A14CB9">
        <w:t>, including in particular information regarding:</w:t>
      </w:r>
    </w:p>
    <w:p w:rsidR="0039149D" w:rsidRPr="00A14CB9" w:rsidRDefault="0039149D" w:rsidP="0039149D">
      <w:pPr>
        <w:autoSpaceDE w:val="0"/>
        <w:autoSpaceDN w:val="0"/>
        <w:adjustRightInd w:val="0"/>
        <w:ind w:left="1247" w:firstLine="624"/>
        <w:rPr>
          <w:rFonts w:eastAsia="Calibri"/>
        </w:rPr>
      </w:pPr>
      <w:r w:rsidRPr="00A14CB9">
        <w:rPr>
          <w:rFonts w:eastAsia="Calibri"/>
        </w:rPr>
        <w:t>(a)</w:t>
      </w:r>
      <w:r w:rsidRPr="00A14CB9">
        <w:rPr>
          <w:rFonts w:eastAsia="Calibri"/>
        </w:rPr>
        <w:tab/>
        <w:t xml:space="preserve">Sources of unintentional formation, releases and emissions of </w:t>
      </w:r>
      <w:proofErr w:type="spellStart"/>
      <w:r w:rsidRPr="00A14CB9">
        <w:t>hexachlorobutadiene</w:t>
      </w:r>
      <w:proofErr w:type="spellEnd"/>
      <w:r w:rsidRPr="00A14CB9" w:rsidDel="008E2666">
        <w:rPr>
          <w:rFonts w:eastAsia="Calibri"/>
        </w:rPr>
        <w:t xml:space="preserve"> </w:t>
      </w:r>
      <w:r w:rsidRPr="00A14CB9">
        <w:rPr>
          <w:rFonts w:eastAsia="Calibri"/>
        </w:rPr>
        <w:t>identified in the risk management evaluation for the chemical as well as new sources;</w:t>
      </w:r>
    </w:p>
    <w:p w:rsidR="0039149D" w:rsidRPr="00A14CB9" w:rsidRDefault="0039149D" w:rsidP="0039149D">
      <w:pPr>
        <w:autoSpaceDE w:val="0"/>
        <w:autoSpaceDN w:val="0"/>
        <w:adjustRightInd w:val="0"/>
        <w:ind w:left="1247" w:firstLine="624"/>
        <w:rPr>
          <w:rFonts w:eastAsia="Calibri"/>
        </w:rPr>
      </w:pPr>
      <w:r w:rsidRPr="00A14CB9">
        <w:rPr>
          <w:rFonts w:eastAsia="Calibri"/>
        </w:rPr>
        <w:t>(b)</w:t>
      </w:r>
      <w:r w:rsidRPr="00A14CB9">
        <w:rPr>
          <w:rFonts w:eastAsia="Calibri"/>
        </w:rPr>
        <w:tab/>
        <w:t xml:space="preserve">Standard methods for sampling, monitoring, analysing and reporting unintentional releases of </w:t>
      </w:r>
      <w:proofErr w:type="spellStart"/>
      <w:r w:rsidRPr="00A14CB9">
        <w:t>hexachlorobutadiene</w:t>
      </w:r>
      <w:proofErr w:type="spellEnd"/>
      <w:r w:rsidRPr="00A14CB9" w:rsidDel="008E2666">
        <w:rPr>
          <w:rFonts w:eastAsia="Calibri"/>
        </w:rPr>
        <w:t xml:space="preserve"> </w:t>
      </w:r>
      <w:r w:rsidRPr="00A14CB9">
        <w:rPr>
          <w:rFonts w:eastAsia="Calibri"/>
        </w:rPr>
        <w:t>in various media;</w:t>
      </w:r>
    </w:p>
    <w:p w:rsidR="0039149D" w:rsidRPr="00A14CB9" w:rsidRDefault="0039149D" w:rsidP="0039149D">
      <w:pPr>
        <w:autoSpaceDE w:val="0"/>
        <w:autoSpaceDN w:val="0"/>
        <w:adjustRightInd w:val="0"/>
        <w:ind w:left="1247" w:firstLine="624"/>
        <w:rPr>
          <w:rFonts w:eastAsia="Calibri"/>
          <w:b/>
        </w:rPr>
      </w:pPr>
      <w:r w:rsidRPr="00A14CB9">
        <w:rPr>
          <w:rFonts w:eastAsia="Calibri"/>
        </w:rPr>
        <w:t>(c)</w:t>
      </w:r>
      <w:r w:rsidRPr="00A14CB9">
        <w:rPr>
          <w:rFonts w:eastAsia="Calibri"/>
        </w:rPr>
        <w:tab/>
        <w:t xml:space="preserve">Risk management measures implemented by parties and other stakeholders to reduce and eliminate unintentional emissions and releases of </w:t>
      </w:r>
      <w:proofErr w:type="spellStart"/>
      <w:r w:rsidRPr="00A14CB9">
        <w:rPr>
          <w:rFonts w:eastAsia="Calibri"/>
        </w:rPr>
        <w:t>hexachlorobutadiene</w:t>
      </w:r>
      <w:proofErr w:type="spellEnd"/>
      <w:r w:rsidRPr="00A14CB9">
        <w:rPr>
          <w:rFonts w:eastAsia="Calibri"/>
        </w:rPr>
        <w:t xml:space="preserve"> to air, water, sludge and products;</w:t>
      </w:r>
    </w:p>
    <w:p w:rsidR="0039149D" w:rsidRPr="00A14CB9" w:rsidRDefault="0039149D" w:rsidP="0039149D">
      <w:pPr>
        <w:autoSpaceDE w:val="0"/>
        <w:autoSpaceDN w:val="0"/>
        <w:adjustRightInd w:val="0"/>
        <w:ind w:left="1247" w:firstLine="624"/>
        <w:rPr>
          <w:rFonts w:eastAsia="Calibri"/>
        </w:rPr>
      </w:pPr>
      <w:r w:rsidRPr="00A14CB9">
        <w:rPr>
          <w:rFonts w:eastAsia="Calibri"/>
        </w:rPr>
        <w:t>(d)</w:t>
      </w:r>
      <w:r w:rsidRPr="00A14CB9">
        <w:rPr>
          <w:rFonts w:eastAsia="Calibri"/>
        </w:rPr>
        <w:tab/>
        <w:t xml:space="preserve">Alternative processes for the production of halogenated chemicals to reduce and eliminate unintentional production of </w:t>
      </w:r>
      <w:proofErr w:type="spellStart"/>
      <w:r w:rsidRPr="00A14CB9">
        <w:t>hexachlorobutadiene</w:t>
      </w:r>
      <w:proofErr w:type="spellEnd"/>
      <w:r w:rsidRPr="00A14CB9">
        <w:rPr>
          <w:rFonts w:eastAsia="Calibri"/>
        </w:rPr>
        <w:t>;</w:t>
      </w:r>
    </w:p>
    <w:p w:rsidR="0039149D" w:rsidRPr="00A14CB9" w:rsidRDefault="0039149D" w:rsidP="0039149D">
      <w:pPr>
        <w:autoSpaceDE w:val="0"/>
        <w:autoSpaceDN w:val="0"/>
        <w:adjustRightInd w:val="0"/>
        <w:ind w:left="1247" w:firstLine="624"/>
        <w:rPr>
          <w:rFonts w:eastAsia="Calibri"/>
          <w:b/>
        </w:rPr>
      </w:pPr>
      <w:r w:rsidRPr="00A14CB9">
        <w:rPr>
          <w:rFonts w:eastAsia="Calibri"/>
        </w:rPr>
        <w:t>(e)</w:t>
      </w:r>
      <w:r w:rsidRPr="00A14CB9">
        <w:rPr>
          <w:rFonts w:eastAsia="Calibri"/>
        </w:rPr>
        <w:tab/>
        <w:t xml:space="preserve">Replacement of chlorinated chemicals identified as a source of unintentional releases of </w:t>
      </w:r>
      <w:proofErr w:type="spellStart"/>
      <w:r w:rsidRPr="00A14CB9">
        <w:t>hexachlorobutadiene</w:t>
      </w:r>
      <w:proofErr w:type="spellEnd"/>
      <w:r w:rsidRPr="00A14CB9">
        <w:rPr>
          <w:rFonts w:eastAsia="Calibri"/>
        </w:rPr>
        <w:t>;</w:t>
      </w:r>
    </w:p>
    <w:p w:rsidR="0039149D" w:rsidRPr="00A14CB9" w:rsidRDefault="0039149D" w:rsidP="0039149D">
      <w:pPr>
        <w:autoSpaceDE w:val="0"/>
        <w:autoSpaceDN w:val="0"/>
        <w:adjustRightInd w:val="0"/>
        <w:ind w:left="1247" w:firstLine="624"/>
        <w:rPr>
          <w:rFonts w:eastAsia="Calibri"/>
        </w:rPr>
      </w:pPr>
      <w:r w:rsidRPr="00A14CB9">
        <w:rPr>
          <w:rFonts w:eastAsia="Calibri"/>
        </w:rPr>
        <w:t>(f)</w:t>
      </w:r>
      <w:r w:rsidRPr="00A14CB9">
        <w:rPr>
          <w:rFonts w:eastAsia="Calibri"/>
        </w:rPr>
        <w:tab/>
        <w:t xml:space="preserve">Monitoring data on unintentional releases of </w:t>
      </w:r>
      <w:proofErr w:type="spellStart"/>
      <w:r w:rsidRPr="00A14CB9">
        <w:t>hexachlorobutadiene</w:t>
      </w:r>
      <w:proofErr w:type="spellEnd"/>
      <w:r w:rsidRPr="00A14CB9">
        <w:rPr>
          <w:rFonts w:eastAsia="Calibri"/>
        </w:rPr>
        <w:t>;</w:t>
      </w:r>
    </w:p>
    <w:p w:rsidR="0039149D" w:rsidRPr="00A14CB9" w:rsidRDefault="0039149D" w:rsidP="0039149D">
      <w:pPr>
        <w:autoSpaceDE w:val="0"/>
        <w:autoSpaceDN w:val="0"/>
        <w:adjustRightInd w:val="0"/>
        <w:ind w:left="1247" w:firstLine="624"/>
        <w:rPr>
          <w:rFonts w:eastAsia="Calibri"/>
        </w:rPr>
      </w:pPr>
      <w:r w:rsidRPr="00A14CB9">
        <w:rPr>
          <w:rFonts w:eastAsia="Calibri"/>
        </w:rPr>
        <w:t>(g)</w:t>
      </w:r>
      <w:r w:rsidRPr="00A14CB9">
        <w:rPr>
          <w:rFonts w:eastAsia="Calibri"/>
        </w:rPr>
        <w:tab/>
        <w:t xml:space="preserve">Cost of measures implemented to reduce and/or eliminate unintentional releases of </w:t>
      </w:r>
      <w:proofErr w:type="spellStart"/>
      <w:r w:rsidRPr="00A14CB9">
        <w:t>hexachlorobutadiene</w:t>
      </w:r>
      <w:proofErr w:type="spellEnd"/>
      <w:r w:rsidRPr="00A14CB9">
        <w:rPr>
          <w:rFonts w:eastAsia="Calibri"/>
        </w:rPr>
        <w:t>.</w:t>
      </w:r>
    </w:p>
    <w:p w:rsidR="0039149D" w:rsidRPr="00A14CB9" w:rsidRDefault="0039149D" w:rsidP="0039149D">
      <w:pPr>
        <w:pStyle w:val="Subtitle"/>
        <w:tabs>
          <w:tab w:val="left" w:pos="624"/>
          <w:tab w:val="left" w:pos="1247"/>
          <w:tab w:val="left" w:pos="1871"/>
          <w:tab w:val="left" w:pos="2495"/>
        </w:tabs>
        <w:spacing w:before="120" w:after="240"/>
        <w:ind w:left="624"/>
      </w:pPr>
      <w:r>
        <w:tab/>
      </w:r>
      <w:r w:rsidRPr="00A14CB9">
        <w:t>Annex to decision POPRC-11/5</w:t>
      </w:r>
    </w:p>
    <w:p w:rsidR="0039149D" w:rsidRPr="00A14CB9" w:rsidRDefault="0039149D" w:rsidP="0039149D">
      <w:pPr>
        <w:pStyle w:val="ZZAnxtitle"/>
        <w:spacing w:before="120" w:after="240"/>
        <w:rPr>
          <w:sz w:val="24"/>
          <w:szCs w:val="24"/>
        </w:rPr>
      </w:pPr>
      <w:proofErr w:type="spellStart"/>
      <w:r w:rsidRPr="00A14CB9">
        <w:rPr>
          <w:sz w:val="24"/>
          <w:szCs w:val="24"/>
        </w:rPr>
        <w:t>Workplan</w:t>
      </w:r>
      <w:proofErr w:type="spellEnd"/>
      <w:r w:rsidRPr="00A14CB9">
        <w:rPr>
          <w:sz w:val="24"/>
          <w:szCs w:val="24"/>
        </w:rPr>
        <w:t xml:space="preserve"> for the consideration of additional information on unintentional releases of </w:t>
      </w:r>
      <w:proofErr w:type="spellStart"/>
      <w:r w:rsidRPr="00A14CB9">
        <w:rPr>
          <w:sz w:val="24"/>
          <w:szCs w:val="24"/>
        </w:rPr>
        <w:t>hexachlorobutadiene</w:t>
      </w:r>
      <w:proofErr w:type="spellEnd"/>
    </w:p>
    <w:tbl>
      <w:tblPr>
        <w:tblW w:w="8204" w:type="dxa"/>
        <w:tblInd w:w="1458" w:type="dxa"/>
        <w:tblLayout w:type="fixed"/>
        <w:tblLook w:val="0000"/>
      </w:tblPr>
      <w:tblGrid>
        <w:gridCol w:w="2070"/>
        <w:gridCol w:w="1530"/>
        <w:gridCol w:w="4604"/>
      </w:tblGrid>
      <w:tr w:rsidR="0039149D" w:rsidRPr="00A14CB9" w:rsidTr="00C14239">
        <w:trPr>
          <w:trHeight w:val="356"/>
          <w:tblHeader/>
        </w:trPr>
        <w:tc>
          <w:tcPr>
            <w:tcW w:w="2070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rPr>
                <w:i/>
                <w:sz w:val="18"/>
                <w:szCs w:val="18"/>
              </w:rPr>
            </w:pPr>
            <w:r w:rsidRPr="00A14CB9">
              <w:rPr>
                <w:i/>
                <w:sz w:val="18"/>
                <w:szCs w:val="18"/>
              </w:rPr>
              <w:t>Scheduled date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rPr>
                <w:i/>
                <w:sz w:val="18"/>
                <w:szCs w:val="18"/>
              </w:rPr>
            </w:pPr>
            <w:r w:rsidRPr="00A14CB9">
              <w:rPr>
                <w:i/>
                <w:sz w:val="18"/>
                <w:szCs w:val="18"/>
              </w:rPr>
              <w:t>Interval between activities (weeks)</w:t>
            </w:r>
          </w:p>
        </w:tc>
        <w:tc>
          <w:tcPr>
            <w:tcW w:w="4604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rPr>
                <w:i/>
                <w:sz w:val="18"/>
                <w:szCs w:val="18"/>
              </w:rPr>
            </w:pPr>
            <w:r w:rsidRPr="00A14CB9">
              <w:rPr>
                <w:i/>
                <w:sz w:val="18"/>
                <w:szCs w:val="18"/>
              </w:rPr>
              <w:t>Activity</w:t>
            </w:r>
          </w:p>
        </w:tc>
      </w:tr>
      <w:tr w:rsidR="0039149D" w:rsidRPr="00A14CB9" w:rsidTr="00C14239">
        <w:trPr>
          <w:trHeight w:val="401"/>
        </w:trPr>
        <w:tc>
          <w:tcPr>
            <w:tcW w:w="2070" w:type="dxa"/>
            <w:tcBorders>
              <w:top w:val="single" w:sz="12" w:space="0" w:color="auto"/>
            </w:tcBorders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23 October 2015</w:t>
            </w:r>
          </w:p>
        </w:tc>
        <w:tc>
          <w:tcPr>
            <w:tcW w:w="1530" w:type="dxa"/>
            <w:tcBorders>
              <w:top w:val="single" w:sz="12" w:space="0" w:color="auto"/>
            </w:tcBorders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jc w:val="center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–</w:t>
            </w:r>
          </w:p>
        </w:tc>
        <w:tc>
          <w:tcPr>
            <w:tcW w:w="4604" w:type="dxa"/>
            <w:tcBorders>
              <w:top w:val="single" w:sz="12" w:space="0" w:color="auto"/>
            </w:tcBorders>
          </w:tcPr>
          <w:p w:rsidR="0039149D" w:rsidRPr="00A14CB9" w:rsidRDefault="0039149D" w:rsidP="00C14239">
            <w:pPr>
              <w:pStyle w:val="Normal-pool"/>
              <w:spacing w:before="40" w:after="40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 xml:space="preserve">The Committee establishes an </w:t>
            </w:r>
            <w:proofErr w:type="spellStart"/>
            <w:r w:rsidRPr="00A14CB9">
              <w:rPr>
                <w:sz w:val="18"/>
                <w:szCs w:val="18"/>
                <w:lang w:eastAsia="en-US"/>
              </w:rPr>
              <w:t>intersessional</w:t>
            </w:r>
            <w:proofErr w:type="spellEnd"/>
            <w:r w:rsidRPr="00A14CB9">
              <w:rPr>
                <w:sz w:val="18"/>
                <w:szCs w:val="18"/>
                <w:lang w:eastAsia="en-US"/>
              </w:rPr>
              <w:t xml:space="preserve"> working group</w:t>
            </w:r>
          </w:p>
        </w:tc>
      </w:tr>
      <w:tr w:rsidR="0039149D" w:rsidRPr="00A14CB9" w:rsidTr="00C14239">
        <w:trPr>
          <w:trHeight w:val="401"/>
        </w:trPr>
        <w:tc>
          <w:tcPr>
            <w:tcW w:w="2070" w:type="dxa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6 November 2015</w:t>
            </w:r>
          </w:p>
        </w:tc>
        <w:tc>
          <w:tcPr>
            <w:tcW w:w="1530" w:type="dxa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jc w:val="center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2</w:t>
            </w:r>
          </w:p>
        </w:tc>
        <w:tc>
          <w:tcPr>
            <w:tcW w:w="4604" w:type="dxa"/>
          </w:tcPr>
          <w:p w:rsidR="0039149D" w:rsidRPr="00A14CB9" w:rsidRDefault="0039149D" w:rsidP="00C14239">
            <w:pPr>
              <w:pStyle w:val="Normal-pool"/>
              <w:spacing w:before="40" w:after="40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 xml:space="preserve">The Secretariat requests parties and observers to provide any additional information that would assist the further evaluation by the Committee of the unintentional production of </w:t>
            </w:r>
            <w:proofErr w:type="spellStart"/>
            <w:r w:rsidRPr="00A14CB9">
              <w:rPr>
                <w:sz w:val="18"/>
                <w:szCs w:val="18"/>
                <w:lang w:eastAsia="en-US"/>
              </w:rPr>
              <w:t>hexachlorobutadiene</w:t>
            </w:r>
            <w:proofErr w:type="spellEnd"/>
          </w:p>
        </w:tc>
      </w:tr>
      <w:tr w:rsidR="0039149D" w:rsidRPr="00A14CB9" w:rsidTr="00C14239">
        <w:trPr>
          <w:trHeight w:val="401"/>
        </w:trPr>
        <w:tc>
          <w:tcPr>
            <w:tcW w:w="2070" w:type="dxa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15 January 2016</w:t>
            </w:r>
          </w:p>
        </w:tc>
        <w:tc>
          <w:tcPr>
            <w:tcW w:w="1530" w:type="dxa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jc w:val="center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10</w:t>
            </w:r>
          </w:p>
        </w:tc>
        <w:tc>
          <w:tcPr>
            <w:tcW w:w="4604" w:type="dxa"/>
          </w:tcPr>
          <w:p w:rsidR="0039149D" w:rsidRPr="00A14CB9" w:rsidRDefault="0039149D" w:rsidP="00C14239">
            <w:pPr>
              <w:pStyle w:val="Normal-pool"/>
              <w:spacing w:before="40" w:after="40"/>
              <w:rPr>
                <w:sz w:val="18"/>
                <w:szCs w:val="18"/>
                <w:lang w:eastAsia="en-US"/>
              </w:rPr>
            </w:pPr>
            <w:r w:rsidRPr="00A14CB9">
              <w:rPr>
                <w:sz w:val="18"/>
                <w:szCs w:val="18"/>
                <w:lang w:eastAsia="en-US"/>
              </w:rPr>
              <w:t>Parties and observers submit the information to the Secretariat</w:t>
            </w:r>
          </w:p>
        </w:tc>
      </w:tr>
      <w:tr w:rsidR="0039149D" w:rsidRPr="00A14CB9" w:rsidTr="00C14239">
        <w:trPr>
          <w:trHeight w:val="401"/>
        </w:trPr>
        <w:tc>
          <w:tcPr>
            <w:tcW w:w="2070" w:type="dxa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26 February 2016</w:t>
            </w:r>
          </w:p>
        </w:tc>
        <w:tc>
          <w:tcPr>
            <w:tcW w:w="1530" w:type="dxa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jc w:val="center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6</w:t>
            </w:r>
          </w:p>
        </w:tc>
        <w:tc>
          <w:tcPr>
            <w:tcW w:w="4604" w:type="dxa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The working group chair and drafter complete a first draft of a document containing a review of the information provided</w:t>
            </w:r>
          </w:p>
        </w:tc>
      </w:tr>
      <w:tr w:rsidR="0039149D" w:rsidRPr="00A14CB9" w:rsidTr="00C14239">
        <w:trPr>
          <w:trHeight w:val="401"/>
        </w:trPr>
        <w:tc>
          <w:tcPr>
            <w:tcW w:w="2070" w:type="dxa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25 March 2016</w:t>
            </w:r>
          </w:p>
        </w:tc>
        <w:tc>
          <w:tcPr>
            <w:tcW w:w="1530" w:type="dxa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jc w:val="center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4</w:t>
            </w:r>
          </w:p>
        </w:tc>
        <w:tc>
          <w:tcPr>
            <w:tcW w:w="4604" w:type="dxa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rPr>
                <w:b/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 xml:space="preserve">The members of the working group submit comments on the first draft to the chair and the drafter; the Secretariat invites comments from the Toolkit and BAT and BEP experts  </w:t>
            </w:r>
          </w:p>
        </w:tc>
      </w:tr>
      <w:tr w:rsidR="0039149D" w:rsidRPr="00A14CB9" w:rsidTr="00C14239">
        <w:trPr>
          <w:trHeight w:val="401"/>
        </w:trPr>
        <w:tc>
          <w:tcPr>
            <w:tcW w:w="2070" w:type="dxa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8 April 2016</w:t>
            </w:r>
          </w:p>
        </w:tc>
        <w:tc>
          <w:tcPr>
            <w:tcW w:w="1530" w:type="dxa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jc w:val="center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2</w:t>
            </w:r>
          </w:p>
        </w:tc>
        <w:tc>
          <w:tcPr>
            <w:tcW w:w="4604" w:type="dxa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The working group chair and the drafter finish their review of the comments from the working group and complete the second draft and a compilation of responses to those comments</w:t>
            </w:r>
          </w:p>
        </w:tc>
      </w:tr>
      <w:tr w:rsidR="0039149D" w:rsidRPr="00A14CB9" w:rsidTr="00C14239">
        <w:trPr>
          <w:trHeight w:val="401"/>
        </w:trPr>
        <w:tc>
          <w:tcPr>
            <w:tcW w:w="2070" w:type="dxa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15 April 2016</w:t>
            </w:r>
          </w:p>
        </w:tc>
        <w:tc>
          <w:tcPr>
            <w:tcW w:w="1530" w:type="dxa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jc w:val="center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1</w:t>
            </w:r>
          </w:p>
        </w:tc>
        <w:tc>
          <w:tcPr>
            <w:tcW w:w="4604" w:type="dxa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 xml:space="preserve">The Secretariat distributes the second draft to parties and </w:t>
            </w:r>
            <w:r w:rsidRPr="00A14CB9">
              <w:rPr>
                <w:sz w:val="18"/>
                <w:szCs w:val="18"/>
              </w:rPr>
              <w:lastRenderedPageBreak/>
              <w:t>observers</w:t>
            </w:r>
          </w:p>
        </w:tc>
      </w:tr>
      <w:tr w:rsidR="0039149D" w:rsidRPr="00A14CB9" w:rsidTr="00C14239">
        <w:trPr>
          <w:trHeight w:val="401"/>
        </w:trPr>
        <w:tc>
          <w:tcPr>
            <w:tcW w:w="2070" w:type="dxa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lastRenderedPageBreak/>
              <w:t>13 May 2016</w:t>
            </w:r>
          </w:p>
        </w:tc>
        <w:tc>
          <w:tcPr>
            <w:tcW w:w="1530" w:type="dxa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jc w:val="center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4</w:t>
            </w:r>
          </w:p>
        </w:tc>
        <w:tc>
          <w:tcPr>
            <w:tcW w:w="4604" w:type="dxa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Parties and observers submit their comments to the Secretariat</w:t>
            </w:r>
          </w:p>
        </w:tc>
      </w:tr>
      <w:tr w:rsidR="0039149D" w:rsidRPr="00A14CB9" w:rsidTr="00C14239">
        <w:trPr>
          <w:trHeight w:val="401"/>
        </w:trPr>
        <w:tc>
          <w:tcPr>
            <w:tcW w:w="2070" w:type="dxa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27 May 2016</w:t>
            </w:r>
          </w:p>
        </w:tc>
        <w:tc>
          <w:tcPr>
            <w:tcW w:w="1530" w:type="dxa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jc w:val="center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2</w:t>
            </w:r>
          </w:p>
        </w:tc>
        <w:tc>
          <w:tcPr>
            <w:tcW w:w="4604" w:type="dxa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The working group chair and the drafter review the comments from parties and observers and complete the final draft and a compilation of responses to those comments</w:t>
            </w:r>
          </w:p>
        </w:tc>
      </w:tr>
      <w:tr w:rsidR="0039149D" w:rsidRPr="00A14CB9" w:rsidTr="00C14239">
        <w:trPr>
          <w:trHeight w:val="401"/>
        </w:trPr>
        <w:tc>
          <w:tcPr>
            <w:tcW w:w="2070" w:type="dxa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3 June 2016</w:t>
            </w:r>
          </w:p>
        </w:tc>
        <w:tc>
          <w:tcPr>
            <w:tcW w:w="1530" w:type="dxa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jc w:val="center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1</w:t>
            </w:r>
          </w:p>
        </w:tc>
        <w:tc>
          <w:tcPr>
            <w:tcW w:w="4604" w:type="dxa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The Secretariat sends the final draft to the Division of Conference Services, United Nations Office at Nairobi, for editing and translation</w:t>
            </w:r>
          </w:p>
        </w:tc>
      </w:tr>
      <w:tr w:rsidR="0039149D" w:rsidRPr="00A14CB9" w:rsidTr="00C14239">
        <w:trPr>
          <w:trHeight w:val="401"/>
        </w:trPr>
        <w:tc>
          <w:tcPr>
            <w:tcW w:w="2070" w:type="dxa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29 July 2016</w:t>
            </w:r>
          </w:p>
        </w:tc>
        <w:tc>
          <w:tcPr>
            <w:tcW w:w="1530" w:type="dxa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jc w:val="center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8</w:t>
            </w:r>
          </w:p>
        </w:tc>
        <w:tc>
          <w:tcPr>
            <w:tcW w:w="4604" w:type="dxa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The Division of Conference Services completes the editing and translation of the final draft</w:t>
            </w:r>
          </w:p>
        </w:tc>
      </w:tr>
      <w:tr w:rsidR="0039149D" w:rsidRPr="00A14CB9" w:rsidTr="00C14239">
        <w:trPr>
          <w:trHeight w:val="401"/>
        </w:trPr>
        <w:tc>
          <w:tcPr>
            <w:tcW w:w="2070" w:type="dxa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5 August 2016</w:t>
            </w:r>
          </w:p>
        </w:tc>
        <w:tc>
          <w:tcPr>
            <w:tcW w:w="1530" w:type="dxa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jc w:val="center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1</w:t>
            </w:r>
          </w:p>
        </w:tc>
        <w:tc>
          <w:tcPr>
            <w:tcW w:w="4604" w:type="dxa"/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The Secretariat distributes the final draft in the six official languages of the United Nations</w:t>
            </w:r>
          </w:p>
        </w:tc>
      </w:tr>
      <w:tr w:rsidR="0039149D" w:rsidRPr="00A14CB9" w:rsidTr="00C14239">
        <w:trPr>
          <w:trHeight w:val="401"/>
        </w:trPr>
        <w:tc>
          <w:tcPr>
            <w:tcW w:w="2070" w:type="dxa"/>
            <w:tcBorders>
              <w:bottom w:val="single" w:sz="12" w:space="0" w:color="auto"/>
            </w:tcBorders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19</w:t>
            </w:r>
            <w:r w:rsidRPr="00A14CB9">
              <w:rPr>
                <w:sz w:val="18"/>
                <w:szCs w:val="18"/>
              </w:rPr>
              <w:sym w:font="Symbol" w:char="F02D"/>
            </w:r>
            <w:r w:rsidRPr="00A14CB9">
              <w:rPr>
                <w:sz w:val="18"/>
                <w:szCs w:val="18"/>
              </w:rPr>
              <w:t>23 September 2016</w:t>
            </w: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jc w:val="center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6</w:t>
            </w:r>
          </w:p>
        </w:tc>
        <w:tc>
          <w:tcPr>
            <w:tcW w:w="4604" w:type="dxa"/>
            <w:tcBorders>
              <w:bottom w:val="single" w:sz="12" w:space="0" w:color="auto"/>
            </w:tcBorders>
          </w:tcPr>
          <w:p w:rsidR="0039149D" w:rsidRPr="00A14CB9" w:rsidRDefault="0039149D" w:rsidP="00C14239">
            <w:pPr>
              <w:widowControl w:val="0"/>
              <w:adjustRightInd w:val="0"/>
              <w:snapToGrid w:val="0"/>
              <w:spacing w:before="40" w:after="40"/>
              <w:rPr>
                <w:sz w:val="18"/>
                <w:szCs w:val="18"/>
              </w:rPr>
            </w:pPr>
            <w:r w:rsidRPr="00A14CB9">
              <w:rPr>
                <w:sz w:val="18"/>
                <w:szCs w:val="18"/>
              </w:rPr>
              <w:t>Twelfth meeting of the Committee</w:t>
            </w:r>
          </w:p>
        </w:tc>
      </w:tr>
    </w:tbl>
    <w:p w:rsidR="0039149D" w:rsidRPr="00A14CB9" w:rsidRDefault="0039149D" w:rsidP="0039149D">
      <w:pPr>
        <w:pStyle w:val="Normal-pool"/>
      </w:pPr>
    </w:p>
    <w:p w:rsidR="000B18ED" w:rsidRPr="0039149D" w:rsidRDefault="000B18ED" w:rsidP="0039149D"/>
    <w:sectPr w:rsidR="000B18ED" w:rsidRPr="0039149D" w:rsidSect="000B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32C6" w:rsidRDefault="00B932C6" w:rsidP="002F27AF">
      <w:pPr>
        <w:spacing w:after="0"/>
      </w:pPr>
      <w:r>
        <w:separator/>
      </w:r>
    </w:p>
  </w:endnote>
  <w:endnote w:type="continuationSeparator" w:id="0">
    <w:p w:rsidR="00B932C6" w:rsidRDefault="00B932C6" w:rsidP="002F27A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32C6" w:rsidRDefault="00B932C6" w:rsidP="002F27AF">
      <w:pPr>
        <w:spacing w:after="0"/>
      </w:pPr>
      <w:r>
        <w:separator/>
      </w:r>
    </w:p>
  </w:footnote>
  <w:footnote w:type="continuationSeparator" w:id="0">
    <w:p w:rsidR="00B932C6" w:rsidRDefault="00B932C6" w:rsidP="002F27A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113A7"/>
    <w:multiLevelType w:val="multilevel"/>
    <w:tmpl w:val="48241D10"/>
    <w:numStyleLink w:val="Normallist"/>
  </w:abstractNum>
  <w:abstractNum w:abstractNumId="1">
    <w:nsid w:val="35441E55"/>
    <w:multiLevelType w:val="hybridMultilevel"/>
    <w:tmpl w:val="C8E6D44C"/>
    <w:lvl w:ilvl="0" w:tplc="0409000F">
      <w:start w:val="1"/>
      <w:numFmt w:val="decimal"/>
      <w:lvlText w:val="%1."/>
      <w:lvlJc w:val="left"/>
      <w:pPr>
        <w:ind w:left="3215" w:hanging="360"/>
      </w:pPr>
    </w:lvl>
    <w:lvl w:ilvl="1" w:tplc="04090019" w:tentative="1">
      <w:start w:val="1"/>
      <w:numFmt w:val="lowerLetter"/>
      <w:lvlText w:val="%2."/>
      <w:lvlJc w:val="left"/>
      <w:pPr>
        <w:ind w:left="3935" w:hanging="360"/>
      </w:pPr>
    </w:lvl>
    <w:lvl w:ilvl="2" w:tplc="0409001B" w:tentative="1">
      <w:start w:val="1"/>
      <w:numFmt w:val="lowerRoman"/>
      <w:lvlText w:val="%3."/>
      <w:lvlJc w:val="right"/>
      <w:pPr>
        <w:ind w:left="4655" w:hanging="180"/>
      </w:pPr>
    </w:lvl>
    <w:lvl w:ilvl="3" w:tplc="0409000F" w:tentative="1">
      <w:start w:val="1"/>
      <w:numFmt w:val="decimal"/>
      <w:lvlText w:val="%4."/>
      <w:lvlJc w:val="left"/>
      <w:pPr>
        <w:ind w:left="5375" w:hanging="360"/>
      </w:pPr>
    </w:lvl>
    <w:lvl w:ilvl="4" w:tplc="04090019" w:tentative="1">
      <w:start w:val="1"/>
      <w:numFmt w:val="lowerLetter"/>
      <w:lvlText w:val="%5."/>
      <w:lvlJc w:val="left"/>
      <w:pPr>
        <w:ind w:left="6095" w:hanging="360"/>
      </w:pPr>
    </w:lvl>
    <w:lvl w:ilvl="5" w:tplc="0409001B" w:tentative="1">
      <w:start w:val="1"/>
      <w:numFmt w:val="lowerRoman"/>
      <w:lvlText w:val="%6."/>
      <w:lvlJc w:val="right"/>
      <w:pPr>
        <w:ind w:left="6815" w:hanging="180"/>
      </w:pPr>
    </w:lvl>
    <w:lvl w:ilvl="6" w:tplc="0409000F" w:tentative="1">
      <w:start w:val="1"/>
      <w:numFmt w:val="decimal"/>
      <w:lvlText w:val="%7."/>
      <w:lvlJc w:val="left"/>
      <w:pPr>
        <w:ind w:left="7535" w:hanging="360"/>
      </w:pPr>
    </w:lvl>
    <w:lvl w:ilvl="7" w:tplc="04090019" w:tentative="1">
      <w:start w:val="1"/>
      <w:numFmt w:val="lowerLetter"/>
      <w:lvlText w:val="%8."/>
      <w:lvlJc w:val="left"/>
      <w:pPr>
        <w:ind w:left="8255" w:hanging="360"/>
      </w:pPr>
    </w:lvl>
    <w:lvl w:ilvl="8" w:tplc="0409001B" w:tentative="1">
      <w:start w:val="1"/>
      <w:numFmt w:val="lowerRoman"/>
      <w:lvlText w:val="%9."/>
      <w:lvlJc w:val="right"/>
      <w:pPr>
        <w:ind w:left="8975" w:hanging="180"/>
      </w:pPr>
    </w:lvl>
  </w:abstractNum>
  <w:abstractNum w:abstractNumId="2">
    <w:nsid w:val="39AA0054"/>
    <w:multiLevelType w:val="hybridMultilevel"/>
    <w:tmpl w:val="7070D2FC"/>
    <w:lvl w:ilvl="0" w:tplc="3CFE2820">
      <w:start w:val="1"/>
      <w:numFmt w:val="decimal"/>
      <w:lvlText w:val="%1."/>
      <w:lvlJc w:val="left"/>
      <w:pPr>
        <w:tabs>
          <w:tab w:val="num" w:pos="1607"/>
        </w:tabs>
        <w:ind w:left="1607" w:hanging="360"/>
      </w:pPr>
      <w:rPr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327"/>
        </w:tabs>
        <w:ind w:left="232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047"/>
        </w:tabs>
        <w:ind w:left="304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767"/>
        </w:tabs>
        <w:ind w:left="376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487"/>
        </w:tabs>
        <w:ind w:left="448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207"/>
        </w:tabs>
        <w:ind w:left="520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927"/>
        </w:tabs>
        <w:ind w:left="592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647"/>
        </w:tabs>
        <w:ind w:left="664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367"/>
        </w:tabs>
        <w:ind w:left="7367" w:hanging="180"/>
      </w:pPr>
    </w:lvl>
  </w:abstractNum>
  <w:abstractNum w:abstractNumId="3">
    <w:nsid w:val="52A66A9D"/>
    <w:multiLevelType w:val="multilevel"/>
    <w:tmpl w:val="48241D10"/>
    <w:styleLink w:val="Normallist"/>
    <w:lvl w:ilvl="0">
      <w:start w:val="1"/>
      <w:numFmt w:val="decimal"/>
      <w:pStyle w:val="Normalnumber"/>
      <w:lvlText w:val="%1."/>
      <w:lvlJc w:val="left"/>
      <w:pPr>
        <w:tabs>
          <w:tab w:val="num" w:pos="567"/>
        </w:tabs>
        <w:ind w:left="1247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1247" w:firstLine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567"/>
        </w:tabs>
        <w:ind w:left="2948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567"/>
        </w:tabs>
        <w:ind w:left="3515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548"/>
        </w:tabs>
        <w:ind w:left="65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68"/>
        </w:tabs>
        <w:ind w:left="72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88"/>
        </w:tabs>
        <w:ind w:left="79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708"/>
        </w:tabs>
        <w:ind w:left="87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428"/>
        </w:tabs>
        <w:ind w:left="9428" w:hanging="18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F27AF"/>
    <w:rsid w:val="00045F3B"/>
    <w:rsid w:val="0009039B"/>
    <w:rsid w:val="000B18ED"/>
    <w:rsid w:val="000F6FED"/>
    <w:rsid w:val="001B657E"/>
    <w:rsid w:val="002508C0"/>
    <w:rsid w:val="002E3F11"/>
    <w:rsid w:val="002F27AF"/>
    <w:rsid w:val="0039149D"/>
    <w:rsid w:val="00475D4E"/>
    <w:rsid w:val="004B7AA0"/>
    <w:rsid w:val="0055191B"/>
    <w:rsid w:val="006F5E21"/>
    <w:rsid w:val="00771173"/>
    <w:rsid w:val="00A96E69"/>
    <w:rsid w:val="00B33BA9"/>
    <w:rsid w:val="00B932C6"/>
    <w:rsid w:val="00BA076F"/>
    <w:rsid w:val="00BE378E"/>
    <w:rsid w:val="00BE6CAD"/>
    <w:rsid w:val="00C21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7AF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F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pool">
    <w:name w:val="Normal-pool"/>
    <w:link w:val="Normal-poolChar"/>
    <w:rsid w:val="002F27AF"/>
    <w:pPr>
      <w:tabs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styleId="FootnoteReference">
    <w:name w:val="footnote reference"/>
    <w:aliases w:val="16 Point,Superscript 6 Point,number,SUPERS,Footnote Reference Superscript,ftref,(Ref. de nota al pie)"/>
    <w:semiHidden/>
    <w:rsid w:val="002F27AF"/>
    <w:rPr>
      <w:rFonts w:ascii="Times New Roman" w:hAnsi="Times New Roman"/>
      <w:color w:val="auto"/>
      <w:sz w:val="20"/>
      <w:szCs w:val="18"/>
      <w:vertAlign w:val="superscript"/>
    </w:rPr>
  </w:style>
  <w:style w:type="paragraph" w:styleId="FootnoteText">
    <w:name w:val="footnote text"/>
    <w:aliases w:val="Geneva 9,Font: Geneva 9,Boston 10,f,Footnote Text Char Char,Footnote Text Char Char Char Char,Footnote Text1,Footnote Text Char Char Char,93,single space,Footnote Text Rail EIS,ft,Char,footnote3,Footnotes,Footnote ak,fn cafc,fn Char Char"/>
    <w:basedOn w:val="Normal"/>
    <w:link w:val="FootnoteTextChar"/>
    <w:rsid w:val="002F27AF"/>
    <w:pPr>
      <w:spacing w:before="20" w:after="40"/>
      <w:ind w:left="1247"/>
    </w:pPr>
    <w:rPr>
      <w:sz w:val="18"/>
    </w:rPr>
  </w:style>
  <w:style w:type="character" w:customStyle="1" w:styleId="FootnoteTextChar">
    <w:name w:val="Footnote Text Char"/>
    <w:aliases w:val="Geneva 9 Char,Font: Geneva 9 Char,Boston 10 Char,f Char,Footnote Text Char Char Char1,Footnote Text Char Char Char Char Char,Footnote Text1 Char,Footnote Text Char Char Char Char1,93 Char,single space Char,Footnote Text Rail EIS Char"/>
    <w:basedOn w:val="DefaultParagraphFont"/>
    <w:link w:val="FootnoteText"/>
    <w:rsid w:val="002F27AF"/>
    <w:rPr>
      <w:rFonts w:ascii="Times New Roman" w:eastAsia="Times New Roman" w:hAnsi="Times New Roman" w:cs="Times New Roman"/>
      <w:sz w:val="18"/>
      <w:szCs w:val="20"/>
    </w:rPr>
  </w:style>
  <w:style w:type="character" w:customStyle="1" w:styleId="Normal-poolChar">
    <w:name w:val="Normal-pool Char"/>
    <w:link w:val="Normal-pool"/>
    <w:locked/>
    <w:rsid w:val="002F27AF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customStyle="1" w:styleId="CH2">
    <w:name w:val="CH2"/>
    <w:basedOn w:val="Normal"/>
    <w:next w:val="Normalnumber"/>
    <w:link w:val="CH2Char"/>
    <w:rsid w:val="000F6FED"/>
    <w:pPr>
      <w:keepNext/>
      <w:keepLines/>
      <w:tabs>
        <w:tab w:val="right" w:pos="851"/>
      </w:tabs>
      <w:suppressAutoHyphens/>
      <w:spacing w:before="120"/>
      <w:ind w:left="1247" w:right="284" w:hanging="1247"/>
    </w:pPr>
    <w:rPr>
      <w:b/>
      <w:sz w:val="24"/>
      <w:szCs w:val="24"/>
      <w:lang/>
    </w:rPr>
  </w:style>
  <w:style w:type="paragraph" w:customStyle="1" w:styleId="CH3">
    <w:name w:val="CH3"/>
    <w:basedOn w:val="Normal"/>
    <w:next w:val="Normalnumber"/>
    <w:rsid w:val="000F6FED"/>
    <w:pPr>
      <w:keepNext/>
      <w:keepLines/>
      <w:tabs>
        <w:tab w:val="right" w:pos="851"/>
      </w:tabs>
      <w:suppressAutoHyphens/>
      <w:ind w:left="1247" w:right="284" w:hanging="1247"/>
    </w:pPr>
    <w:rPr>
      <w:b/>
    </w:rPr>
  </w:style>
  <w:style w:type="character" w:customStyle="1" w:styleId="CH2Char">
    <w:name w:val="CH2 Char"/>
    <w:link w:val="CH2"/>
    <w:rsid w:val="000F6FED"/>
    <w:rPr>
      <w:rFonts w:ascii="Times New Roman" w:eastAsia="Times New Roman" w:hAnsi="Times New Roman" w:cs="Times New Roman"/>
      <w:b/>
      <w:sz w:val="24"/>
      <w:szCs w:val="24"/>
      <w:lang/>
    </w:rPr>
  </w:style>
  <w:style w:type="character" w:customStyle="1" w:styleId="NormalnumberChar">
    <w:name w:val="Normal_number Char"/>
    <w:link w:val="Normalnumber"/>
    <w:uiPriority w:val="99"/>
    <w:locked/>
    <w:rsid w:val="000F6FED"/>
  </w:style>
  <w:style w:type="paragraph" w:customStyle="1" w:styleId="Subtitle">
    <w:name w:val="Sub title"/>
    <w:basedOn w:val="Heading2"/>
    <w:rsid w:val="000F6FED"/>
    <w:pPr>
      <w:keepLines w:val="0"/>
      <w:spacing w:before="0"/>
      <w:ind w:left="1247"/>
    </w:pPr>
    <w:rPr>
      <w:rFonts w:ascii="Times New Roman" w:eastAsia="Times New Roman" w:hAnsi="Times New Roman" w:cs="Times New Roman"/>
      <w:bCs w:val="0"/>
      <w:color w:val="auto"/>
      <w:sz w:val="24"/>
      <w:szCs w:val="24"/>
    </w:rPr>
  </w:style>
  <w:style w:type="numbering" w:customStyle="1" w:styleId="Normallist">
    <w:name w:val="Normal_list"/>
    <w:basedOn w:val="NoList"/>
    <w:rsid w:val="000F6FED"/>
    <w:pPr>
      <w:numPr>
        <w:numId w:val="1"/>
      </w:numPr>
    </w:pPr>
  </w:style>
  <w:style w:type="paragraph" w:customStyle="1" w:styleId="NormalNonumber">
    <w:name w:val="Normal_No_number"/>
    <w:basedOn w:val="Normal"/>
    <w:rsid w:val="000F6FED"/>
    <w:pPr>
      <w:ind w:left="1247"/>
    </w:pPr>
  </w:style>
  <w:style w:type="paragraph" w:customStyle="1" w:styleId="Normalnumber">
    <w:name w:val="Normal_number"/>
    <w:basedOn w:val="Normal"/>
    <w:link w:val="NormalnumberChar"/>
    <w:uiPriority w:val="99"/>
    <w:rsid w:val="000F6FED"/>
    <w:pPr>
      <w:numPr>
        <w:numId w:val="2"/>
      </w:numPr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F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ZZAnxtitle">
    <w:name w:val="ZZ_Anx_title"/>
    <w:basedOn w:val="Normal"/>
    <w:rsid w:val="0039149D"/>
    <w:pPr>
      <w:spacing w:before="360"/>
      <w:ind w:left="1247"/>
    </w:pPr>
    <w:rPr>
      <w:b/>
      <w:bCs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lgong</dc:creator>
  <cp:lastModifiedBy>lgong</cp:lastModifiedBy>
  <cp:revision>2</cp:revision>
  <dcterms:created xsi:type="dcterms:W3CDTF">2016-02-24T15:34:00Z</dcterms:created>
  <dcterms:modified xsi:type="dcterms:W3CDTF">2016-02-24T15:34:00Z</dcterms:modified>
</cp:coreProperties>
</file>