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56A" w:rsidRPr="00851B6C" w:rsidRDefault="0002656A" w:rsidP="0002656A">
      <w:pPr>
        <w:tabs>
          <w:tab w:val="left" w:pos="624"/>
        </w:tabs>
        <w:spacing w:after="120"/>
        <w:ind w:left="1247"/>
        <w:rPr>
          <w:b/>
          <w:sz w:val="28"/>
          <w:szCs w:val="28"/>
        </w:rPr>
      </w:pPr>
      <w:r w:rsidRPr="00851B6C">
        <w:rPr>
          <w:b/>
          <w:sz w:val="28"/>
          <w:szCs w:val="28"/>
        </w:rPr>
        <w:t>SC-7/20: Fourth review of the financial mechanism</w:t>
      </w:r>
    </w:p>
    <w:p w:rsidR="0002656A" w:rsidRPr="00851B6C" w:rsidRDefault="0002656A" w:rsidP="0002656A">
      <w:pPr>
        <w:autoSpaceDE w:val="0"/>
        <w:autoSpaceDN w:val="0"/>
        <w:adjustRightInd w:val="0"/>
        <w:spacing w:after="120"/>
        <w:ind w:left="1247" w:firstLine="624"/>
        <w:rPr>
          <w:i/>
          <w:iCs/>
          <w:sz w:val="20"/>
          <w:lang w:val="en-US"/>
        </w:rPr>
      </w:pPr>
      <w:r w:rsidRPr="00851B6C">
        <w:rPr>
          <w:i/>
          <w:iCs/>
          <w:sz w:val="20"/>
          <w:lang w:val="en-US"/>
        </w:rPr>
        <w:t>The Conference of the Parties</w:t>
      </w:r>
    </w:p>
    <w:p w:rsidR="0002656A" w:rsidRPr="00851B6C" w:rsidRDefault="0002656A" w:rsidP="0002656A">
      <w:pPr>
        <w:numPr>
          <w:ilvl w:val="0"/>
          <w:numId w:val="7"/>
        </w:numPr>
        <w:tabs>
          <w:tab w:val="clear" w:pos="3215"/>
        </w:tabs>
        <w:autoSpaceDE w:val="0"/>
        <w:autoSpaceDN w:val="0"/>
        <w:adjustRightInd w:val="0"/>
        <w:spacing w:after="120" w:line="276" w:lineRule="auto"/>
        <w:ind w:left="1247" w:firstLine="624"/>
        <w:rPr>
          <w:sz w:val="20"/>
        </w:rPr>
      </w:pPr>
      <w:r w:rsidRPr="00851B6C">
        <w:rPr>
          <w:i/>
          <w:sz w:val="20"/>
        </w:rPr>
        <w:t xml:space="preserve">Adopts </w:t>
      </w:r>
      <w:r w:rsidRPr="00851B6C">
        <w:rPr>
          <w:sz w:val="20"/>
        </w:rPr>
        <w:t>the terms of reference for the fourth review of the financial mechanism set out in the annex to the present decision;</w:t>
      </w:r>
    </w:p>
    <w:p w:rsidR="0002656A" w:rsidRPr="00851B6C" w:rsidRDefault="0002656A" w:rsidP="0002656A">
      <w:pPr>
        <w:numPr>
          <w:ilvl w:val="0"/>
          <w:numId w:val="7"/>
        </w:numPr>
        <w:tabs>
          <w:tab w:val="clear" w:pos="3215"/>
        </w:tabs>
        <w:autoSpaceDE w:val="0"/>
        <w:autoSpaceDN w:val="0"/>
        <w:adjustRightInd w:val="0"/>
        <w:spacing w:after="120" w:line="276" w:lineRule="auto"/>
        <w:ind w:left="1247" w:firstLine="624"/>
        <w:rPr>
          <w:color w:val="000000"/>
          <w:sz w:val="20"/>
        </w:rPr>
      </w:pPr>
      <w:r w:rsidRPr="00851B6C">
        <w:rPr>
          <w:i/>
          <w:sz w:val="20"/>
        </w:rPr>
        <w:t>Requests</w:t>
      </w:r>
      <w:r w:rsidRPr="00851B6C">
        <w:rPr>
          <w:sz w:val="20"/>
        </w:rPr>
        <w:t xml:space="preserve"> the Secretariat to compile information relevant to the fourth review of the financial mechanism and submit it to the Conference of the Parties for consideration at its eighth meeting.</w:t>
      </w:r>
      <w:r w:rsidRPr="00851B6C">
        <w:rPr>
          <w:color w:val="000000"/>
          <w:sz w:val="20"/>
        </w:rPr>
        <w:t xml:space="preserve"> </w:t>
      </w:r>
    </w:p>
    <w:p w:rsidR="0002656A" w:rsidRPr="00851B6C" w:rsidRDefault="0002656A" w:rsidP="0002656A">
      <w:pPr>
        <w:spacing w:before="120"/>
        <w:ind w:firstLine="1276"/>
        <w:rPr>
          <w:b/>
          <w:bCs/>
          <w:sz w:val="28"/>
          <w:szCs w:val="22"/>
          <w:lang w:val="en-US"/>
        </w:rPr>
      </w:pPr>
      <w:r w:rsidRPr="00851B6C">
        <w:rPr>
          <w:b/>
          <w:bCs/>
          <w:sz w:val="28"/>
          <w:szCs w:val="22"/>
          <w:lang w:val="en-US"/>
        </w:rPr>
        <w:t>Annex to decision SC-7/20</w:t>
      </w:r>
    </w:p>
    <w:p w:rsidR="0002656A" w:rsidRPr="00851B6C" w:rsidRDefault="0002656A" w:rsidP="0002656A">
      <w:pPr>
        <w:spacing w:before="320" w:after="120"/>
        <w:ind w:left="1245"/>
        <w:rPr>
          <w:b/>
          <w:bCs/>
          <w:sz w:val="28"/>
          <w:szCs w:val="26"/>
          <w:lang w:val="en-US"/>
        </w:rPr>
      </w:pPr>
      <w:r>
        <w:rPr>
          <w:b/>
          <w:bCs/>
          <w:sz w:val="28"/>
          <w:szCs w:val="26"/>
          <w:lang w:val="en-US"/>
        </w:rPr>
        <w:t>T</w:t>
      </w:r>
      <w:r w:rsidRPr="00851B6C">
        <w:rPr>
          <w:b/>
          <w:bCs/>
          <w:sz w:val="28"/>
          <w:szCs w:val="26"/>
          <w:lang w:val="en-US"/>
        </w:rPr>
        <w:t>erms of reference for the fourth review of the financial mechanism</w:t>
      </w:r>
    </w:p>
    <w:p w:rsidR="0002656A" w:rsidRPr="00851B6C" w:rsidRDefault="0002656A" w:rsidP="0002656A">
      <w:pPr>
        <w:keepNext/>
        <w:keepLines/>
        <w:suppressAutoHyphens/>
        <w:spacing w:before="240" w:after="120"/>
        <w:ind w:left="624" w:right="284" w:hanging="624"/>
        <w:rPr>
          <w:b/>
          <w:szCs w:val="24"/>
        </w:rPr>
      </w:pPr>
      <w:r w:rsidRPr="00851B6C">
        <w:rPr>
          <w:b/>
          <w:szCs w:val="24"/>
        </w:rPr>
        <w:tab/>
      </w:r>
      <w:r>
        <w:rPr>
          <w:b/>
          <w:szCs w:val="24"/>
        </w:rPr>
        <w:t>A</w:t>
      </w:r>
      <w:r w:rsidRPr="00851B6C">
        <w:rPr>
          <w:b/>
          <w:szCs w:val="24"/>
        </w:rPr>
        <w:t>.</w:t>
      </w:r>
      <w:r w:rsidRPr="00851B6C">
        <w:rPr>
          <w:b/>
          <w:szCs w:val="24"/>
        </w:rPr>
        <w:tab/>
        <w:t xml:space="preserve">Objective </w:t>
      </w:r>
    </w:p>
    <w:p w:rsidR="0002656A" w:rsidRPr="00851B6C" w:rsidRDefault="0002656A" w:rsidP="0002656A">
      <w:pPr>
        <w:numPr>
          <w:ilvl w:val="0"/>
          <w:numId w:val="1"/>
        </w:numPr>
        <w:tabs>
          <w:tab w:val="clear" w:pos="360"/>
        </w:tabs>
        <w:spacing w:after="120"/>
        <w:ind w:left="1247"/>
        <w:rPr>
          <w:i/>
          <w:sz w:val="20"/>
        </w:rPr>
      </w:pPr>
      <w:r w:rsidRPr="00851B6C">
        <w:rPr>
          <w:sz w:val="20"/>
        </w:rPr>
        <w:t xml:space="preserve">Pursuant to paragraph 8 of Article 13 of the Stockholm Convention, the Conference of the Parties will review the effectiveness of the financial mechanism established under Article 13 in supporting the implementation of the Convention, with a view to taking appropriate action, if necessary, to improve the effectiveness of the financial mechanism, including by means of recommendations and guidance to ensure adequate and sustainable funding. For this purpose, the review will include an analysis of: </w:t>
      </w:r>
    </w:p>
    <w:p w:rsidR="0002656A" w:rsidRPr="00851B6C" w:rsidRDefault="0002656A" w:rsidP="0002656A">
      <w:pPr>
        <w:numPr>
          <w:ilvl w:val="0"/>
          <w:numId w:val="2"/>
        </w:numPr>
        <w:spacing w:after="120"/>
        <w:ind w:left="1247" w:firstLine="624"/>
        <w:rPr>
          <w:sz w:val="20"/>
        </w:rPr>
      </w:pPr>
      <w:r w:rsidRPr="00851B6C">
        <w:rPr>
          <w:sz w:val="20"/>
        </w:rPr>
        <w:t>The ability of the financial mechanism to meet the changing needs of developing</w:t>
      </w:r>
      <w:r w:rsidRPr="00851B6C">
        <w:rPr>
          <w:sz w:val="20"/>
        </w:rPr>
        <w:noBreakHyphen/>
      </w:r>
      <w:proofErr w:type="spellStart"/>
      <w:r w:rsidRPr="00851B6C">
        <w:rPr>
          <w:sz w:val="20"/>
        </w:rPr>
        <w:t>country</w:t>
      </w:r>
      <w:proofErr w:type="spellEnd"/>
      <w:r w:rsidRPr="00851B6C">
        <w:rPr>
          <w:sz w:val="20"/>
        </w:rPr>
        <w:t xml:space="preserve"> parties and parties with economies in transition;</w:t>
      </w:r>
    </w:p>
    <w:p w:rsidR="0002656A" w:rsidRPr="00851B6C" w:rsidRDefault="0002656A" w:rsidP="0002656A">
      <w:pPr>
        <w:numPr>
          <w:ilvl w:val="0"/>
          <w:numId w:val="2"/>
        </w:numPr>
        <w:spacing w:after="120"/>
        <w:ind w:left="1247" w:firstLine="624"/>
        <w:rPr>
          <w:sz w:val="20"/>
        </w:rPr>
      </w:pPr>
      <w:r w:rsidRPr="00851B6C">
        <w:rPr>
          <w:sz w:val="20"/>
        </w:rPr>
        <w:t>The criteria and guidance referred to in paragraph 7 of Article 13 of the Convention, including the financial mechanism’s ability to incorporate policy guidance from the Conference of the Parties;</w:t>
      </w:r>
    </w:p>
    <w:p w:rsidR="0002656A" w:rsidRPr="00851B6C" w:rsidRDefault="0002656A" w:rsidP="0002656A">
      <w:pPr>
        <w:numPr>
          <w:ilvl w:val="0"/>
          <w:numId w:val="2"/>
        </w:numPr>
        <w:spacing w:after="120"/>
        <w:ind w:left="1247" w:firstLine="624"/>
        <w:rPr>
          <w:sz w:val="20"/>
        </w:rPr>
      </w:pPr>
      <w:r w:rsidRPr="00851B6C">
        <w:rPr>
          <w:sz w:val="20"/>
        </w:rPr>
        <w:t>The level of funding;</w:t>
      </w:r>
    </w:p>
    <w:p w:rsidR="0002656A" w:rsidRPr="00851B6C" w:rsidRDefault="0002656A" w:rsidP="0002656A">
      <w:pPr>
        <w:numPr>
          <w:ilvl w:val="0"/>
          <w:numId w:val="2"/>
        </w:numPr>
        <w:spacing w:after="120"/>
        <w:ind w:left="1247" w:firstLine="624"/>
        <w:rPr>
          <w:sz w:val="20"/>
        </w:rPr>
      </w:pPr>
      <w:r w:rsidRPr="00851B6C">
        <w:rPr>
          <w:sz w:val="20"/>
        </w:rPr>
        <w:t>The effectiveness of the performance of the institutional entities entrusted with the operation of the financial mechanism, including, pursuant to Article 14 of the Convention, the effectiveness of the performance of the Global Environment Facility in its capacity as the principal entity entrusted, on an interim basis, with the operation of the financial mechanism.</w:t>
      </w:r>
    </w:p>
    <w:p w:rsidR="0002656A" w:rsidRPr="00851B6C" w:rsidRDefault="0002656A" w:rsidP="0002656A">
      <w:pPr>
        <w:keepNext/>
        <w:keepLines/>
        <w:tabs>
          <w:tab w:val="right" w:pos="851"/>
          <w:tab w:val="left" w:pos="1247"/>
          <w:tab w:val="left" w:pos="1814"/>
          <w:tab w:val="left" w:pos="2381"/>
          <w:tab w:val="left" w:pos="2948"/>
          <w:tab w:val="left" w:pos="3515"/>
        </w:tabs>
        <w:suppressAutoHyphens/>
        <w:spacing w:before="120" w:after="120"/>
        <w:ind w:left="1247" w:right="284" w:hanging="1247"/>
        <w:rPr>
          <w:b/>
          <w:szCs w:val="24"/>
        </w:rPr>
      </w:pPr>
      <w:r w:rsidRPr="00851B6C">
        <w:rPr>
          <w:b/>
          <w:szCs w:val="24"/>
        </w:rPr>
        <w:tab/>
      </w:r>
      <w:r>
        <w:rPr>
          <w:b/>
          <w:szCs w:val="24"/>
        </w:rPr>
        <w:t>B</w:t>
      </w:r>
      <w:r w:rsidRPr="00851B6C">
        <w:rPr>
          <w:b/>
          <w:szCs w:val="24"/>
        </w:rPr>
        <w:t>.</w:t>
      </w:r>
      <w:r w:rsidRPr="00851B6C">
        <w:rPr>
          <w:b/>
          <w:szCs w:val="24"/>
        </w:rPr>
        <w:tab/>
        <w:t>Methodology</w:t>
      </w:r>
    </w:p>
    <w:p w:rsidR="0002656A" w:rsidRPr="00851B6C" w:rsidRDefault="0002656A" w:rsidP="0002656A">
      <w:pPr>
        <w:numPr>
          <w:ilvl w:val="0"/>
          <w:numId w:val="1"/>
        </w:numPr>
        <w:tabs>
          <w:tab w:val="clear" w:pos="360"/>
        </w:tabs>
        <w:spacing w:after="120"/>
        <w:ind w:left="1247"/>
        <w:rPr>
          <w:sz w:val="20"/>
        </w:rPr>
      </w:pPr>
      <w:r w:rsidRPr="00851B6C">
        <w:rPr>
          <w:sz w:val="20"/>
        </w:rPr>
        <w:t>The review will cover the activities of the financial mechanism for the period from August 2012 to July 2016, with special emphasis on the activities concluded during that period.</w:t>
      </w:r>
    </w:p>
    <w:p w:rsidR="0002656A" w:rsidRPr="00851B6C" w:rsidRDefault="0002656A" w:rsidP="0002656A">
      <w:pPr>
        <w:numPr>
          <w:ilvl w:val="0"/>
          <w:numId w:val="1"/>
        </w:numPr>
        <w:tabs>
          <w:tab w:val="clear" w:pos="360"/>
        </w:tabs>
        <w:spacing w:after="120"/>
        <w:ind w:left="1247"/>
        <w:rPr>
          <w:sz w:val="20"/>
        </w:rPr>
      </w:pPr>
      <w:r w:rsidRPr="00851B6C">
        <w:rPr>
          <w:sz w:val="20"/>
        </w:rPr>
        <w:t xml:space="preserve">The review will draw on, among others, the following sources of information: </w:t>
      </w:r>
    </w:p>
    <w:p w:rsidR="0002656A" w:rsidRPr="00851B6C" w:rsidRDefault="0002656A" w:rsidP="0002656A">
      <w:pPr>
        <w:numPr>
          <w:ilvl w:val="0"/>
          <w:numId w:val="3"/>
        </w:numPr>
        <w:spacing w:after="120"/>
        <w:ind w:left="1247" w:firstLine="624"/>
        <w:rPr>
          <w:sz w:val="20"/>
        </w:rPr>
      </w:pPr>
      <w:r w:rsidRPr="00851B6C">
        <w:rPr>
          <w:sz w:val="20"/>
        </w:rPr>
        <w:t>Information provided by parties on their experiences gained through their interactions with the financial mechanism;</w:t>
      </w:r>
    </w:p>
    <w:p w:rsidR="0002656A" w:rsidRPr="00851B6C" w:rsidRDefault="0002656A" w:rsidP="0002656A">
      <w:pPr>
        <w:numPr>
          <w:ilvl w:val="0"/>
          <w:numId w:val="3"/>
        </w:numPr>
        <w:spacing w:after="120"/>
        <w:ind w:left="1247" w:firstLine="624"/>
        <w:rPr>
          <w:sz w:val="20"/>
        </w:rPr>
      </w:pPr>
      <w:r w:rsidRPr="00851B6C">
        <w:rPr>
          <w:sz w:val="20"/>
        </w:rPr>
        <w:t>Periodic reviews by the Conference of the Parties of the conformity of the activities of the financial mechanism with the guidance</w:t>
      </w:r>
      <w:r w:rsidRPr="00851B6C">
        <w:rPr>
          <w:sz w:val="20"/>
          <w:szCs w:val="22"/>
          <w:vertAlign w:val="superscript"/>
        </w:rPr>
        <w:footnoteReference w:id="1"/>
      </w:r>
      <w:r w:rsidRPr="00851B6C">
        <w:rPr>
          <w:sz w:val="20"/>
        </w:rPr>
        <w:t xml:space="preserve"> provided to it;</w:t>
      </w:r>
    </w:p>
    <w:p w:rsidR="0002656A" w:rsidRPr="00851B6C" w:rsidRDefault="0002656A" w:rsidP="0002656A">
      <w:pPr>
        <w:numPr>
          <w:ilvl w:val="0"/>
          <w:numId w:val="3"/>
        </w:numPr>
        <w:spacing w:after="120"/>
        <w:ind w:left="1247" w:firstLine="624"/>
        <w:rPr>
          <w:sz w:val="20"/>
        </w:rPr>
      </w:pPr>
      <w:r w:rsidRPr="00851B6C">
        <w:rPr>
          <w:sz w:val="20"/>
        </w:rPr>
        <w:t>Reports submitted to the Conference of the Parties by the entity or entities entrusted with the operation of the financial mechanism;</w:t>
      </w:r>
      <w:r w:rsidRPr="00851B6C">
        <w:rPr>
          <w:sz w:val="20"/>
          <w:szCs w:val="22"/>
          <w:vertAlign w:val="superscript"/>
        </w:rPr>
        <w:footnoteReference w:id="2"/>
      </w:r>
    </w:p>
    <w:p w:rsidR="0002656A" w:rsidRPr="00851B6C" w:rsidRDefault="0002656A" w:rsidP="0002656A">
      <w:pPr>
        <w:numPr>
          <w:ilvl w:val="0"/>
          <w:numId w:val="3"/>
        </w:numPr>
        <w:spacing w:after="120"/>
        <w:ind w:left="1247" w:firstLine="624"/>
        <w:rPr>
          <w:sz w:val="20"/>
        </w:rPr>
      </w:pPr>
      <w:r w:rsidRPr="00851B6C">
        <w:rPr>
          <w:sz w:val="20"/>
        </w:rPr>
        <w:t>Other reports provided by the entity or entities entrusted with the operation of the financial mechanism, including, among other things, reports of the Independent Evaluation Office of the Global Environment Facility;</w:t>
      </w:r>
    </w:p>
    <w:p w:rsidR="0002656A" w:rsidRPr="00851B6C" w:rsidRDefault="0002656A" w:rsidP="0002656A">
      <w:pPr>
        <w:numPr>
          <w:ilvl w:val="0"/>
          <w:numId w:val="3"/>
        </w:numPr>
        <w:spacing w:after="120"/>
        <w:ind w:left="1247" w:firstLine="624"/>
        <w:rPr>
          <w:sz w:val="20"/>
        </w:rPr>
      </w:pPr>
      <w:r w:rsidRPr="00851B6C">
        <w:rPr>
          <w:sz w:val="20"/>
        </w:rPr>
        <w:lastRenderedPageBreak/>
        <w:t>Reports and information provided by other relevant entities providing multilateral, regional and bilateral financial and technical assistance pursuant to paragraph 6 of Article 13 of the Convention;</w:t>
      </w:r>
    </w:p>
    <w:p w:rsidR="0002656A" w:rsidRPr="00851B6C" w:rsidRDefault="0002656A" w:rsidP="0002656A">
      <w:pPr>
        <w:numPr>
          <w:ilvl w:val="0"/>
          <w:numId w:val="3"/>
        </w:numPr>
        <w:spacing w:after="120"/>
        <w:ind w:left="1247" w:firstLine="624"/>
        <w:rPr>
          <w:sz w:val="20"/>
        </w:rPr>
      </w:pPr>
      <w:r w:rsidRPr="00851B6C">
        <w:rPr>
          <w:sz w:val="20"/>
        </w:rPr>
        <w:t>Reports submitted by parties pursuant to Article 15 of the Convention;</w:t>
      </w:r>
    </w:p>
    <w:p w:rsidR="0002656A" w:rsidRPr="00851B6C" w:rsidRDefault="0002656A" w:rsidP="0002656A">
      <w:pPr>
        <w:numPr>
          <w:ilvl w:val="0"/>
          <w:numId w:val="3"/>
        </w:numPr>
        <w:spacing w:after="120"/>
        <w:ind w:left="1247" w:firstLine="624"/>
        <w:rPr>
          <w:sz w:val="20"/>
        </w:rPr>
      </w:pPr>
      <w:r w:rsidRPr="00851B6C">
        <w:rPr>
          <w:sz w:val="20"/>
        </w:rPr>
        <w:t>Relevant information provided by intergovernmental and non-governmental organizations;</w:t>
      </w:r>
    </w:p>
    <w:p w:rsidR="0002656A" w:rsidRPr="00851B6C" w:rsidRDefault="0002656A" w:rsidP="0002656A">
      <w:pPr>
        <w:numPr>
          <w:ilvl w:val="0"/>
          <w:numId w:val="3"/>
        </w:numPr>
        <w:spacing w:after="120"/>
        <w:ind w:left="1247" w:firstLine="624"/>
        <w:rPr>
          <w:sz w:val="20"/>
        </w:rPr>
      </w:pPr>
      <w:r w:rsidRPr="00851B6C">
        <w:rPr>
          <w:sz w:val="20"/>
        </w:rPr>
        <w:t>Reports on the determination of the amount of funding necessary and available for the implementation of the Convention.</w:t>
      </w:r>
    </w:p>
    <w:p w:rsidR="0002656A" w:rsidRPr="00851B6C" w:rsidRDefault="0002656A" w:rsidP="0002656A">
      <w:pPr>
        <w:numPr>
          <w:ilvl w:val="0"/>
          <w:numId w:val="1"/>
        </w:numPr>
        <w:tabs>
          <w:tab w:val="clear" w:pos="360"/>
        </w:tabs>
        <w:spacing w:after="120"/>
        <w:ind w:left="1247"/>
        <w:rPr>
          <w:sz w:val="20"/>
        </w:rPr>
      </w:pPr>
      <w:r w:rsidRPr="00851B6C">
        <w:rPr>
          <w:sz w:val="20"/>
        </w:rPr>
        <w:t>In keeping with these terms of reference, the Secretariat will:</w:t>
      </w:r>
    </w:p>
    <w:p w:rsidR="0002656A" w:rsidRPr="00851B6C" w:rsidRDefault="0002656A" w:rsidP="0002656A">
      <w:pPr>
        <w:keepNext/>
        <w:keepLines/>
        <w:numPr>
          <w:ilvl w:val="0"/>
          <w:numId w:val="4"/>
        </w:numPr>
        <w:tabs>
          <w:tab w:val="left" w:pos="2410"/>
        </w:tabs>
        <w:spacing w:after="120"/>
        <w:ind w:left="1276" w:firstLine="624"/>
        <w:rPr>
          <w:sz w:val="20"/>
        </w:rPr>
      </w:pPr>
      <w:r w:rsidRPr="00851B6C">
        <w:rPr>
          <w:sz w:val="20"/>
        </w:rPr>
        <w:t>Make adequate arrangements to ensure that the fourth review of the financial mechanism is undertaken in an independent and transparent manner;</w:t>
      </w:r>
    </w:p>
    <w:p w:rsidR="0002656A" w:rsidRPr="00851B6C" w:rsidRDefault="0002656A" w:rsidP="0002656A">
      <w:pPr>
        <w:numPr>
          <w:ilvl w:val="0"/>
          <w:numId w:val="4"/>
        </w:numPr>
        <w:spacing w:after="120"/>
        <w:ind w:left="1247" w:firstLine="624"/>
        <w:rPr>
          <w:sz w:val="20"/>
        </w:rPr>
      </w:pPr>
      <w:r w:rsidRPr="00851B6C">
        <w:rPr>
          <w:sz w:val="20"/>
        </w:rPr>
        <w:t>Hire a consultant to prepare a draft report on the review;</w:t>
      </w:r>
    </w:p>
    <w:p w:rsidR="0002656A" w:rsidRPr="00851B6C" w:rsidRDefault="0002656A" w:rsidP="0002656A">
      <w:pPr>
        <w:numPr>
          <w:ilvl w:val="0"/>
          <w:numId w:val="4"/>
        </w:numPr>
        <w:spacing w:after="120"/>
        <w:ind w:left="1247" w:firstLine="624"/>
        <w:rPr>
          <w:sz w:val="20"/>
        </w:rPr>
      </w:pPr>
      <w:r w:rsidRPr="00851B6C">
        <w:rPr>
          <w:sz w:val="20"/>
        </w:rPr>
        <w:t>Submit the draft report on the review to the Conference of the Parties for consideration at its eighth meeting.</w:t>
      </w:r>
    </w:p>
    <w:p w:rsidR="0002656A" w:rsidRPr="00851B6C" w:rsidRDefault="0002656A" w:rsidP="0002656A">
      <w:pPr>
        <w:numPr>
          <w:ilvl w:val="0"/>
          <w:numId w:val="1"/>
        </w:numPr>
        <w:tabs>
          <w:tab w:val="clear" w:pos="360"/>
        </w:tabs>
        <w:spacing w:after="120"/>
        <w:ind w:left="1247"/>
        <w:rPr>
          <w:sz w:val="20"/>
        </w:rPr>
      </w:pPr>
      <w:r w:rsidRPr="00851B6C">
        <w:rPr>
          <w:sz w:val="20"/>
        </w:rPr>
        <w:t>The entities entrusted with the operation of the financial mechanism are requested to provide information relevant to th</w:t>
      </w:r>
      <w:r>
        <w:rPr>
          <w:sz w:val="20"/>
        </w:rPr>
        <w:t>e</w:t>
      </w:r>
      <w:r w:rsidRPr="00851B6C">
        <w:rPr>
          <w:sz w:val="20"/>
        </w:rPr>
        <w:t xml:space="preserve"> review in a timely manner.</w:t>
      </w:r>
    </w:p>
    <w:p w:rsidR="0002656A" w:rsidRPr="00851B6C" w:rsidRDefault="0002656A" w:rsidP="0002656A">
      <w:pPr>
        <w:numPr>
          <w:ilvl w:val="0"/>
          <w:numId w:val="1"/>
        </w:numPr>
        <w:tabs>
          <w:tab w:val="clear" w:pos="360"/>
        </w:tabs>
        <w:spacing w:after="120"/>
        <w:ind w:left="1247"/>
        <w:rPr>
          <w:sz w:val="20"/>
        </w:rPr>
      </w:pPr>
      <w:r w:rsidRPr="00851B6C">
        <w:rPr>
          <w:sz w:val="20"/>
        </w:rPr>
        <w:t>Parties are encouraged to provide information pursuant to paragraph 3 (a) above as soon as possible and not later than 31 August 2016.</w:t>
      </w:r>
    </w:p>
    <w:p w:rsidR="0002656A" w:rsidRPr="00851B6C" w:rsidRDefault="0002656A" w:rsidP="0002656A">
      <w:pPr>
        <w:numPr>
          <w:ilvl w:val="0"/>
          <w:numId w:val="1"/>
        </w:numPr>
        <w:tabs>
          <w:tab w:val="clear" w:pos="360"/>
        </w:tabs>
        <w:spacing w:after="120"/>
        <w:ind w:left="1247"/>
        <w:rPr>
          <w:sz w:val="20"/>
        </w:rPr>
      </w:pPr>
      <w:r w:rsidRPr="00851B6C">
        <w:rPr>
          <w:sz w:val="20"/>
        </w:rPr>
        <w:t xml:space="preserve">Intergovernmental and non-governmental organizations are requested to provide relevant information pursuant to the objectives of the present review as soon as possible and no later than 31 August 2016. </w:t>
      </w:r>
    </w:p>
    <w:p w:rsidR="0002656A" w:rsidRPr="00851B6C" w:rsidRDefault="0002656A" w:rsidP="0002656A">
      <w:pPr>
        <w:keepNext/>
        <w:keepLines/>
        <w:tabs>
          <w:tab w:val="right" w:pos="851"/>
          <w:tab w:val="left" w:pos="1247"/>
          <w:tab w:val="left" w:pos="1814"/>
          <w:tab w:val="left" w:pos="2381"/>
          <w:tab w:val="left" w:pos="2948"/>
          <w:tab w:val="left" w:pos="3515"/>
        </w:tabs>
        <w:suppressAutoHyphens/>
        <w:spacing w:before="120" w:after="120"/>
        <w:ind w:left="1247" w:right="284" w:hanging="1247"/>
        <w:rPr>
          <w:b/>
          <w:szCs w:val="24"/>
        </w:rPr>
      </w:pPr>
      <w:r w:rsidRPr="00851B6C">
        <w:rPr>
          <w:b/>
          <w:szCs w:val="24"/>
        </w:rPr>
        <w:tab/>
      </w:r>
      <w:r>
        <w:rPr>
          <w:b/>
          <w:szCs w:val="24"/>
        </w:rPr>
        <w:t>C</w:t>
      </w:r>
      <w:r w:rsidRPr="00851B6C">
        <w:rPr>
          <w:b/>
          <w:szCs w:val="24"/>
        </w:rPr>
        <w:t>.</w:t>
      </w:r>
      <w:r w:rsidRPr="00851B6C">
        <w:rPr>
          <w:b/>
          <w:szCs w:val="24"/>
        </w:rPr>
        <w:tab/>
        <w:t>Report</w:t>
      </w:r>
    </w:p>
    <w:p w:rsidR="0002656A" w:rsidRPr="00851B6C" w:rsidRDefault="0002656A" w:rsidP="0002656A">
      <w:pPr>
        <w:numPr>
          <w:ilvl w:val="0"/>
          <w:numId w:val="1"/>
        </w:numPr>
        <w:tabs>
          <w:tab w:val="clear" w:pos="360"/>
        </w:tabs>
        <w:spacing w:after="120"/>
        <w:ind w:left="1247"/>
        <w:rPr>
          <w:sz w:val="20"/>
        </w:rPr>
      </w:pPr>
      <w:r w:rsidRPr="00851B6C">
        <w:rPr>
          <w:sz w:val="20"/>
        </w:rPr>
        <w:t xml:space="preserve">The report on the fourth review will include the following elements: </w:t>
      </w:r>
    </w:p>
    <w:p w:rsidR="0002656A" w:rsidRPr="00851B6C" w:rsidRDefault="0002656A" w:rsidP="0002656A">
      <w:pPr>
        <w:numPr>
          <w:ilvl w:val="0"/>
          <w:numId w:val="5"/>
        </w:numPr>
        <w:spacing w:after="120"/>
        <w:ind w:left="1247" w:firstLine="624"/>
        <w:rPr>
          <w:sz w:val="20"/>
        </w:rPr>
      </w:pPr>
      <w:r w:rsidRPr="00851B6C">
        <w:rPr>
          <w:sz w:val="20"/>
        </w:rPr>
        <w:t>Overview of elements (a)–(d) of paragraph 1 above;</w:t>
      </w:r>
    </w:p>
    <w:p w:rsidR="0002656A" w:rsidRPr="00851B6C" w:rsidRDefault="0002656A" w:rsidP="0002656A">
      <w:pPr>
        <w:numPr>
          <w:ilvl w:val="0"/>
          <w:numId w:val="5"/>
        </w:numPr>
        <w:spacing w:after="120"/>
        <w:ind w:left="1247" w:firstLine="624"/>
        <w:rPr>
          <w:sz w:val="20"/>
        </w:rPr>
      </w:pPr>
      <w:r w:rsidRPr="00851B6C">
        <w:rPr>
          <w:sz w:val="20"/>
        </w:rPr>
        <w:t>Analysis of lessons learned from the activities funded by the financial mechanism during the period covered by the review;</w:t>
      </w:r>
    </w:p>
    <w:p w:rsidR="0002656A" w:rsidRPr="00851B6C" w:rsidRDefault="0002656A" w:rsidP="0002656A">
      <w:pPr>
        <w:numPr>
          <w:ilvl w:val="0"/>
          <w:numId w:val="5"/>
        </w:numPr>
        <w:spacing w:after="120"/>
        <w:ind w:left="1247" w:firstLine="624"/>
        <w:rPr>
          <w:sz w:val="20"/>
        </w:rPr>
      </w:pPr>
      <w:r w:rsidRPr="00851B6C">
        <w:rPr>
          <w:sz w:val="20"/>
        </w:rPr>
        <w:t>Assessment of the Global Environment Facility</w:t>
      </w:r>
      <w:r w:rsidRPr="00851B6C" w:rsidDel="00AB253C">
        <w:rPr>
          <w:sz w:val="20"/>
        </w:rPr>
        <w:t xml:space="preserve"> </w:t>
      </w:r>
      <w:r w:rsidRPr="00851B6C">
        <w:rPr>
          <w:sz w:val="20"/>
        </w:rPr>
        <w:t>principles of incremental cost and global environmental benefits as they pertain to activities involving persistent organic pollutants, in order to facilitate fulfilment of obligations under the Convention, along with lessons learned from the evaluation reports on activities of the Facility;</w:t>
      </w:r>
    </w:p>
    <w:p w:rsidR="0002656A" w:rsidRPr="00851B6C" w:rsidRDefault="0002656A" w:rsidP="0002656A">
      <w:pPr>
        <w:numPr>
          <w:ilvl w:val="0"/>
          <w:numId w:val="5"/>
        </w:numPr>
        <w:spacing w:after="120"/>
        <w:ind w:left="1247" w:firstLine="624"/>
        <w:rPr>
          <w:sz w:val="20"/>
        </w:rPr>
      </w:pPr>
      <w:r w:rsidRPr="00851B6C">
        <w:rPr>
          <w:sz w:val="20"/>
        </w:rPr>
        <w:t xml:space="preserve">Assessment of the adequacy, sustainability and predictability, transparency and accessibility of the funding provided by the financial mechanism </w:t>
      </w:r>
      <w:r>
        <w:rPr>
          <w:sz w:val="20"/>
        </w:rPr>
        <w:t>for</w:t>
      </w:r>
      <w:r w:rsidRPr="00851B6C">
        <w:rPr>
          <w:sz w:val="20"/>
        </w:rPr>
        <w:t xml:space="preserve"> implement</w:t>
      </w:r>
      <w:r>
        <w:rPr>
          <w:sz w:val="20"/>
        </w:rPr>
        <w:t>ation of</w:t>
      </w:r>
      <w:r w:rsidRPr="00851B6C">
        <w:rPr>
          <w:sz w:val="20"/>
        </w:rPr>
        <w:t xml:space="preserve"> the objectives of the Convention;</w:t>
      </w:r>
    </w:p>
    <w:p w:rsidR="0002656A" w:rsidRPr="00851B6C" w:rsidRDefault="0002656A" w:rsidP="0002656A">
      <w:pPr>
        <w:numPr>
          <w:ilvl w:val="0"/>
          <w:numId w:val="5"/>
        </w:numPr>
        <w:spacing w:after="120"/>
        <w:ind w:left="1247" w:firstLine="624"/>
        <w:rPr>
          <w:sz w:val="20"/>
        </w:rPr>
      </w:pPr>
      <w:r w:rsidRPr="00851B6C">
        <w:rPr>
          <w:sz w:val="20"/>
        </w:rPr>
        <w:t>Recommendations and guidance to improve the effectiveness of the financial mechanism in meeting the objectives of the Convention;</w:t>
      </w:r>
    </w:p>
    <w:p w:rsidR="0002656A" w:rsidRPr="00851B6C" w:rsidRDefault="0002656A" w:rsidP="0002656A">
      <w:pPr>
        <w:numPr>
          <w:ilvl w:val="0"/>
          <w:numId w:val="5"/>
        </w:numPr>
        <w:spacing w:after="120"/>
        <w:ind w:left="1247" w:firstLine="624"/>
        <w:rPr>
          <w:sz w:val="20"/>
        </w:rPr>
      </w:pPr>
      <w:r>
        <w:rPr>
          <w:sz w:val="20"/>
        </w:rPr>
        <w:t>The p</w:t>
      </w:r>
      <w:r w:rsidRPr="00851B6C">
        <w:rPr>
          <w:sz w:val="20"/>
        </w:rPr>
        <w:t>erformance criteria set out in paragraph 10 below.</w:t>
      </w:r>
    </w:p>
    <w:p w:rsidR="0002656A" w:rsidRPr="00851B6C" w:rsidRDefault="0002656A" w:rsidP="0002656A">
      <w:pPr>
        <w:numPr>
          <w:ilvl w:val="0"/>
          <w:numId w:val="1"/>
        </w:numPr>
        <w:tabs>
          <w:tab w:val="clear" w:pos="360"/>
        </w:tabs>
        <w:spacing w:after="120"/>
        <w:ind w:left="1247"/>
        <w:rPr>
          <w:sz w:val="20"/>
        </w:rPr>
      </w:pPr>
      <w:r w:rsidRPr="00851B6C">
        <w:rPr>
          <w:sz w:val="20"/>
        </w:rPr>
        <w:t xml:space="preserve">The Secretariat will submit the above-mentioned report to the Conference of the Parties for consideration at its eighth meeting. The report will be deemed an official document of the Conference of the Parties. </w:t>
      </w:r>
    </w:p>
    <w:p w:rsidR="0002656A" w:rsidRPr="00851B6C" w:rsidRDefault="0002656A" w:rsidP="0002656A">
      <w:pPr>
        <w:keepNext/>
        <w:keepLines/>
        <w:tabs>
          <w:tab w:val="right" w:pos="851"/>
          <w:tab w:val="left" w:pos="1247"/>
          <w:tab w:val="left" w:pos="1814"/>
          <w:tab w:val="left" w:pos="2381"/>
          <w:tab w:val="left" w:pos="2948"/>
          <w:tab w:val="left" w:pos="3515"/>
        </w:tabs>
        <w:suppressAutoHyphens/>
        <w:spacing w:before="120" w:after="120"/>
        <w:ind w:left="1247" w:right="284" w:hanging="1247"/>
        <w:rPr>
          <w:b/>
          <w:szCs w:val="24"/>
        </w:rPr>
      </w:pPr>
      <w:r>
        <w:rPr>
          <w:b/>
          <w:szCs w:val="24"/>
        </w:rPr>
        <w:tab/>
        <w:t>D</w:t>
      </w:r>
      <w:r w:rsidRPr="00851B6C">
        <w:rPr>
          <w:b/>
          <w:szCs w:val="24"/>
        </w:rPr>
        <w:t>.</w:t>
      </w:r>
      <w:r w:rsidRPr="00851B6C">
        <w:rPr>
          <w:b/>
          <w:szCs w:val="24"/>
        </w:rPr>
        <w:tab/>
        <w:t>Performance criteria</w:t>
      </w:r>
    </w:p>
    <w:p w:rsidR="0002656A" w:rsidRPr="00851B6C" w:rsidRDefault="0002656A" w:rsidP="0002656A">
      <w:pPr>
        <w:numPr>
          <w:ilvl w:val="0"/>
          <w:numId w:val="1"/>
        </w:numPr>
        <w:tabs>
          <w:tab w:val="clear" w:pos="360"/>
        </w:tabs>
        <w:spacing w:after="120"/>
        <w:ind w:left="1247"/>
        <w:rPr>
          <w:sz w:val="20"/>
        </w:rPr>
      </w:pPr>
      <w:r w:rsidRPr="00851B6C">
        <w:rPr>
          <w:sz w:val="20"/>
        </w:rPr>
        <w:t xml:space="preserve">The effectiveness of the financial mechanism will be assessed, taking into account, among other things: </w:t>
      </w:r>
    </w:p>
    <w:p w:rsidR="0002656A" w:rsidRPr="00851B6C" w:rsidRDefault="0002656A" w:rsidP="0002656A">
      <w:pPr>
        <w:numPr>
          <w:ilvl w:val="0"/>
          <w:numId w:val="6"/>
        </w:numPr>
        <w:spacing w:after="120"/>
        <w:ind w:left="1247" w:firstLine="624"/>
        <w:rPr>
          <w:sz w:val="20"/>
        </w:rPr>
      </w:pPr>
      <w:r w:rsidRPr="00851B6C">
        <w:rPr>
          <w:sz w:val="20"/>
        </w:rPr>
        <w:t>Responsiveness of the financial mechanism and the entities entrusted with its operation to guidance from the Conference of the Parties;</w:t>
      </w:r>
    </w:p>
    <w:p w:rsidR="0002656A" w:rsidRPr="00851B6C" w:rsidRDefault="0002656A" w:rsidP="0002656A">
      <w:pPr>
        <w:numPr>
          <w:ilvl w:val="0"/>
          <w:numId w:val="6"/>
        </w:numPr>
        <w:spacing w:after="120"/>
        <w:ind w:left="1247" w:firstLine="624"/>
        <w:rPr>
          <w:sz w:val="20"/>
        </w:rPr>
      </w:pPr>
      <w:r w:rsidRPr="00851B6C">
        <w:rPr>
          <w:sz w:val="20"/>
        </w:rPr>
        <w:t xml:space="preserve">Responsiveness of the Global Environment Facility, in its capacity as the principal entity entrusted with the operation of the financial mechanism on an interim basis, to the </w:t>
      </w:r>
      <w:r w:rsidRPr="00851B6C">
        <w:rPr>
          <w:sz w:val="20"/>
        </w:rPr>
        <w:lastRenderedPageBreak/>
        <w:t>resolutions adopted on 22 May 2001 by the Conference of Plenipotentiaries relating to interim financial arrangements;</w:t>
      </w:r>
      <w:r w:rsidRPr="00851B6C">
        <w:rPr>
          <w:sz w:val="20"/>
          <w:szCs w:val="22"/>
          <w:vertAlign w:val="superscript"/>
        </w:rPr>
        <w:footnoteReference w:id="3"/>
      </w:r>
    </w:p>
    <w:p w:rsidR="0002656A" w:rsidRPr="00851B6C" w:rsidRDefault="0002656A" w:rsidP="0002656A">
      <w:pPr>
        <w:numPr>
          <w:ilvl w:val="0"/>
          <w:numId w:val="6"/>
        </w:numPr>
        <w:spacing w:after="120"/>
        <w:ind w:left="1247" w:firstLine="624"/>
        <w:rPr>
          <w:sz w:val="20"/>
        </w:rPr>
      </w:pPr>
      <w:r w:rsidRPr="00851B6C">
        <w:rPr>
          <w:sz w:val="20"/>
        </w:rPr>
        <w:t>Transparency of the project approval process;</w:t>
      </w:r>
    </w:p>
    <w:p w:rsidR="0002656A" w:rsidRPr="00851B6C" w:rsidRDefault="0002656A" w:rsidP="0002656A">
      <w:pPr>
        <w:numPr>
          <w:ilvl w:val="0"/>
          <w:numId w:val="6"/>
        </w:numPr>
        <w:spacing w:after="120"/>
        <w:ind w:left="1247" w:firstLine="624"/>
        <w:rPr>
          <w:sz w:val="20"/>
        </w:rPr>
      </w:pPr>
      <w:r w:rsidRPr="00851B6C">
        <w:rPr>
          <w:sz w:val="20"/>
        </w:rPr>
        <w:t xml:space="preserve">Simplicity, flexibility and expeditiousness of the procedures for accessing funds; </w:t>
      </w:r>
      <w:r w:rsidRPr="00851B6C">
        <w:rPr>
          <w:b/>
          <w:bCs/>
          <w:i/>
          <w:iCs/>
          <w:sz w:val="18"/>
          <w:szCs w:val="18"/>
        </w:rPr>
        <w:t xml:space="preserve"> </w:t>
      </w:r>
    </w:p>
    <w:p w:rsidR="0002656A" w:rsidRPr="00851B6C" w:rsidRDefault="0002656A" w:rsidP="0002656A">
      <w:pPr>
        <w:numPr>
          <w:ilvl w:val="0"/>
          <w:numId w:val="6"/>
        </w:numPr>
        <w:spacing w:after="120"/>
        <w:ind w:left="1247" w:firstLine="624"/>
        <w:rPr>
          <w:sz w:val="20"/>
        </w:rPr>
      </w:pPr>
      <w:r w:rsidRPr="00851B6C">
        <w:rPr>
          <w:sz w:val="20"/>
        </w:rPr>
        <w:t>Adequacy and sustainability of the resources;</w:t>
      </w:r>
    </w:p>
    <w:p w:rsidR="0002656A" w:rsidRPr="00851B6C" w:rsidRDefault="0002656A" w:rsidP="0002656A">
      <w:pPr>
        <w:numPr>
          <w:ilvl w:val="0"/>
          <w:numId w:val="6"/>
        </w:numPr>
        <w:spacing w:after="120"/>
        <w:ind w:left="1247" w:firstLine="624"/>
        <w:rPr>
          <w:sz w:val="20"/>
        </w:rPr>
      </w:pPr>
      <w:r w:rsidRPr="00851B6C">
        <w:rPr>
          <w:sz w:val="20"/>
        </w:rPr>
        <w:t>Country ownership of activities funded by the financial mechanism;</w:t>
      </w:r>
    </w:p>
    <w:p w:rsidR="0002656A" w:rsidRPr="00851B6C" w:rsidRDefault="0002656A" w:rsidP="0002656A">
      <w:pPr>
        <w:numPr>
          <w:ilvl w:val="0"/>
          <w:numId w:val="6"/>
        </w:numPr>
        <w:spacing w:after="120"/>
        <w:ind w:left="1247" w:firstLine="624"/>
        <w:rPr>
          <w:sz w:val="20"/>
        </w:rPr>
      </w:pPr>
      <w:r w:rsidRPr="00851B6C">
        <w:rPr>
          <w:sz w:val="20"/>
        </w:rPr>
        <w:t>Level of stakeholder involvement;</w:t>
      </w:r>
    </w:p>
    <w:p w:rsidR="0002656A" w:rsidRPr="00851B6C" w:rsidRDefault="0002656A" w:rsidP="0002656A">
      <w:pPr>
        <w:numPr>
          <w:ilvl w:val="0"/>
          <w:numId w:val="6"/>
        </w:numPr>
        <w:spacing w:after="120"/>
        <w:ind w:left="1247" w:firstLine="624"/>
        <w:rPr>
          <w:sz w:val="20"/>
        </w:rPr>
      </w:pPr>
      <w:r w:rsidRPr="00851B6C">
        <w:rPr>
          <w:sz w:val="20"/>
        </w:rPr>
        <w:t>Any other significant issues raised by the parties.</w:t>
      </w:r>
      <w:r w:rsidRPr="00851B6C">
        <w:t xml:space="preserve"> </w:t>
      </w:r>
    </w:p>
    <w:p w:rsidR="0002656A" w:rsidRPr="00851B6C" w:rsidRDefault="0002656A" w:rsidP="0002656A"/>
    <w:p w:rsidR="000B18ED" w:rsidRDefault="000B18ED" w:rsidP="0002656A"/>
    <w:sectPr w:rsidR="000B18ED" w:rsidSect="000B18E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666E" w:rsidRDefault="009B666E" w:rsidP="0002656A">
      <w:r>
        <w:separator/>
      </w:r>
    </w:p>
  </w:endnote>
  <w:endnote w:type="continuationSeparator" w:id="0">
    <w:p w:rsidR="009B666E" w:rsidRDefault="009B666E" w:rsidP="000265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666E" w:rsidRDefault="009B666E" w:rsidP="0002656A">
      <w:r>
        <w:separator/>
      </w:r>
    </w:p>
  </w:footnote>
  <w:footnote w:type="continuationSeparator" w:id="0">
    <w:p w:rsidR="009B666E" w:rsidRDefault="009B666E" w:rsidP="0002656A">
      <w:r>
        <w:continuationSeparator/>
      </w:r>
    </w:p>
  </w:footnote>
  <w:footnote w:id="1">
    <w:p w:rsidR="0002656A" w:rsidRPr="00A40600" w:rsidRDefault="0002656A" w:rsidP="0002656A">
      <w:pPr>
        <w:pStyle w:val="FootnoteText"/>
        <w:rPr>
          <w:lang w:val="en-GB"/>
        </w:rPr>
      </w:pPr>
      <w:r w:rsidRPr="00D06358">
        <w:rPr>
          <w:rStyle w:val="FootnoteReference"/>
        </w:rPr>
        <w:footnoteRef/>
      </w:r>
      <w:r w:rsidRPr="008A51CB">
        <w:rPr>
          <w:rStyle w:val="FootnoteReference"/>
          <w:lang w:val="en-GB"/>
        </w:rPr>
        <w:t xml:space="preserve"> </w:t>
      </w:r>
      <w:r w:rsidRPr="00A40600">
        <w:rPr>
          <w:szCs w:val="18"/>
          <w:lang w:val="en-GB"/>
        </w:rPr>
        <w:t>Pursuant to paragraph 7 of Article 13, the Conference of the Parties adopted guidance to the financial mechanism by its decision SC-1/9. In its subsequent decisions SC-2/11, SC-3/16, SC-4/27, SC-4/28, SC-5/23 and SC-6/20, the Conference of the Parties provided additional guidance to the financial mechanism.</w:t>
      </w:r>
    </w:p>
  </w:footnote>
  <w:footnote w:id="2">
    <w:p w:rsidR="0002656A" w:rsidRPr="00A40600" w:rsidRDefault="0002656A" w:rsidP="0002656A">
      <w:pPr>
        <w:pStyle w:val="FootnoteText"/>
        <w:rPr>
          <w:b/>
          <w:lang w:val="en-GB"/>
        </w:rPr>
      </w:pPr>
      <w:r w:rsidRPr="00D06358">
        <w:rPr>
          <w:rStyle w:val="FootnoteReference"/>
        </w:rPr>
        <w:footnoteRef/>
      </w:r>
      <w:r w:rsidRPr="008A51CB">
        <w:rPr>
          <w:rStyle w:val="FootnoteReference"/>
          <w:lang w:val="en-GB"/>
        </w:rPr>
        <w:t xml:space="preserve"> </w:t>
      </w:r>
      <w:r w:rsidRPr="00A40600">
        <w:rPr>
          <w:szCs w:val="18"/>
          <w:lang w:val="en-US"/>
        </w:rPr>
        <w:t>See paragraphs 14 and 15 of the memorandum of understanding between the Council of the Global Environment Facility and the Conference of the Parties to the Stockholm Convention (SC-1/11, annex).</w:t>
      </w:r>
    </w:p>
  </w:footnote>
  <w:footnote w:id="3">
    <w:p w:rsidR="0002656A" w:rsidRPr="00A40600" w:rsidRDefault="0002656A" w:rsidP="0002656A">
      <w:pPr>
        <w:pStyle w:val="FootnoteText"/>
        <w:rPr>
          <w:lang w:val="en-GB"/>
        </w:rPr>
      </w:pPr>
      <w:r w:rsidRPr="00D06358">
        <w:rPr>
          <w:rStyle w:val="FootnoteReference"/>
        </w:rPr>
        <w:footnoteRef/>
      </w:r>
      <w:r w:rsidRPr="008A51CB">
        <w:rPr>
          <w:rStyle w:val="FootnoteReference"/>
          <w:lang w:val="en-GB"/>
        </w:rPr>
        <w:t xml:space="preserve"> </w:t>
      </w:r>
      <w:proofErr w:type="gramStart"/>
      <w:r w:rsidRPr="00A40600">
        <w:rPr>
          <w:szCs w:val="18"/>
          <w:lang w:val="en-GB"/>
        </w:rPr>
        <w:t>UNEP/POPS/CONF/4, appendix I.</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761BD"/>
    <w:multiLevelType w:val="hybridMultilevel"/>
    <w:tmpl w:val="4E8A9002"/>
    <w:lvl w:ilvl="0" w:tplc="20780514">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1">
    <w:nsid w:val="0E7E19D3"/>
    <w:multiLevelType w:val="hybridMultilevel"/>
    <w:tmpl w:val="1B5264BC"/>
    <w:lvl w:ilvl="0" w:tplc="031CA5F4">
      <w:start w:val="1"/>
      <w:numFmt w:val="decimal"/>
      <w:lvlText w:val="%1."/>
      <w:lvlJc w:val="left"/>
      <w:pPr>
        <w:tabs>
          <w:tab w:val="num" w:pos="3215"/>
        </w:tabs>
        <w:ind w:left="3215" w:hanging="360"/>
      </w:pPr>
      <w:rPr>
        <w:i w:val="0"/>
        <w:lang w:val="en-US"/>
      </w:rPr>
    </w:lvl>
    <w:lvl w:ilvl="1" w:tplc="04090019">
      <w:start w:val="1"/>
      <w:numFmt w:val="lowerLetter"/>
      <w:lvlText w:val="%2."/>
      <w:lvlJc w:val="left"/>
      <w:pPr>
        <w:tabs>
          <w:tab w:val="num" w:pos="3935"/>
        </w:tabs>
        <w:ind w:left="3935" w:hanging="360"/>
      </w:pPr>
    </w:lvl>
    <w:lvl w:ilvl="2" w:tplc="0409001B" w:tentative="1">
      <w:start w:val="1"/>
      <w:numFmt w:val="lowerRoman"/>
      <w:lvlText w:val="%3."/>
      <w:lvlJc w:val="right"/>
      <w:pPr>
        <w:tabs>
          <w:tab w:val="num" w:pos="4655"/>
        </w:tabs>
        <w:ind w:left="4655" w:hanging="180"/>
      </w:pPr>
    </w:lvl>
    <w:lvl w:ilvl="3" w:tplc="0409000F" w:tentative="1">
      <w:start w:val="1"/>
      <w:numFmt w:val="decimal"/>
      <w:lvlText w:val="%4."/>
      <w:lvlJc w:val="left"/>
      <w:pPr>
        <w:tabs>
          <w:tab w:val="num" w:pos="5375"/>
        </w:tabs>
        <w:ind w:left="5375" w:hanging="360"/>
      </w:pPr>
    </w:lvl>
    <w:lvl w:ilvl="4" w:tplc="04090019" w:tentative="1">
      <w:start w:val="1"/>
      <w:numFmt w:val="lowerLetter"/>
      <w:lvlText w:val="%5."/>
      <w:lvlJc w:val="left"/>
      <w:pPr>
        <w:tabs>
          <w:tab w:val="num" w:pos="6095"/>
        </w:tabs>
        <w:ind w:left="6095" w:hanging="360"/>
      </w:pPr>
    </w:lvl>
    <w:lvl w:ilvl="5" w:tplc="0409001B" w:tentative="1">
      <w:start w:val="1"/>
      <w:numFmt w:val="lowerRoman"/>
      <w:lvlText w:val="%6."/>
      <w:lvlJc w:val="right"/>
      <w:pPr>
        <w:tabs>
          <w:tab w:val="num" w:pos="6815"/>
        </w:tabs>
        <w:ind w:left="6815" w:hanging="180"/>
      </w:pPr>
    </w:lvl>
    <w:lvl w:ilvl="6" w:tplc="0409000F" w:tentative="1">
      <w:start w:val="1"/>
      <w:numFmt w:val="decimal"/>
      <w:lvlText w:val="%7."/>
      <w:lvlJc w:val="left"/>
      <w:pPr>
        <w:tabs>
          <w:tab w:val="num" w:pos="7535"/>
        </w:tabs>
        <w:ind w:left="7535" w:hanging="360"/>
      </w:pPr>
    </w:lvl>
    <w:lvl w:ilvl="7" w:tplc="04090019" w:tentative="1">
      <w:start w:val="1"/>
      <w:numFmt w:val="lowerLetter"/>
      <w:lvlText w:val="%8."/>
      <w:lvlJc w:val="left"/>
      <w:pPr>
        <w:tabs>
          <w:tab w:val="num" w:pos="8255"/>
        </w:tabs>
        <w:ind w:left="8255" w:hanging="360"/>
      </w:pPr>
    </w:lvl>
    <w:lvl w:ilvl="8" w:tplc="0409001B" w:tentative="1">
      <w:start w:val="1"/>
      <w:numFmt w:val="lowerRoman"/>
      <w:lvlText w:val="%9."/>
      <w:lvlJc w:val="right"/>
      <w:pPr>
        <w:tabs>
          <w:tab w:val="num" w:pos="8975"/>
        </w:tabs>
        <w:ind w:left="8975" w:hanging="180"/>
      </w:pPr>
    </w:lvl>
  </w:abstractNum>
  <w:abstractNum w:abstractNumId="2">
    <w:nsid w:val="18CA32F2"/>
    <w:multiLevelType w:val="hybridMultilevel"/>
    <w:tmpl w:val="94F8718C"/>
    <w:lvl w:ilvl="0" w:tplc="BB0E9228">
      <w:start w:val="1"/>
      <w:numFmt w:val="decimal"/>
      <w:lvlText w:val="%1."/>
      <w:lvlJc w:val="left"/>
      <w:pPr>
        <w:tabs>
          <w:tab w:val="num" w:pos="360"/>
        </w:tabs>
        <w:ind w:left="0" w:firstLine="0"/>
      </w:pPr>
      <w:rPr>
        <w:rFonts w:ascii="Times New Roman" w:hAnsi="Times New Roman"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CCF5945"/>
    <w:multiLevelType w:val="hybridMultilevel"/>
    <w:tmpl w:val="4E8A9002"/>
    <w:lvl w:ilvl="0" w:tplc="20780514">
      <w:start w:val="1"/>
      <w:numFmt w:val="lowerLetter"/>
      <w:lvlText w:val="(%1)"/>
      <w:lvlJc w:val="left"/>
      <w:pPr>
        <w:ind w:left="2250"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4">
    <w:nsid w:val="46EA3C35"/>
    <w:multiLevelType w:val="hybridMultilevel"/>
    <w:tmpl w:val="4E8A9002"/>
    <w:lvl w:ilvl="0" w:tplc="20780514">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5">
    <w:nsid w:val="65023ACE"/>
    <w:multiLevelType w:val="hybridMultilevel"/>
    <w:tmpl w:val="4E8A9002"/>
    <w:lvl w:ilvl="0" w:tplc="20780514">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6">
    <w:nsid w:val="781D3BD2"/>
    <w:multiLevelType w:val="hybridMultilevel"/>
    <w:tmpl w:val="4E8A9002"/>
    <w:lvl w:ilvl="0" w:tplc="20780514">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num w:numId="1">
    <w:abstractNumId w:val="2"/>
  </w:num>
  <w:num w:numId="2">
    <w:abstractNumId w:val="0"/>
  </w:num>
  <w:num w:numId="3">
    <w:abstractNumId w:val="3"/>
  </w:num>
  <w:num w:numId="4">
    <w:abstractNumId w:val="6"/>
  </w:num>
  <w:num w:numId="5">
    <w:abstractNumId w:val="5"/>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useFELayout/>
  </w:compat>
  <w:rsids>
    <w:rsidRoot w:val="0002656A"/>
    <w:rsid w:val="0002656A"/>
    <w:rsid w:val="00045F3B"/>
    <w:rsid w:val="0009039B"/>
    <w:rsid w:val="000B18ED"/>
    <w:rsid w:val="002508C0"/>
    <w:rsid w:val="002E3F11"/>
    <w:rsid w:val="003F0B7D"/>
    <w:rsid w:val="00475D4E"/>
    <w:rsid w:val="004B7AA0"/>
    <w:rsid w:val="0055191B"/>
    <w:rsid w:val="00771173"/>
    <w:rsid w:val="009B666E"/>
    <w:rsid w:val="00B33BA9"/>
    <w:rsid w:val="00BA076F"/>
    <w:rsid w:val="00BE6CAD"/>
    <w:rsid w:val="00C21410"/>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56A"/>
    <w:pPr>
      <w:spacing w:after="0" w:line="240" w:lineRule="auto"/>
    </w:pPr>
    <w:rPr>
      <w:rFonts w:ascii="Times New Roman" w:eastAsia="Times New Roman" w:hAnsi="Times New Roman" w:cs="Times New Roman"/>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
    <w:uiPriority w:val="99"/>
    <w:rsid w:val="0002656A"/>
    <w:rPr>
      <w:rFonts w:ascii="Times New Roman" w:hAnsi="Times New Roman" w:cs="Times New Roman"/>
      <w:color w:val="auto"/>
      <w:sz w:val="18"/>
      <w:vertAlign w:val="superscript"/>
    </w:rPr>
  </w:style>
  <w:style w:type="paragraph" w:styleId="FootnoteText">
    <w:name w:val="footnote text"/>
    <w:aliases w:val="Geneva 9,Font: Geneva 9,Boston 10,93,single space,Footnote Text Rail EIS,ft,Char,footnote3,Footnotes,Footnote ak,fn cafc,Footnotes Char Char,Footnote Text Char Char,fn Char Char,footnote text,footnote text Char Char Char Ch,Ch,9"/>
    <w:basedOn w:val="Normal"/>
    <w:link w:val="FootnoteTextChar2"/>
    <w:uiPriority w:val="99"/>
    <w:rsid w:val="0002656A"/>
    <w:pPr>
      <w:tabs>
        <w:tab w:val="left" w:pos="1247"/>
        <w:tab w:val="left" w:pos="1814"/>
        <w:tab w:val="left" w:pos="2381"/>
        <w:tab w:val="left" w:pos="2948"/>
        <w:tab w:val="left" w:pos="3515"/>
        <w:tab w:val="left" w:pos="4082"/>
      </w:tabs>
      <w:spacing w:before="20" w:after="40"/>
      <w:ind w:left="1247"/>
    </w:pPr>
    <w:rPr>
      <w:sz w:val="18"/>
      <w:lang w:val="fr-FR"/>
    </w:rPr>
  </w:style>
  <w:style w:type="character" w:customStyle="1" w:styleId="FootnoteTextChar">
    <w:name w:val="Footnote Text Char"/>
    <w:basedOn w:val="DefaultParagraphFont"/>
    <w:link w:val="FootnoteText"/>
    <w:uiPriority w:val="99"/>
    <w:semiHidden/>
    <w:rsid w:val="0002656A"/>
    <w:rPr>
      <w:rFonts w:ascii="Times New Roman" w:eastAsia="Times New Roman" w:hAnsi="Times New Roman" w:cs="Times New Roman"/>
      <w:sz w:val="20"/>
      <w:szCs w:val="20"/>
      <w:lang w:eastAsia="en-US"/>
    </w:rPr>
  </w:style>
  <w:style w:type="character" w:customStyle="1" w:styleId="FootnoteTextChar2">
    <w:name w:val="Footnote Text Char2"/>
    <w:aliases w:val="Geneva 9 Char2,Font: Geneva 9 Char2,Boston 10 Char2,93 Char1,single space Char1,Footnote Text Rail EIS Char1,ft Char1,Char Char1,footnote3 Char1,Footnotes Char1,Footnote ak Char1,fn cafc Char1,Footnotes Char Char Char1,Ch Char,9 Char"/>
    <w:link w:val="FootnoteText"/>
    <w:uiPriority w:val="99"/>
    <w:locked/>
    <w:rsid w:val="0002656A"/>
    <w:rPr>
      <w:rFonts w:ascii="Times New Roman" w:eastAsia="Times New Roman" w:hAnsi="Times New Roman" w:cs="Times New Roman"/>
      <w:sz w:val="18"/>
      <w:szCs w:val="20"/>
      <w:lang w:val="fr-FR"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903</Words>
  <Characters>5151</Characters>
  <Application>Microsoft Office Word</Application>
  <DocSecurity>0</DocSecurity>
  <Lines>42</Lines>
  <Paragraphs>12</Paragraphs>
  <ScaleCrop>false</ScaleCrop>
  <Company/>
  <LinksUpToDate>false</LinksUpToDate>
  <CharactersWithSpaces>6042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lgong</dc:creator>
  <cp:lastModifiedBy>lgong</cp:lastModifiedBy>
  <cp:revision>1</cp:revision>
  <dcterms:created xsi:type="dcterms:W3CDTF">2015-12-28T13:29:00Z</dcterms:created>
  <dcterms:modified xsi:type="dcterms:W3CDTF">2015-12-28T13:29:00Z</dcterms:modified>
</cp:coreProperties>
</file>