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890" w:rsidRPr="00851B6C" w:rsidRDefault="00871890" w:rsidP="00871890">
      <w:pPr>
        <w:tabs>
          <w:tab w:val="left" w:pos="624"/>
        </w:tabs>
        <w:spacing w:after="120"/>
        <w:ind w:left="1247"/>
        <w:rPr>
          <w:b/>
          <w:sz w:val="28"/>
          <w:szCs w:val="28"/>
        </w:rPr>
      </w:pPr>
      <w:r w:rsidRPr="00851B6C">
        <w:rPr>
          <w:b/>
          <w:sz w:val="28"/>
          <w:szCs w:val="28"/>
        </w:rPr>
        <w:t>SC-7/25: Global monitoring plan for effectiveness evaluation</w:t>
      </w:r>
    </w:p>
    <w:p w:rsidR="00871890" w:rsidRPr="00851B6C" w:rsidRDefault="00871890" w:rsidP="00871890">
      <w:pPr>
        <w:tabs>
          <w:tab w:val="left" w:pos="624"/>
          <w:tab w:val="left" w:pos="2410"/>
        </w:tabs>
        <w:spacing w:after="120"/>
        <w:ind w:left="1247" w:firstLine="624"/>
        <w:rPr>
          <w:i/>
          <w:sz w:val="20"/>
          <w:lang w:val="en-US"/>
        </w:rPr>
      </w:pPr>
      <w:r w:rsidRPr="00851B6C">
        <w:rPr>
          <w:i/>
          <w:sz w:val="20"/>
          <w:lang w:val="en-US"/>
        </w:rPr>
        <w:t>The Conference of the Parties</w:t>
      </w:r>
    </w:p>
    <w:p w:rsidR="00871890" w:rsidRPr="00851B6C" w:rsidRDefault="00871890" w:rsidP="00871890">
      <w:pPr>
        <w:numPr>
          <w:ilvl w:val="0"/>
          <w:numId w:val="1"/>
        </w:numPr>
        <w:tabs>
          <w:tab w:val="clear" w:pos="3215"/>
          <w:tab w:val="left" w:pos="624"/>
        </w:tabs>
        <w:spacing w:after="120"/>
        <w:ind w:left="1247" w:firstLine="624"/>
        <w:rPr>
          <w:iCs/>
          <w:color w:val="000000"/>
          <w:sz w:val="20"/>
        </w:rPr>
      </w:pPr>
      <w:r w:rsidRPr="00851B6C">
        <w:rPr>
          <w:i/>
          <w:iCs/>
          <w:color w:val="000000"/>
          <w:sz w:val="20"/>
        </w:rPr>
        <w:t xml:space="preserve">Takes note </w:t>
      </w:r>
      <w:r w:rsidRPr="00851B6C">
        <w:rPr>
          <w:iCs/>
          <w:color w:val="000000"/>
          <w:sz w:val="20"/>
        </w:rPr>
        <w:t>of the reports of the meetings of the global coordination group and regional organization groups</w:t>
      </w:r>
      <w:r w:rsidRPr="00851B6C">
        <w:rPr>
          <w:iCs/>
          <w:sz w:val="20"/>
          <w:szCs w:val="18"/>
          <w:vertAlign w:val="superscript"/>
        </w:rPr>
        <w:footnoteReference w:id="1"/>
      </w:r>
      <w:r w:rsidRPr="00851B6C">
        <w:rPr>
          <w:iCs/>
          <w:color w:val="000000"/>
          <w:sz w:val="20"/>
        </w:rPr>
        <w:t xml:space="preserve"> and welcomes the conclusions and recommendations of the global coordination group;</w:t>
      </w:r>
      <w:r w:rsidRPr="00851B6C">
        <w:rPr>
          <w:iCs/>
          <w:sz w:val="20"/>
          <w:szCs w:val="18"/>
          <w:vertAlign w:val="superscript"/>
        </w:rPr>
        <w:footnoteReference w:id="2"/>
      </w:r>
    </w:p>
    <w:p w:rsidR="00871890" w:rsidRPr="00851B6C" w:rsidRDefault="00871890" w:rsidP="00871890">
      <w:pPr>
        <w:numPr>
          <w:ilvl w:val="0"/>
          <w:numId w:val="1"/>
        </w:numPr>
        <w:tabs>
          <w:tab w:val="clear" w:pos="3215"/>
          <w:tab w:val="left" w:pos="624"/>
        </w:tabs>
        <w:spacing w:after="120"/>
        <w:ind w:left="1247" w:firstLine="624"/>
        <w:rPr>
          <w:iCs/>
          <w:color w:val="000000"/>
          <w:sz w:val="20"/>
        </w:rPr>
      </w:pPr>
      <w:r w:rsidRPr="00851B6C">
        <w:rPr>
          <w:i/>
          <w:iCs/>
          <w:color w:val="000000"/>
          <w:sz w:val="20"/>
        </w:rPr>
        <w:t xml:space="preserve">Welcomes </w:t>
      </w:r>
      <w:r w:rsidRPr="00851B6C">
        <w:rPr>
          <w:iCs/>
          <w:color w:val="000000"/>
          <w:sz w:val="20"/>
        </w:rPr>
        <w:t>the updated guidance on the global monitoring plan</w:t>
      </w:r>
      <w:r w:rsidRPr="00851B6C">
        <w:rPr>
          <w:iCs/>
          <w:sz w:val="20"/>
          <w:szCs w:val="18"/>
          <w:vertAlign w:val="superscript"/>
        </w:rPr>
        <w:footnoteReference w:id="3"/>
      </w:r>
      <w:r w:rsidRPr="00851B6C">
        <w:rPr>
          <w:iCs/>
          <w:color w:val="000000"/>
          <w:sz w:val="20"/>
        </w:rPr>
        <w:t xml:space="preserve"> and </w:t>
      </w:r>
      <w:r w:rsidRPr="00851B6C">
        <w:rPr>
          <w:color w:val="000000"/>
          <w:sz w:val="20"/>
        </w:rPr>
        <w:t>encourages</w:t>
      </w:r>
      <w:r w:rsidRPr="00851B6C">
        <w:rPr>
          <w:i/>
          <w:color w:val="000000"/>
          <w:sz w:val="20"/>
        </w:rPr>
        <w:t xml:space="preserve"> </w:t>
      </w:r>
      <w:r w:rsidRPr="00851B6C">
        <w:rPr>
          <w:iCs/>
          <w:color w:val="000000"/>
          <w:sz w:val="20"/>
        </w:rPr>
        <w:t>parties to use it and provide comments on their experience in doing so to the Secretariat through the regional organization groups;</w:t>
      </w:r>
    </w:p>
    <w:p w:rsidR="00871890" w:rsidRPr="00851B6C" w:rsidRDefault="00871890" w:rsidP="00871890">
      <w:pPr>
        <w:numPr>
          <w:ilvl w:val="0"/>
          <w:numId w:val="1"/>
        </w:numPr>
        <w:tabs>
          <w:tab w:val="clear" w:pos="3215"/>
          <w:tab w:val="left" w:pos="624"/>
        </w:tabs>
        <w:spacing w:after="120"/>
        <w:ind w:left="1247" w:firstLine="624"/>
        <w:rPr>
          <w:i/>
          <w:iCs/>
          <w:color w:val="000000"/>
          <w:sz w:val="20"/>
        </w:rPr>
      </w:pPr>
      <w:r w:rsidRPr="00851B6C">
        <w:rPr>
          <w:i/>
          <w:iCs/>
          <w:color w:val="000000"/>
          <w:sz w:val="20"/>
        </w:rPr>
        <w:t xml:space="preserve">Welcomes </w:t>
      </w:r>
      <w:r w:rsidRPr="00851B6C">
        <w:rPr>
          <w:iCs/>
          <w:color w:val="000000"/>
          <w:sz w:val="20"/>
        </w:rPr>
        <w:t>also the five regional monitoring reports;</w:t>
      </w:r>
      <w:r w:rsidRPr="00851B6C">
        <w:rPr>
          <w:iCs/>
          <w:sz w:val="20"/>
          <w:szCs w:val="18"/>
          <w:vertAlign w:val="superscript"/>
        </w:rPr>
        <w:footnoteReference w:id="4"/>
      </w:r>
    </w:p>
    <w:p w:rsidR="00871890" w:rsidRPr="00851B6C" w:rsidRDefault="00871890" w:rsidP="00871890">
      <w:pPr>
        <w:numPr>
          <w:ilvl w:val="0"/>
          <w:numId w:val="1"/>
        </w:numPr>
        <w:tabs>
          <w:tab w:val="clear" w:pos="3215"/>
          <w:tab w:val="left" w:pos="624"/>
        </w:tabs>
        <w:spacing w:after="120"/>
        <w:ind w:left="1247" w:firstLine="624"/>
        <w:rPr>
          <w:i/>
          <w:iCs/>
          <w:color w:val="000000"/>
          <w:sz w:val="20"/>
        </w:rPr>
      </w:pPr>
      <w:r w:rsidRPr="00851B6C">
        <w:rPr>
          <w:i/>
          <w:iCs/>
          <w:color w:val="000000"/>
          <w:sz w:val="20"/>
        </w:rPr>
        <w:t xml:space="preserve">Requests </w:t>
      </w:r>
      <w:r w:rsidRPr="00851B6C">
        <w:rPr>
          <w:iCs/>
          <w:color w:val="000000"/>
          <w:sz w:val="20"/>
        </w:rPr>
        <w:t>the global coordination group</w:t>
      </w:r>
      <w:r w:rsidRPr="00851B6C">
        <w:rPr>
          <w:sz w:val="20"/>
        </w:rPr>
        <w:t>:</w:t>
      </w:r>
    </w:p>
    <w:p w:rsidR="00871890" w:rsidRPr="00851B6C" w:rsidRDefault="00871890" w:rsidP="00871890">
      <w:pPr>
        <w:numPr>
          <w:ilvl w:val="1"/>
          <w:numId w:val="1"/>
        </w:numPr>
        <w:tabs>
          <w:tab w:val="clear" w:pos="3935"/>
          <w:tab w:val="left" w:pos="624"/>
        </w:tabs>
        <w:spacing w:after="120"/>
        <w:ind w:left="1247" w:firstLine="624"/>
        <w:rPr>
          <w:rFonts w:eastAsia="SimSun"/>
          <w:sz w:val="20"/>
        </w:rPr>
      </w:pPr>
      <w:r w:rsidRPr="00851B6C">
        <w:rPr>
          <w:rFonts w:eastAsia="SimSun"/>
          <w:sz w:val="20"/>
        </w:rPr>
        <w:t>To develop the draft global monitoring report</w:t>
      </w:r>
      <w:r w:rsidRPr="00851B6C">
        <w:rPr>
          <w:sz w:val="20"/>
        </w:rPr>
        <w:t>, including its draft conclusions and recommendations, and an evaluation and assessment of changes in persistent organic pollutant concentrations over time, as specified in the effectiveness evaluation framework,</w:t>
      </w:r>
      <w:r w:rsidRPr="00851B6C">
        <w:rPr>
          <w:sz w:val="20"/>
          <w:szCs w:val="18"/>
          <w:vertAlign w:val="superscript"/>
        </w:rPr>
        <w:footnoteReference w:id="5"/>
      </w:r>
      <w:r w:rsidRPr="00851B6C">
        <w:rPr>
          <w:rFonts w:eastAsia="SimSun"/>
          <w:sz w:val="20"/>
        </w:rPr>
        <w:t xml:space="preserve"> and make it available to the effectiveness evaluation committee by 31 January 2016;</w:t>
      </w:r>
    </w:p>
    <w:p w:rsidR="00871890" w:rsidRPr="00851B6C" w:rsidRDefault="00871890" w:rsidP="00871890">
      <w:pPr>
        <w:numPr>
          <w:ilvl w:val="1"/>
          <w:numId w:val="1"/>
        </w:numPr>
        <w:tabs>
          <w:tab w:val="clear" w:pos="3935"/>
          <w:tab w:val="left" w:pos="624"/>
        </w:tabs>
        <w:spacing w:after="120"/>
        <w:ind w:left="1247" w:firstLine="624"/>
        <w:rPr>
          <w:rFonts w:eastAsia="SimSun"/>
          <w:sz w:val="20"/>
        </w:rPr>
      </w:pPr>
      <w:r w:rsidRPr="00851B6C">
        <w:rPr>
          <w:rFonts w:eastAsia="SimSun"/>
          <w:sz w:val="20"/>
        </w:rPr>
        <w:t>To finalize the global monitoring report, including conclusions and recommendations, for consideration by the Conference of the Parties at its eighth meeting;</w:t>
      </w:r>
    </w:p>
    <w:p w:rsidR="00871890" w:rsidRPr="00851B6C" w:rsidRDefault="00871890" w:rsidP="00871890">
      <w:pPr>
        <w:numPr>
          <w:ilvl w:val="0"/>
          <w:numId w:val="1"/>
        </w:numPr>
        <w:tabs>
          <w:tab w:val="clear" w:pos="3215"/>
          <w:tab w:val="left" w:pos="624"/>
        </w:tabs>
        <w:spacing w:after="120"/>
        <w:ind w:left="1247" w:firstLine="624"/>
        <w:rPr>
          <w:iCs/>
          <w:color w:val="000000"/>
          <w:sz w:val="20"/>
        </w:rPr>
      </w:pPr>
      <w:r w:rsidRPr="00851B6C">
        <w:rPr>
          <w:i/>
          <w:iCs/>
          <w:color w:val="000000"/>
          <w:sz w:val="20"/>
        </w:rPr>
        <w:t xml:space="preserve">Requests </w:t>
      </w:r>
      <w:r w:rsidRPr="00851B6C">
        <w:rPr>
          <w:iCs/>
          <w:color w:val="000000"/>
          <w:sz w:val="20"/>
        </w:rPr>
        <w:t>the Secretariat:</w:t>
      </w:r>
    </w:p>
    <w:p w:rsidR="00871890" w:rsidRPr="00851B6C" w:rsidRDefault="00871890" w:rsidP="00871890">
      <w:pPr>
        <w:numPr>
          <w:ilvl w:val="1"/>
          <w:numId w:val="1"/>
        </w:numPr>
        <w:tabs>
          <w:tab w:val="clear" w:pos="3935"/>
          <w:tab w:val="left" w:pos="624"/>
        </w:tabs>
        <w:spacing w:after="120"/>
        <w:ind w:left="1247" w:firstLine="624"/>
        <w:rPr>
          <w:i/>
          <w:iCs/>
          <w:color w:val="000000"/>
          <w:sz w:val="20"/>
        </w:rPr>
      </w:pPr>
      <w:r w:rsidRPr="00851B6C">
        <w:rPr>
          <w:iCs/>
          <w:color w:val="000000"/>
          <w:sz w:val="20"/>
        </w:rPr>
        <w:t>To support the global coordination group in developing the reports requested in paragraph 4 above;</w:t>
      </w:r>
    </w:p>
    <w:p w:rsidR="00871890" w:rsidRPr="00851B6C" w:rsidRDefault="00871890" w:rsidP="00871890">
      <w:pPr>
        <w:numPr>
          <w:ilvl w:val="1"/>
          <w:numId w:val="1"/>
        </w:numPr>
        <w:tabs>
          <w:tab w:val="clear" w:pos="3935"/>
          <w:tab w:val="left" w:pos="624"/>
        </w:tabs>
        <w:spacing w:after="120"/>
        <w:ind w:left="1247" w:firstLine="624"/>
        <w:rPr>
          <w:rFonts w:eastAsia="SimSun"/>
          <w:sz w:val="20"/>
        </w:rPr>
      </w:pPr>
      <w:r w:rsidRPr="00851B6C">
        <w:rPr>
          <w:iCs/>
          <w:color w:val="000000"/>
          <w:sz w:val="20"/>
        </w:rPr>
        <w:t>To c</w:t>
      </w:r>
      <w:r w:rsidRPr="00851B6C">
        <w:rPr>
          <w:rFonts w:eastAsia="SimSun"/>
          <w:sz w:val="20"/>
        </w:rPr>
        <w:t>ontinue to support</w:t>
      </w:r>
      <w:r w:rsidRPr="00851B6C">
        <w:rPr>
          <w:iCs/>
          <w:color w:val="000000"/>
          <w:sz w:val="20"/>
        </w:rPr>
        <w:t>, subject to the availability of resources,</w:t>
      </w:r>
      <w:r w:rsidRPr="00851B6C">
        <w:rPr>
          <w:rFonts w:eastAsia="SimSun"/>
          <w:sz w:val="20"/>
        </w:rPr>
        <w:t xml:space="preserve"> the work of the regional organization groups and the global coordination group in the implementation of the third phase of the global monitoring plan; </w:t>
      </w:r>
    </w:p>
    <w:p w:rsidR="00871890" w:rsidRPr="00851B6C" w:rsidRDefault="00871890" w:rsidP="00871890">
      <w:pPr>
        <w:numPr>
          <w:ilvl w:val="1"/>
          <w:numId w:val="1"/>
        </w:numPr>
        <w:tabs>
          <w:tab w:val="clear" w:pos="3935"/>
          <w:tab w:val="left" w:pos="624"/>
        </w:tabs>
        <w:spacing w:after="120"/>
        <w:ind w:left="1247" w:firstLine="624"/>
        <w:rPr>
          <w:rFonts w:eastAsia="SimSun"/>
          <w:sz w:val="20"/>
        </w:rPr>
      </w:pPr>
      <w:r w:rsidRPr="00851B6C">
        <w:rPr>
          <w:rFonts w:eastAsia="SimSun"/>
          <w:sz w:val="20"/>
        </w:rPr>
        <w:t>To continue to support</w:t>
      </w:r>
      <w:r w:rsidRPr="00851B6C">
        <w:rPr>
          <w:iCs/>
          <w:color w:val="000000"/>
          <w:sz w:val="20"/>
        </w:rPr>
        <w:t>, subject to the availability of resources,</w:t>
      </w:r>
      <w:r w:rsidRPr="00851B6C">
        <w:rPr>
          <w:rFonts w:eastAsia="SimSun"/>
          <w:sz w:val="20"/>
        </w:rPr>
        <w:t xml:space="preserve"> training and capacity</w:t>
      </w:r>
      <w:r w:rsidRPr="00851B6C">
        <w:rPr>
          <w:rFonts w:eastAsia="SimSun"/>
          <w:sz w:val="20"/>
        </w:rPr>
        <w:noBreakHyphen/>
      </w:r>
      <w:proofErr w:type="spellStart"/>
      <w:r w:rsidRPr="00851B6C">
        <w:rPr>
          <w:rFonts w:eastAsia="SimSun"/>
          <w:sz w:val="20"/>
        </w:rPr>
        <w:t>building</w:t>
      </w:r>
      <w:proofErr w:type="spellEnd"/>
      <w:r w:rsidRPr="00851B6C">
        <w:rPr>
          <w:rFonts w:eastAsia="SimSun"/>
          <w:sz w:val="20"/>
        </w:rPr>
        <w:t xml:space="preserve"> activities to assist countries in implementing the global monitoring plan for subsequent effectiveness evaluations and to work with partners and other relevant organizations to undertake implementation activities;</w:t>
      </w:r>
    </w:p>
    <w:p w:rsidR="00871890" w:rsidRPr="00851B6C" w:rsidRDefault="00871890" w:rsidP="00871890">
      <w:pPr>
        <w:numPr>
          <w:ilvl w:val="0"/>
          <w:numId w:val="1"/>
        </w:numPr>
        <w:tabs>
          <w:tab w:val="clear" w:pos="3215"/>
          <w:tab w:val="left" w:pos="624"/>
        </w:tabs>
        <w:spacing w:after="120"/>
        <w:ind w:left="1247" w:firstLine="624"/>
        <w:rPr>
          <w:iCs/>
          <w:color w:val="000000"/>
          <w:sz w:val="20"/>
        </w:rPr>
      </w:pPr>
      <w:r w:rsidRPr="00851B6C">
        <w:rPr>
          <w:i/>
          <w:iCs/>
          <w:color w:val="000000"/>
          <w:sz w:val="20"/>
        </w:rPr>
        <w:t xml:space="preserve">Encourages </w:t>
      </w:r>
      <w:r w:rsidRPr="00851B6C">
        <w:rPr>
          <w:iCs/>
          <w:color w:val="000000"/>
          <w:sz w:val="20"/>
        </w:rPr>
        <w:t xml:space="preserve">parties to consider the conclusions and recommendations referred to in paragraph 1 </w:t>
      </w:r>
      <w:r>
        <w:rPr>
          <w:iCs/>
          <w:color w:val="000000"/>
          <w:sz w:val="20"/>
        </w:rPr>
        <w:t xml:space="preserve">above </w:t>
      </w:r>
      <w:r w:rsidRPr="00851B6C">
        <w:rPr>
          <w:iCs/>
          <w:color w:val="000000"/>
          <w:sz w:val="20"/>
        </w:rPr>
        <w:t xml:space="preserve">and engage actively in the implementation of the global monitoring plan and the effectiveness evaluation and, in particular:  </w:t>
      </w:r>
    </w:p>
    <w:p w:rsidR="00871890" w:rsidRPr="00851B6C" w:rsidRDefault="00871890" w:rsidP="00871890">
      <w:pPr>
        <w:numPr>
          <w:ilvl w:val="1"/>
          <w:numId w:val="1"/>
        </w:numPr>
        <w:tabs>
          <w:tab w:val="clear" w:pos="3935"/>
          <w:tab w:val="left" w:pos="624"/>
        </w:tabs>
        <w:spacing w:after="120"/>
        <w:ind w:left="1247" w:firstLine="624"/>
        <w:rPr>
          <w:rFonts w:eastAsia="SimSun"/>
          <w:sz w:val="20"/>
        </w:rPr>
      </w:pPr>
      <w:r w:rsidRPr="00851B6C">
        <w:rPr>
          <w:rFonts w:eastAsia="SimSun"/>
          <w:sz w:val="20"/>
        </w:rPr>
        <w:t xml:space="preserve">To continue to monitor the core media of air and human breast milk or human blood and, if in a position to do so, to initiate monitoring of </w:t>
      </w:r>
      <w:proofErr w:type="spellStart"/>
      <w:r w:rsidRPr="00851B6C">
        <w:rPr>
          <w:rFonts w:eastAsia="SimSun"/>
          <w:sz w:val="20"/>
        </w:rPr>
        <w:t>perfluorooctane</w:t>
      </w:r>
      <w:proofErr w:type="spellEnd"/>
      <w:r w:rsidRPr="00851B6C">
        <w:rPr>
          <w:rFonts w:eastAsia="SimSun"/>
          <w:sz w:val="20"/>
        </w:rPr>
        <w:t xml:space="preserve"> </w:t>
      </w:r>
      <w:proofErr w:type="spellStart"/>
      <w:r w:rsidRPr="00851B6C">
        <w:rPr>
          <w:rFonts w:eastAsia="SimSun"/>
          <w:sz w:val="20"/>
        </w:rPr>
        <w:t>sulfonate</w:t>
      </w:r>
      <w:proofErr w:type="spellEnd"/>
      <w:r w:rsidRPr="00851B6C">
        <w:rPr>
          <w:rFonts w:eastAsia="SimSun"/>
          <w:sz w:val="20"/>
        </w:rPr>
        <w:t xml:space="preserve"> in surface water in support of future evaluations; </w:t>
      </w:r>
    </w:p>
    <w:p w:rsidR="00871890" w:rsidRPr="00851B6C" w:rsidRDefault="00871890" w:rsidP="00871890">
      <w:pPr>
        <w:numPr>
          <w:ilvl w:val="1"/>
          <w:numId w:val="1"/>
        </w:numPr>
        <w:tabs>
          <w:tab w:val="clear" w:pos="3935"/>
          <w:tab w:val="left" w:pos="624"/>
        </w:tabs>
        <w:spacing w:after="120"/>
        <w:ind w:left="1247" w:firstLine="624"/>
        <w:rPr>
          <w:rFonts w:eastAsia="SimSun"/>
          <w:sz w:val="20"/>
        </w:rPr>
      </w:pPr>
      <w:r w:rsidRPr="00851B6C">
        <w:rPr>
          <w:rFonts w:eastAsia="SimSun"/>
          <w:sz w:val="20"/>
        </w:rPr>
        <w:t>To support the further development and long-term implementation of the global monitoring plan if in a position to do so.</w:t>
      </w:r>
    </w:p>
    <w:p w:rsidR="000B18ED" w:rsidRDefault="000B18ED" w:rsidP="00871890"/>
    <w:sectPr w:rsidR="000B18ED" w:rsidSect="000B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470" w:rsidRDefault="00B04470" w:rsidP="00871890">
      <w:r>
        <w:separator/>
      </w:r>
    </w:p>
  </w:endnote>
  <w:endnote w:type="continuationSeparator" w:id="0">
    <w:p w:rsidR="00B04470" w:rsidRDefault="00B04470" w:rsidP="00871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470" w:rsidRDefault="00B04470" w:rsidP="00871890">
      <w:r>
        <w:separator/>
      </w:r>
    </w:p>
  </w:footnote>
  <w:footnote w:type="continuationSeparator" w:id="0">
    <w:p w:rsidR="00B04470" w:rsidRDefault="00B04470" w:rsidP="00871890">
      <w:r>
        <w:continuationSeparator/>
      </w:r>
    </w:p>
  </w:footnote>
  <w:footnote w:id="1">
    <w:p w:rsidR="00871890" w:rsidRPr="00A40600" w:rsidRDefault="00871890" w:rsidP="00871890">
      <w:pPr>
        <w:pStyle w:val="FootnoteText"/>
        <w:rPr>
          <w:szCs w:val="18"/>
          <w:lang w:val="en-GB"/>
        </w:rPr>
      </w:pPr>
      <w:r w:rsidRPr="00D06358">
        <w:rPr>
          <w:rStyle w:val="FootnoteReference"/>
        </w:rPr>
        <w:footnoteRef/>
      </w:r>
      <w:r w:rsidRPr="008A51CB">
        <w:rPr>
          <w:rStyle w:val="FootnoteReference"/>
          <w:lang w:val="en-GB"/>
        </w:rPr>
        <w:t xml:space="preserve"> </w:t>
      </w:r>
      <w:r w:rsidRPr="00A40600">
        <w:rPr>
          <w:szCs w:val="18"/>
          <w:lang w:val="en-US"/>
        </w:rPr>
        <w:t xml:space="preserve">UNEP/POPS/COP.7/INF/37, annexes I and II. </w:t>
      </w:r>
    </w:p>
  </w:footnote>
  <w:footnote w:id="2">
    <w:p w:rsidR="00871890" w:rsidRPr="00A40600" w:rsidRDefault="00871890" w:rsidP="00871890">
      <w:pPr>
        <w:pStyle w:val="FootnoteText"/>
        <w:rPr>
          <w:szCs w:val="18"/>
          <w:lang w:val="en-US"/>
        </w:rPr>
      </w:pPr>
      <w:r w:rsidRPr="00D06358">
        <w:rPr>
          <w:rStyle w:val="FootnoteReference"/>
        </w:rPr>
        <w:footnoteRef/>
      </w:r>
      <w:r w:rsidRPr="008A51CB">
        <w:rPr>
          <w:rStyle w:val="FootnoteReference"/>
          <w:lang w:val="en-GB"/>
        </w:rPr>
        <w:t xml:space="preserve"> </w:t>
      </w:r>
      <w:proofErr w:type="gramStart"/>
      <w:r w:rsidRPr="00A40600">
        <w:rPr>
          <w:szCs w:val="18"/>
          <w:lang w:val="en-US"/>
        </w:rPr>
        <w:t>UNEP/POPS/COP.7/29, annex.</w:t>
      </w:r>
      <w:proofErr w:type="gramEnd"/>
    </w:p>
  </w:footnote>
  <w:footnote w:id="3">
    <w:p w:rsidR="00871890" w:rsidRPr="00A40600" w:rsidRDefault="00871890" w:rsidP="00871890">
      <w:pPr>
        <w:pStyle w:val="FootnoteText"/>
        <w:rPr>
          <w:szCs w:val="18"/>
          <w:lang w:val="en-US"/>
        </w:rPr>
      </w:pPr>
      <w:r w:rsidRPr="00D06358">
        <w:rPr>
          <w:rStyle w:val="FootnoteReference"/>
        </w:rPr>
        <w:footnoteRef/>
      </w:r>
      <w:r w:rsidRPr="00A40600">
        <w:rPr>
          <w:szCs w:val="18"/>
          <w:lang w:val="en-US"/>
        </w:rPr>
        <w:t xml:space="preserve"> </w:t>
      </w:r>
      <w:proofErr w:type="gramStart"/>
      <w:r w:rsidRPr="00A40600">
        <w:rPr>
          <w:szCs w:val="18"/>
          <w:lang w:val="en-US"/>
        </w:rPr>
        <w:t>UNEP/POPS/COP.7/INF/39, annex.</w:t>
      </w:r>
      <w:proofErr w:type="gramEnd"/>
    </w:p>
  </w:footnote>
  <w:footnote w:id="4">
    <w:p w:rsidR="00871890" w:rsidRPr="00A40600" w:rsidRDefault="00871890" w:rsidP="00871890">
      <w:pPr>
        <w:pStyle w:val="FootnoteText"/>
        <w:rPr>
          <w:szCs w:val="18"/>
          <w:lang w:val="en-US"/>
        </w:rPr>
      </w:pPr>
      <w:r w:rsidRPr="00D06358">
        <w:rPr>
          <w:rStyle w:val="FootnoteReference"/>
        </w:rPr>
        <w:footnoteRef/>
      </w:r>
      <w:r w:rsidRPr="008A51CB">
        <w:rPr>
          <w:rStyle w:val="FootnoteReference"/>
          <w:lang w:val="en-GB"/>
        </w:rPr>
        <w:t xml:space="preserve"> </w:t>
      </w:r>
      <w:r w:rsidRPr="00A40600">
        <w:rPr>
          <w:szCs w:val="18"/>
          <w:lang w:val="en-US"/>
        </w:rPr>
        <w:t xml:space="preserve">UNEP/POPS/COP.7/INF/38. </w:t>
      </w:r>
    </w:p>
  </w:footnote>
  <w:footnote w:id="5">
    <w:p w:rsidR="00871890" w:rsidRPr="00A40600" w:rsidRDefault="00871890" w:rsidP="00871890">
      <w:pPr>
        <w:pStyle w:val="FootnoteText"/>
        <w:rPr>
          <w:szCs w:val="18"/>
          <w:lang w:val="en-US"/>
        </w:rPr>
      </w:pPr>
      <w:r w:rsidRPr="00D06358">
        <w:rPr>
          <w:rStyle w:val="FootnoteReference"/>
        </w:rPr>
        <w:footnoteRef/>
      </w:r>
      <w:r w:rsidRPr="008A51CB">
        <w:rPr>
          <w:rStyle w:val="FootnoteReference"/>
          <w:lang w:val="en-GB"/>
        </w:rPr>
        <w:t xml:space="preserve"> </w:t>
      </w:r>
      <w:r w:rsidRPr="00A40600">
        <w:rPr>
          <w:szCs w:val="18"/>
          <w:lang w:val="en-GB"/>
        </w:rPr>
        <w:t>UNEP/POPS/COP.6/27/Add.1/Rev.1.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61893"/>
    <w:multiLevelType w:val="hybridMultilevel"/>
    <w:tmpl w:val="C818C87C"/>
    <w:lvl w:ilvl="0" w:tplc="29003E62">
      <w:start w:val="1"/>
      <w:numFmt w:val="decimal"/>
      <w:lvlText w:val="%1."/>
      <w:lvlJc w:val="left"/>
      <w:pPr>
        <w:tabs>
          <w:tab w:val="num" w:pos="3215"/>
        </w:tabs>
        <w:ind w:left="3215" w:hanging="360"/>
      </w:pPr>
      <w:rPr>
        <w:i w:val="0"/>
      </w:rPr>
    </w:lvl>
    <w:lvl w:ilvl="1" w:tplc="27F2C54C">
      <w:start w:val="1"/>
      <w:numFmt w:val="lowerLetter"/>
      <w:lvlText w:val="(%2)"/>
      <w:lvlJc w:val="left"/>
      <w:pPr>
        <w:tabs>
          <w:tab w:val="num" w:pos="3935"/>
        </w:tabs>
        <w:ind w:left="3935" w:hanging="360"/>
      </w:pPr>
      <w:rPr>
        <w:rFonts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4655"/>
        </w:tabs>
        <w:ind w:left="465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375"/>
        </w:tabs>
        <w:ind w:left="537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095"/>
        </w:tabs>
        <w:ind w:left="609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815"/>
        </w:tabs>
        <w:ind w:left="681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535"/>
        </w:tabs>
        <w:ind w:left="753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255"/>
        </w:tabs>
        <w:ind w:left="825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975"/>
        </w:tabs>
        <w:ind w:left="897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1890"/>
    <w:rsid w:val="00045F3B"/>
    <w:rsid w:val="0009039B"/>
    <w:rsid w:val="000B18ED"/>
    <w:rsid w:val="002508C0"/>
    <w:rsid w:val="002E3F11"/>
    <w:rsid w:val="003F0B7D"/>
    <w:rsid w:val="00475D4E"/>
    <w:rsid w:val="004B7AA0"/>
    <w:rsid w:val="0055191B"/>
    <w:rsid w:val="00771173"/>
    <w:rsid w:val="00871890"/>
    <w:rsid w:val="00B04470"/>
    <w:rsid w:val="00B33BA9"/>
    <w:rsid w:val="00BA076F"/>
    <w:rsid w:val="00BE6CAD"/>
    <w:rsid w:val="00C2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9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16 Point,Superscript 6 Point,ftref,(Ref. de nota al pie),number,SUPERS,Footnote Reference Superscript,Footnote Reference1,Ref,de nota al pie,註腳內容,de nota al pie + (Asian) MS Mincho,11 pt,Ref. de nota de rodapé1"/>
    <w:uiPriority w:val="99"/>
    <w:rsid w:val="00871890"/>
    <w:rPr>
      <w:rFonts w:ascii="Times New Roman" w:hAnsi="Times New Roman" w:cs="Times New Roman"/>
      <w:color w:val="auto"/>
      <w:sz w:val="18"/>
      <w:vertAlign w:val="superscript"/>
    </w:rPr>
  </w:style>
  <w:style w:type="paragraph" w:styleId="FootnoteText">
    <w:name w:val="footnote text"/>
    <w:aliases w:val="Geneva 9,Font: Geneva 9,Boston 10,93,single space,Footnote Text Rail EIS,ft,Char,footnote3,Footnotes,Footnote ak,fn cafc,Footnotes Char Char,Footnote Text Char Char,fn Char Char,footnote text,footnote text Char Char Char Ch,Ch,9"/>
    <w:basedOn w:val="Normal"/>
    <w:link w:val="FootnoteTextChar2"/>
    <w:uiPriority w:val="99"/>
    <w:rsid w:val="00871890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before="20" w:after="40"/>
      <w:ind w:left="1247"/>
    </w:pPr>
    <w:rPr>
      <w:sz w:val="18"/>
      <w:lang w:val="fr-F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189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2">
    <w:name w:val="Footnote Text Char2"/>
    <w:aliases w:val="Geneva 9 Char2,Font: Geneva 9 Char2,Boston 10 Char2,93 Char1,single space Char1,Footnote Text Rail EIS Char1,ft Char1,Char Char1,footnote3 Char1,Footnotes Char1,Footnote ak Char1,fn cafc Char1,Footnotes Char Char Char1,Ch Char,9 Char"/>
    <w:link w:val="FootnoteText"/>
    <w:uiPriority w:val="99"/>
    <w:locked/>
    <w:rsid w:val="00871890"/>
    <w:rPr>
      <w:rFonts w:ascii="Times New Roman" w:eastAsia="Times New Roman" w:hAnsi="Times New Roman" w:cs="Times New Roman"/>
      <w:sz w:val="18"/>
      <w:szCs w:val="20"/>
      <w:lang w:val="fr-F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lgong</dc:creator>
  <cp:lastModifiedBy>lgong</cp:lastModifiedBy>
  <cp:revision>1</cp:revision>
  <dcterms:created xsi:type="dcterms:W3CDTF">2015-12-28T13:38:00Z</dcterms:created>
  <dcterms:modified xsi:type="dcterms:W3CDTF">2015-12-28T13:38:00Z</dcterms:modified>
</cp:coreProperties>
</file>