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59A" w:rsidRPr="00851B6C" w:rsidRDefault="0041359A" w:rsidP="0041359A">
      <w:pPr>
        <w:tabs>
          <w:tab w:val="left" w:pos="624"/>
        </w:tabs>
        <w:spacing w:after="120"/>
        <w:ind w:left="1247"/>
        <w:rPr>
          <w:b/>
          <w:sz w:val="28"/>
          <w:szCs w:val="28"/>
        </w:rPr>
      </w:pPr>
      <w:r w:rsidRPr="00851B6C">
        <w:rPr>
          <w:b/>
          <w:sz w:val="28"/>
          <w:szCs w:val="28"/>
        </w:rPr>
        <w:t>SC-7/8: Guidelines on best available techniques and provisional guidance on best environmental practices</w:t>
      </w:r>
    </w:p>
    <w:p w:rsidR="0041359A" w:rsidRPr="00851B6C" w:rsidRDefault="0041359A" w:rsidP="0041359A">
      <w:pPr>
        <w:spacing w:after="120"/>
        <w:ind w:left="1247" w:firstLine="624"/>
        <w:rPr>
          <w:i/>
          <w:sz w:val="20"/>
        </w:rPr>
      </w:pPr>
      <w:r w:rsidRPr="00851B6C">
        <w:rPr>
          <w:i/>
          <w:sz w:val="20"/>
        </w:rPr>
        <w:t>The Conference of the Parties</w:t>
      </w:r>
    </w:p>
    <w:p w:rsidR="0041359A" w:rsidRPr="00851B6C" w:rsidRDefault="0041359A" w:rsidP="0041359A">
      <w:pPr>
        <w:numPr>
          <w:ilvl w:val="0"/>
          <w:numId w:val="1"/>
        </w:numPr>
        <w:spacing w:after="120"/>
        <w:ind w:left="1247" w:firstLine="624"/>
        <w:rPr>
          <w:sz w:val="20"/>
        </w:rPr>
      </w:pPr>
      <w:r w:rsidRPr="00851B6C">
        <w:rPr>
          <w:i/>
          <w:iCs/>
          <w:sz w:val="20"/>
        </w:rPr>
        <w:t>Takes note</w:t>
      </w:r>
      <w:r w:rsidRPr="00851B6C">
        <w:rPr>
          <w:sz w:val="20"/>
        </w:rPr>
        <w:t xml:space="preserve"> of the nominations to the joint Toolkit and best available techniques and best environmental practices expert roster,</w:t>
      </w:r>
      <w:r w:rsidRPr="00851B6C">
        <w:rPr>
          <w:sz w:val="20"/>
          <w:szCs w:val="18"/>
          <w:vertAlign w:val="superscript"/>
          <w:lang w:val="fr-CH"/>
        </w:rPr>
        <w:footnoteReference w:id="1"/>
      </w:r>
      <w:r w:rsidRPr="00851B6C">
        <w:rPr>
          <w:sz w:val="20"/>
        </w:rPr>
        <w:t xml:space="preserve"> the report of the second expert meeting on best available techniques and best environmental practices</w:t>
      </w:r>
      <w:r w:rsidRPr="00851B6C">
        <w:rPr>
          <w:sz w:val="20"/>
          <w:szCs w:val="18"/>
          <w:vertAlign w:val="superscript"/>
          <w:lang w:val="fr-CH"/>
        </w:rPr>
        <w:footnoteReference w:id="2"/>
      </w:r>
      <w:r w:rsidRPr="00851B6C">
        <w:rPr>
          <w:sz w:val="20"/>
        </w:rPr>
        <w:t xml:space="preserve"> and the conclusions and recommendations of the experts on best available techniques and best environmental practices;</w:t>
      </w:r>
      <w:r w:rsidRPr="00851B6C">
        <w:rPr>
          <w:sz w:val="20"/>
          <w:szCs w:val="18"/>
          <w:vertAlign w:val="superscript"/>
          <w:lang w:val="fr-CH"/>
        </w:rPr>
        <w:footnoteReference w:id="3"/>
      </w:r>
      <w:r w:rsidRPr="00851B6C">
        <w:rPr>
          <w:sz w:val="20"/>
        </w:rPr>
        <w:t xml:space="preserve"> </w:t>
      </w:r>
    </w:p>
    <w:p w:rsidR="0041359A" w:rsidRPr="00851B6C" w:rsidRDefault="0041359A" w:rsidP="0041359A">
      <w:pPr>
        <w:numPr>
          <w:ilvl w:val="0"/>
          <w:numId w:val="1"/>
        </w:numPr>
        <w:spacing w:after="120"/>
        <w:ind w:left="1247" w:firstLine="624"/>
        <w:rPr>
          <w:sz w:val="20"/>
        </w:rPr>
      </w:pPr>
      <w:r w:rsidRPr="00851B6C">
        <w:rPr>
          <w:i/>
          <w:sz w:val="20"/>
        </w:rPr>
        <w:t>Adopts</w:t>
      </w:r>
      <w:r w:rsidRPr="00851B6C">
        <w:rPr>
          <w:sz w:val="20"/>
        </w:rPr>
        <w:t xml:space="preserve"> the </w:t>
      </w:r>
      <w:proofErr w:type="spellStart"/>
      <w:r w:rsidRPr="00851B6C">
        <w:rPr>
          <w:sz w:val="20"/>
        </w:rPr>
        <w:t>workplan</w:t>
      </w:r>
      <w:proofErr w:type="spellEnd"/>
      <w:r w:rsidRPr="00851B6C">
        <w:rPr>
          <w:sz w:val="20"/>
        </w:rPr>
        <w:t xml:space="preserve"> set </w:t>
      </w:r>
      <w:r w:rsidRPr="00851B6C">
        <w:rPr>
          <w:iCs/>
          <w:sz w:val="20"/>
        </w:rPr>
        <w:t>out</w:t>
      </w:r>
      <w:r w:rsidRPr="00851B6C">
        <w:rPr>
          <w:sz w:val="20"/>
        </w:rPr>
        <w:t xml:space="preserve"> in the annex to the present decision;</w:t>
      </w:r>
    </w:p>
    <w:p w:rsidR="0041359A" w:rsidRPr="00851B6C" w:rsidRDefault="0041359A" w:rsidP="0041359A">
      <w:pPr>
        <w:numPr>
          <w:ilvl w:val="0"/>
          <w:numId w:val="1"/>
        </w:numPr>
        <w:spacing w:after="120"/>
        <w:ind w:left="1247" w:firstLine="624"/>
        <w:rPr>
          <w:sz w:val="20"/>
        </w:rPr>
      </w:pPr>
      <w:r>
        <w:rPr>
          <w:i/>
          <w:iCs/>
          <w:sz w:val="20"/>
        </w:rPr>
        <w:t>T</w:t>
      </w:r>
      <w:r w:rsidRPr="00851B6C">
        <w:rPr>
          <w:i/>
          <w:iCs/>
          <w:sz w:val="20"/>
        </w:rPr>
        <w:t>akes note</w:t>
      </w:r>
      <w:r w:rsidRPr="00851B6C">
        <w:rPr>
          <w:iCs/>
          <w:sz w:val="20"/>
        </w:rPr>
        <w:t xml:space="preserve"> of the revised draft guidance on best available techniques and best environmental practices for the use of </w:t>
      </w:r>
      <w:proofErr w:type="spellStart"/>
      <w:r w:rsidRPr="00851B6C">
        <w:rPr>
          <w:iCs/>
          <w:sz w:val="20"/>
        </w:rPr>
        <w:t>perfluorooctane</w:t>
      </w:r>
      <w:proofErr w:type="spellEnd"/>
      <w:r w:rsidRPr="00851B6C">
        <w:rPr>
          <w:iCs/>
          <w:sz w:val="20"/>
        </w:rPr>
        <w:t xml:space="preserve"> </w:t>
      </w:r>
      <w:proofErr w:type="spellStart"/>
      <w:r w:rsidRPr="00851B6C">
        <w:rPr>
          <w:iCs/>
          <w:sz w:val="20"/>
        </w:rPr>
        <w:t>sulfonic</w:t>
      </w:r>
      <w:proofErr w:type="spellEnd"/>
      <w:r w:rsidRPr="00851B6C">
        <w:rPr>
          <w:iCs/>
          <w:sz w:val="20"/>
        </w:rPr>
        <w:t xml:space="preserve"> acid and related chemicals </w:t>
      </w:r>
      <w:r w:rsidRPr="00851B6C">
        <w:rPr>
          <w:sz w:val="20"/>
        </w:rPr>
        <w:t>listed</w:t>
      </w:r>
      <w:r w:rsidRPr="00851B6C">
        <w:rPr>
          <w:iCs/>
          <w:sz w:val="20"/>
        </w:rPr>
        <w:t xml:space="preserve"> under the Stockholm </w:t>
      </w:r>
      <w:r w:rsidRPr="00851B6C">
        <w:rPr>
          <w:sz w:val="20"/>
        </w:rPr>
        <w:t>Convention</w:t>
      </w:r>
      <w:r w:rsidRPr="00851B6C">
        <w:rPr>
          <w:iCs/>
          <w:sz w:val="20"/>
          <w:szCs w:val="18"/>
          <w:vertAlign w:val="superscript"/>
          <w:lang w:val="fr-CH"/>
        </w:rPr>
        <w:footnoteReference w:id="4"/>
      </w:r>
      <w:r w:rsidRPr="00851B6C">
        <w:rPr>
          <w:iCs/>
          <w:sz w:val="20"/>
        </w:rPr>
        <w:t xml:space="preserve"> and the </w:t>
      </w:r>
      <w:r w:rsidRPr="00851B6C">
        <w:rPr>
          <w:sz w:val="20"/>
        </w:rPr>
        <w:t xml:space="preserve">revised draft guidance on best available </w:t>
      </w:r>
      <w:r w:rsidRPr="00851B6C">
        <w:rPr>
          <w:iCs/>
          <w:sz w:val="20"/>
        </w:rPr>
        <w:t>techniques</w:t>
      </w:r>
      <w:r w:rsidRPr="00851B6C">
        <w:rPr>
          <w:sz w:val="20"/>
        </w:rPr>
        <w:t xml:space="preserve"> and best environmental practices </w:t>
      </w:r>
      <w:r w:rsidRPr="00566184">
        <w:rPr>
          <w:sz w:val="20"/>
        </w:rPr>
        <w:t xml:space="preserve">for the recycling and waste disposal of </w:t>
      </w:r>
      <w:r w:rsidRPr="00851B6C">
        <w:rPr>
          <w:sz w:val="20"/>
        </w:rPr>
        <w:t xml:space="preserve">articles containing </w:t>
      </w:r>
      <w:proofErr w:type="spellStart"/>
      <w:r w:rsidRPr="00851B6C">
        <w:rPr>
          <w:sz w:val="20"/>
        </w:rPr>
        <w:t>polybrominated</w:t>
      </w:r>
      <w:proofErr w:type="spellEnd"/>
      <w:r w:rsidRPr="00851B6C">
        <w:rPr>
          <w:sz w:val="20"/>
        </w:rPr>
        <w:t xml:space="preserve"> </w:t>
      </w:r>
      <w:proofErr w:type="spellStart"/>
      <w:r w:rsidRPr="00851B6C">
        <w:rPr>
          <w:sz w:val="20"/>
        </w:rPr>
        <w:t>diphenyl</w:t>
      </w:r>
      <w:proofErr w:type="spellEnd"/>
      <w:r w:rsidRPr="00851B6C">
        <w:rPr>
          <w:sz w:val="20"/>
        </w:rPr>
        <w:t xml:space="preserve"> ethers listed under the Stockholm Convention;</w:t>
      </w:r>
      <w:r w:rsidRPr="00851B6C">
        <w:rPr>
          <w:sz w:val="20"/>
          <w:szCs w:val="18"/>
          <w:vertAlign w:val="superscript"/>
          <w:lang w:val="fr-CH"/>
        </w:rPr>
        <w:footnoteReference w:id="5"/>
      </w:r>
      <w:r w:rsidRPr="00851B6C">
        <w:rPr>
          <w:b/>
          <w:sz w:val="20"/>
        </w:rPr>
        <w:t xml:space="preserve"> </w:t>
      </w:r>
    </w:p>
    <w:p w:rsidR="0041359A" w:rsidRPr="00851B6C" w:rsidRDefault="0041359A" w:rsidP="0041359A">
      <w:pPr>
        <w:numPr>
          <w:ilvl w:val="0"/>
          <w:numId w:val="1"/>
        </w:numPr>
        <w:spacing w:after="120"/>
        <w:ind w:left="1247" w:firstLine="624"/>
        <w:rPr>
          <w:sz w:val="20"/>
        </w:rPr>
      </w:pPr>
      <w:r w:rsidRPr="00851B6C">
        <w:rPr>
          <w:i/>
          <w:sz w:val="20"/>
        </w:rPr>
        <w:t>Requests</w:t>
      </w:r>
      <w:r w:rsidRPr="00851B6C">
        <w:rPr>
          <w:sz w:val="20"/>
        </w:rPr>
        <w:t xml:space="preserve"> the Secretariat, subject to the availability of resources, in consultation with the experts on best available techniques and best environmental practices, and considering the work on the evaluation of </w:t>
      </w:r>
      <w:proofErr w:type="spellStart"/>
      <w:r w:rsidRPr="00851B6C">
        <w:rPr>
          <w:sz w:val="20"/>
        </w:rPr>
        <w:t>perfluorooctane</w:t>
      </w:r>
      <w:proofErr w:type="spellEnd"/>
      <w:r w:rsidRPr="00851B6C">
        <w:rPr>
          <w:sz w:val="20"/>
        </w:rPr>
        <w:t xml:space="preserve"> </w:t>
      </w:r>
      <w:proofErr w:type="spellStart"/>
      <w:r w:rsidRPr="00851B6C">
        <w:rPr>
          <w:sz w:val="20"/>
        </w:rPr>
        <w:t>sulfonic</w:t>
      </w:r>
      <w:proofErr w:type="spellEnd"/>
      <w:r w:rsidRPr="00851B6C">
        <w:rPr>
          <w:sz w:val="20"/>
        </w:rPr>
        <w:t xml:space="preserve"> acid, its salts and </w:t>
      </w:r>
      <w:proofErr w:type="spellStart"/>
      <w:r w:rsidRPr="00851B6C">
        <w:rPr>
          <w:sz w:val="20"/>
        </w:rPr>
        <w:t>perfluorooctane</w:t>
      </w:r>
      <w:proofErr w:type="spellEnd"/>
      <w:r w:rsidRPr="00851B6C">
        <w:rPr>
          <w:sz w:val="20"/>
        </w:rPr>
        <w:t xml:space="preserve"> </w:t>
      </w:r>
      <w:proofErr w:type="spellStart"/>
      <w:r w:rsidRPr="00851B6C">
        <w:rPr>
          <w:iCs/>
          <w:sz w:val="20"/>
        </w:rPr>
        <w:t>sulfonyl</w:t>
      </w:r>
      <w:proofErr w:type="spellEnd"/>
      <w:r w:rsidRPr="00851B6C">
        <w:rPr>
          <w:sz w:val="20"/>
        </w:rPr>
        <w:t xml:space="preserve"> fluoride pursuant to paragraphs 5 and 6 of part III of Annex B to the Stockholm Convention,</w:t>
      </w:r>
      <w:r w:rsidRPr="00851B6C">
        <w:rPr>
          <w:sz w:val="20"/>
          <w:szCs w:val="18"/>
          <w:vertAlign w:val="superscript"/>
          <w:lang w:val="fr-CH"/>
        </w:rPr>
        <w:footnoteReference w:id="6"/>
      </w:r>
      <w:r w:rsidRPr="00851B6C">
        <w:rPr>
          <w:sz w:val="20"/>
        </w:rPr>
        <w:t xml:space="preserve"> to revise the draft guidance referred to in paragraph 3 </w:t>
      </w:r>
      <w:r>
        <w:rPr>
          <w:sz w:val="20"/>
        </w:rPr>
        <w:t>above</w:t>
      </w:r>
      <w:r w:rsidRPr="00851B6C">
        <w:rPr>
          <w:sz w:val="20"/>
        </w:rPr>
        <w:t xml:space="preserve"> in order to update the references to the work under the Basel Convention</w:t>
      </w:r>
      <w:r w:rsidRPr="006D007A">
        <w:rPr>
          <w:sz w:val="20"/>
        </w:rPr>
        <w:t xml:space="preserve"> </w:t>
      </w:r>
      <w:r>
        <w:rPr>
          <w:sz w:val="20"/>
        </w:rPr>
        <w:t xml:space="preserve">on the Control of the </w:t>
      </w:r>
      <w:proofErr w:type="spellStart"/>
      <w:r>
        <w:rPr>
          <w:sz w:val="20"/>
        </w:rPr>
        <w:t>Transboundary</w:t>
      </w:r>
      <w:proofErr w:type="spellEnd"/>
      <w:r>
        <w:rPr>
          <w:sz w:val="20"/>
        </w:rPr>
        <w:t xml:space="preserve"> Movements of Hazardous Wastes and Their Disposal</w:t>
      </w:r>
      <w:r w:rsidRPr="00851B6C">
        <w:rPr>
          <w:sz w:val="20"/>
        </w:rPr>
        <w:t xml:space="preserve">, in particular the technical guidelines for the environmentally sound management of wastes consisting of, containing or contaminated with persistent organic pollutants as adopted at the twelfth meeting of the Basel Convention, and to reflect the provisions of </w:t>
      </w:r>
      <w:r>
        <w:rPr>
          <w:sz w:val="20"/>
        </w:rPr>
        <w:t xml:space="preserve">paragraph 1 of </w:t>
      </w:r>
      <w:r w:rsidRPr="00851B6C">
        <w:rPr>
          <w:sz w:val="20"/>
        </w:rPr>
        <w:t>Article 6 of the Stockholm Convention;</w:t>
      </w:r>
    </w:p>
    <w:p w:rsidR="0041359A" w:rsidRPr="00851B6C" w:rsidRDefault="0041359A" w:rsidP="0041359A">
      <w:pPr>
        <w:numPr>
          <w:ilvl w:val="0"/>
          <w:numId w:val="1"/>
        </w:numPr>
        <w:spacing w:after="120"/>
        <w:ind w:left="1247" w:firstLine="624"/>
        <w:rPr>
          <w:sz w:val="20"/>
        </w:rPr>
      </w:pPr>
      <w:r w:rsidRPr="00851B6C">
        <w:rPr>
          <w:i/>
          <w:iCs/>
          <w:sz w:val="20"/>
        </w:rPr>
        <w:t xml:space="preserve">Recognizes </w:t>
      </w:r>
      <w:r w:rsidRPr="00851B6C">
        <w:rPr>
          <w:sz w:val="20"/>
        </w:rPr>
        <w:t xml:space="preserve">that listing of new substances in Annexes A, B and/or C to the Convention will trigger the need </w:t>
      </w:r>
      <w:r w:rsidRPr="00851B6C">
        <w:rPr>
          <w:iCs/>
          <w:sz w:val="20"/>
        </w:rPr>
        <w:t>to</w:t>
      </w:r>
      <w:r w:rsidRPr="00851B6C">
        <w:rPr>
          <w:sz w:val="20"/>
        </w:rPr>
        <w:t xml:space="preserve"> further </w:t>
      </w:r>
      <w:r w:rsidRPr="00851B6C">
        <w:rPr>
          <w:iCs/>
          <w:sz w:val="20"/>
        </w:rPr>
        <w:t>update</w:t>
      </w:r>
      <w:r w:rsidRPr="00851B6C">
        <w:rPr>
          <w:sz w:val="20"/>
        </w:rPr>
        <w:t xml:space="preserve"> existing guidance and/or develop new guidance to support parties in </w:t>
      </w:r>
      <w:r w:rsidRPr="00851B6C">
        <w:rPr>
          <w:iCs/>
          <w:sz w:val="20"/>
        </w:rPr>
        <w:t>implementing</w:t>
      </w:r>
      <w:r w:rsidRPr="00851B6C">
        <w:rPr>
          <w:sz w:val="20"/>
        </w:rPr>
        <w:t xml:space="preserve"> new obligations, requiring specific expertise;</w:t>
      </w:r>
    </w:p>
    <w:p w:rsidR="0041359A" w:rsidRPr="00851B6C" w:rsidRDefault="0041359A" w:rsidP="0041359A">
      <w:pPr>
        <w:numPr>
          <w:ilvl w:val="0"/>
          <w:numId w:val="1"/>
        </w:numPr>
        <w:spacing w:after="120"/>
        <w:ind w:left="1247" w:firstLine="624"/>
        <w:rPr>
          <w:sz w:val="20"/>
        </w:rPr>
      </w:pPr>
      <w:r w:rsidRPr="00851B6C">
        <w:rPr>
          <w:i/>
          <w:iCs/>
          <w:sz w:val="20"/>
        </w:rPr>
        <w:t>Requests</w:t>
      </w:r>
      <w:r w:rsidRPr="00851B6C">
        <w:rPr>
          <w:sz w:val="20"/>
        </w:rPr>
        <w:t xml:space="preserve"> the experts on best available techniques and best environmental practices:</w:t>
      </w:r>
    </w:p>
    <w:p w:rsidR="0041359A" w:rsidRPr="00851B6C" w:rsidRDefault="0041359A" w:rsidP="0041359A">
      <w:pPr>
        <w:spacing w:after="120"/>
        <w:ind w:left="1247" w:firstLine="624"/>
        <w:rPr>
          <w:sz w:val="20"/>
        </w:rPr>
      </w:pPr>
      <w:r w:rsidRPr="00851B6C">
        <w:rPr>
          <w:sz w:val="20"/>
        </w:rPr>
        <w:t>(a)</w:t>
      </w:r>
      <w:r w:rsidRPr="00851B6C">
        <w:rPr>
          <w:sz w:val="20"/>
        </w:rPr>
        <w:tab/>
        <w:t xml:space="preserve">To </w:t>
      </w:r>
      <w:r w:rsidRPr="00851B6C">
        <w:rPr>
          <w:bCs/>
          <w:sz w:val="20"/>
          <w:lang w:val="en-US"/>
        </w:rPr>
        <w:t>continue</w:t>
      </w:r>
      <w:r w:rsidRPr="00851B6C">
        <w:rPr>
          <w:sz w:val="20"/>
        </w:rPr>
        <w:t xml:space="preserve"> the work on the ongoing review and updating of the guidelines and guidance;</w:t>
      </w:r>
      <w:r w:rsidRPr="00851B6C">
        <w:rPr>
          <w:b/>
          <w:sz w:val="20"/>
        </w:rPr>
        <w:t xml:space="preserve"> </w:t>
      </w:r>
    </w:p>
    <w:p w:rsidR="0041359A" w:rsidRPr="00851B6C" w:rsidRDefault="0041359A" w:rsidP="0041359A">
      <w:pPr>
        <w:spacing w:after="120"/>
        <w:ind w:left="1247" w:firstLine="624"/>
        <w:rPr>
          <w:sz w:val="20"/>
        </w:rPr>
      </w:pPr>
      <w:r w:rsidRPr="00851B6C">
        <w:rPr>
          <w:sz w:val="20"/>
        </w:rPr>
        <w:t>(b)</w:t>
      </w:r>
      <w:r w:rsidRPr="00851B6C">
        <w:rPr>
          <w:sz w:val="20"/>
        </w:rPr>
        <w:tab/>
        <w:t>In consultation with the Toolkit experts, to develop joint terms of reference for synergistically considering</w:t>
      </w:r>
      <w:r>
        <w:rPr>
          <w:sz w:val="20"/>
        </w:rPr>
        <w:t xml:space="preserve"> aspects</w:t>
      </w:r>
      <w:r w:rsidRPr="00851B6C">
        <w:rPr>
          <w:sz w:val="20"/>
        </w:rPr>
        <w:t xml:space="preserve"> relevant to releases from unintentional production and best available techniques and best environmental practices for the chemicals listed in Annexes A, B and/or C to the Convention;</w:t>
      </w:r>
      <w:r>
        <w:rPr>
          <w:sz w:val="20"/>
        </w:rPr>
        <w:t xml:space="preserve"> </w:t>
      </w:r>
    </w:p>
    <w:p w:rsidR="0041359A" w:rsidRPr="00851B6C" w:rsidRDefault="0041359A" w:rsidP="0041359A">
      <w:pPr>
        <w:numPr>
          <w:ilvl w:val="0"/>
          <w:numId w:val="1"/>
        </w:numPr>
        <w:spacing w:after="120"/>
        <w:ind w:left="1247" w:firstLine="624"/>
        <w:rPr>
          <w:sz w:val="20"/>
        </w:rPr>
      </w:pPr>
      <w:r w:rsidRPr="00851B6C">
        <w:rPr>
          <w:i/>
          <w:sz w:val="20"/>
        </w:rPr>
        <w:t>Requests</w:t>
      </w:r>
      <w:r w:rsidRPr="00851B6C">
        <w:rPr>
          <w:sz w:val="20"/>
        </w:rPr>
        <w:t xml:space="preserve"> the Secretariat, subject to the availability of resources, to continue implementing the </w:t>
      </w:r>
      <w:r w:rsidRPr="00851B6C">
        <w:rPr>
          <w:iCs/>
          <w:sz w:val="20"/>
        </w:rPr>
        <w:t>process</w:t>
      </w:r>
      <w:r w:rsidRPr="00851B6C">
        <w:rPr>
          <w:sz w:val="20"/>
        </w:rPr>
        <w:t xml:space="preserve"> for the ongoing review and updating of the guidelines and guidance as referred to in paragraph 6 </w:t>
      </w:r>
      <w:r>
        <w:rPr>
          <w:sz w:val="20"/>
        </w:rPr>
        <w:t>above</w:t>
      </w:r>
      <w:r w:rsidRPr="00851B6C">
        <w:rPr>
          <w:sz w:val="20"/>
        </w:rPr>
        <w:t>, as well as awareness-raising and technical assistance activities to promote the guidelines and guidance, and to report on progress to the Conference of the Parties at its eighth meeting;</w:t>
      </w:r>
      <w:r>
        <w:rPr>
          <w:sz w:val="20"/>
        </w:rPr>
        <w:t xml:space="preserve"> </w:t>
      </w:r>
    </w:p>
    <w:p w:rsidR="0041359A" w:rsidRPr="00851B6C" w:rsidRDefault="0041359A" w:rsidP="0041359A">
      <w:pPr>
        <w:numPr>
          <w:ilvl w:val="0"/>
          <w:numId w:val="1"/>
        </w:numPr>
        <w:spacing w:after="120"/>
        <w:ind w:left="1247" w:firstLine="624"/>
        <w:rPr>
          <w:sz w:val="20"/>
        </w:rPr>
      </w:pPr>
      <w:r w:rsidRPr="00851B6C">
        <w:rPr>
          <w:i/>
          <w:sz w:val="20"/>
        </w:rPr>
        <w:t>Invites</w:t>
      </w:r>
      <w:r w:rsidRPr="00851B6C">
        <w:rPr>
          <w:sz w:val="20"/>
        </w:rPr>
        <w:t xml:space="preserve"> parties, States not party to the Convention, intergovernmental organizations, non-governmental organizations and industry to participate actively in the review and updating of the </w:t>
      </w:r>
      <w:r w:rsidRPr="00851B6C">
        <w:rPr>
          <w:iCs/>
          <w:sz w:val="20"/>
        </w:rPr>
        <w:t>guidelines</w:t>
      </w:r>
      <w:r w:rsidRPr="00851B6C">
        <w:rPr>
          <w:sz w:val="20"/>
        </w:rPr>
        <w:t xml:space="preserve"> and guidance and </w:t>
      </w:r>
      <w:r>
        <w:rPr>
          <w:sz w:val="20"/>
        </w:rPr>
        <w:t xml:space="preserve">to </w:t>
      </w:r>
      <w:r w:rsidRPr="00851B6C">
        <w:rPr>
          <w:sz w:val="20"/>
        </w:rPr>
        <w:t>submit relevant information to the Secretariat for consideration by the experts on best available techniques and best environmental practices;</w:t>
      </w:r>
      <w:r w:rsidRPr="00851B6C">
        <w:rPr>
          <w:b/>
          <w:sz w:val="20"/>
        </w:rPr>
        <w:t xml:space="preserve"> </w:t>
      </w:r>
    </w:p>
    <w:p w:rsidR="0041359A" w:rsidRPr="00851B6C" w:rsidRDefault="0041359A" w:rsidP="0041359A">
      <w:pPr>
        <w:numPr>
          <w:ilvl w:val="0"/>
          <w:numId w:val="1"/>
        </w:numPr>
        <w:spacing w:after="120"/>
        <w:ind w:left="1247" w:firstLine="624"/>
        <w:rPr>
          <w:sz w:val="20"/>
        </w:rPr>
      </w:pPr>
      <w:r w:rsidRPr="00851B6C">
        <w:rPr>
          <w:i/>
          <w:sz w:val="20"/>
        </w:rPr>
        <w:t>Invites</w:t>
      </w:r>
      <w:r w:rsidRPr="00851B6C">
        <w:rPr>
          <w:sz w:val="20"/>
        </w:rPr>
        <w:t xml:space="preserve"> parties and others to nominate experts with specific expertise in best available techniques and best environmental practices, in particular those relevant to the chemicals that </w:t>
      </w:r>
      <w:r w:rsidRPr="00851B6C">
        <w:rPr>
          <w:sz w:val="20"/>
        </w:rPr>
        <w:lastRenderedPageBreak/>
        <w:t xml:space="preserve">were listed in the annexes to </w:t>
      </w:r>
      <w:r w:rsidRPr="00851B6C">
        <w:rPr>
          <w:iCs/>
          <w:sz w:val="20"/>
        </w:rPr>
        <w:t>the</w:t>
      </w:r>
      <w:r w:rsidRPr="00851B6C">
        <w:rPr>
          <w:sz w:val="20"/>
        </w:rPr>
        <w:t xml:space="preserve"> Stockholm Convention in 2009, 2011, 2013 and 2015</w:t>
      </w:r>
      <w:r>
        <w:rPr>
          <w:sz w:val="20"/>
        </w:rPr>
        <w:t>,</w:t>
      </w:r>
      <w:r w:rsidRPr="00851B6C">
        <w:rPr>
          <w:sz w:val="20"/>
        </w:rPr>
        <w:t xml:space="preserve"> to the joint Toolkit and best available techniques and best environmental practices expert roster;</w:t>
      </w:r>
    </w:p>
    <w:p w:rsidR="0041359A" w:rsidRPr="00851B6C" w:rsidRDefault="0041359A" w:rsidP="0041359A">
      <w:pPr>
        <w:numPr>
          <w:ilvl w:val="0"/>
          <w:numId w:val="1"/>
        </w:numPr>
        <w:spacing w:after="120"/>
        <w:ind w:left="1247" w:firstLine="624"/>
        <w:rPr>
          <w:sz w:val="20"/>
        </w:rPr>
      </w:pPr>
      <w:r w:rsidRPr="00851B6C">
        <w:rPr>
          <w:i/>
          <w:sz w:val="20"/>
        </w:rPr>
        <w:t>Encourages</w:t>
      </w:r>
      <w:r w:rsidRPr="00851B6C">
        <w:rPr>
          <w:sz w:val="20"/>
        </w:rPr>
        <w:t xml:space="preserve"> parties and others to use the guidelines and guidance when applying best available techniques and best environmental practices in the implementation of action plans and other actions related to the obligations under the Convention and to share their experiences in using the </w:t>
      </w:r>
      <w:r w:rsidRPr="00851B6C">
        <w:rPr>
          <w:iCs/>
          <w:sz w:val="20"/>
        </w:rPr>
        <w:t>guidelines</w:t>
      </w:r>
      <w:r w:rsidRPr="00851B6C">
        <w:rPr>
          <w:sz w:val="20"/>
        </w:rPr>
        <w:t xml:space="preserve"> and guidance, such as in the form of case studies, by means of the Stockholm Convention clearing-house mechanism. </w:t>
      </w:r>
    </w:p>
    <w:p w:rsidR="0041359A" w:rsidRPr="00851B6C" w:rsidRDefault="0041359A" w:rsidP="0041359A">
      <w:pPr>
        <w:spacing w:before="240"/>
        <w:ind w:left="1247"/>
        <w:rPr>
          <w:b/>
          <w:bCs/>
          <w:sz w:val="28"/>
          <w:szCs w:val="22"/>
          <w:lang w:val="en-US"/>
        </w:rPr>
      </w:pPr>
      <w:r w:rsidRPr="00851B6C">
        <w:rPr>
          <w:b/>
          <w:bCs/>
          <w:sz w:val="28"/>
          <w:szCs w:val="22"/>
        </w:rPr>
        <w:t>Annex to decision SC-7/8</w:t>
      </w:r>
    </w:p>
    <w:p w:rsidR="0041359A" w:rsidRPr="009B64E1" w:rsidRDefault="0041359A" w:rsidP="0041359A">
      <w:pPr>
        <w:tabs>
          <w:tab w:val="left" w:pos="1247"/>
          <w:tab w:val="left" w:pos="1814"/>
          <w:tab w:val="left" w:pos="2381"/>
          <w:tab w:val="left" w:pos="2948"/>
          <w:tab w:val="left" w:pos="3515"/>
          <w:tab w:val="left" w:pos="4082"/>
        </w:tabs>
        <w:spacing w:before="120" w:after="120"/>
        <w:ind w:left="1247"/>
        <w:rPr>
          <w:b/>
          <w:bCs/>
          <w:sz w:val="28"/>
          <w:szCs w:val="26"/>
        </w:rPr>
      </w:pPr>
      <w:bookmarkStart w:id="0" w:name="_Toc410058475"/>
      <w:proofErr w:type="spellStart"/>
      <w:r w:rsidRPr="00851B6C">
        <w:rPr>
          <w:b/>
          <w:bCs/>
          <w:sz w:val="28"/>
          <w:szCs w:val="26"/>
        </w:rPr>
        <w:t>Workplan</w:t>
      </w:r>
      <w:proofErr w:type="spellEnd"/>
      <w:r w:rsidRPr="00851B6C">
        <w:rPr>
          <w:b/>
          <w:bCs/>
          <w:sz w:val="28"/>
          <w:szCs w:val="26"/>
        </w:rPr>
        <w:t xml:space="preserve"> for the ongoing review and update of the guidelines on best available techniques </w:t>
      </w:r>
      <w:r w:rsidRPr="00D3593E">
        <w:rPr>
          <w:b/>
          <w:bCs/>
          <w:sz w:val="28"/>
          <w:szCs w:val="26"/>
        </w:rPr>
        <w:t>and provisional guidance</w:t>
      </w:r>
      <w:r w:rsidRPr="00851B6C">
        <w:rPr>
          <w:b/>
          <w:bCs/>
          <w:sz w:val="28"/>
          <w:szCs w:val="26"/>
        </w:rPr>
        <w:t xml:space="preserve"> on </w:t>
      </w:r>
      <w:bookmarkEnd w:id="0"/>
      <w:r w:rsidRPr="00851B6C">
        <w:rPr>
          <w:b/>
          <w:bCs/>
          <w:sz w:val="28"/>
          <w:szCs w:val="26"/>
        </w:rPr>
        <w:t>best environmental practices</w:t>
      </w:r>
      <w:r>
        <w:rPr>
          <w:b/>
          <w:bCs/>
          <w:sz w:val="28"/>
          <w:szCs w:val="26"/>
        </w:rPr>
        <w:t xml:space="preserve"> </w:t>
      </w:r>
    </w:p>
    <w:p w:rsidR="0041359A" w:rsidRPr="00851B6C" w:rsidRDefault="0041359A" w:rsidP="0041359A">
      <w:pPr>
        <w:pStyle w:val="CH1"/>
      </w:pPr>
      <w:r>
        <w:tab/>
      </w:r>
      <w:r w:rsidRPr="00851B6C">
        <w:t>I.</w:t>
      </w:r>
      <w:r w:rsidRPr="00851B6C">
        <w:tab/>
        <w:t>Areas of work</w:t>
      </w:r>
    </w:p>
    <w:p w:rsidR="0041359A" w:rsidRPr="00851B6C" w:rsidRDefault="0041359A" w:rsidP="0041359A">
      <w:pPr>
        <w:numPr>
          <w:ilvl w:val="1"/>
          <w:numId w:val="4"/>
        </w:numPr>
        <w:suppressAutoHyphens/>
        <w:spacing w:after="120" w:line="276" w:lineRule="auto"/>
        <w:ind w:left="1248" w:hanging="624"/>
        <w:rPr>
          <w:rFonts w:eastAsia="MS Mincho"/>
          <w:b/>
          <w:sz w:val="20"/>
          <w:lang w:eastAsia="ar-SA"/>
        </w:rPr>
      </w:pPr>
      <w:r w:rsidRPr="00851B6C">
        <w:rPr>
          <w:rFonts w:eastAsia="MS Mincho"/>
          <w:b/>
          <w:sz w:val="20"/>
          <w:lang w:eastAsia="ar-SA"/>
        </w:rPr>
        <w:t xml:space="preserve">Guidance on best available techniques and best environmental practices relevant to the persistent organic pollutants listed in Annex A </w:t>
      </w:r>
      <w:r>
        <w:rPr>
          <w:rFonts w:eastAsia="MS Mincho"/>
          <w:b/>
          <w:sz w:val="20"/>
          <w:lang w:eastAsia="ar-SA"/>
        </w:rPr>
        <w:t xml:space="preserve">or Annex </w:t>
      </w:r>
      <w:r w:rsidRPr="00851B6C">
        <w:rPr>
          <w:rFonts w:eastAsia="MS Mincho"/>
          <w:b/>
          <w:sz w:val="20"/>
          <w:lang w:eastAsia="ar-SA"/>
        </w:rPr>
        <w:t>B</w:t>
      </w:r>
      <w:r>
        <w:rPr>
          <w:rFonts w:eastAsia="MS Mincho"/>
          <w:b/>
          <w:sz w:val="20"/>
          <w:lang w:eastAsia="ar-SA"/>
        </w:rPr>
        <w:t xml:space="preserve"> </w:t>
      </w:r>
    </w:p>
    <w:p w:rsidR="0041359A" w:rsidRPr="00851B6C" w:rsidRDefault="0041359A" w:rsidP="0041359A">
      <w:pPr>
        <w:tabs>
          <w:tab w:val="left" w:pos="1247"/>
          <w:tab w:val="left" w:pos="1871"/>
        </w:tabs>
        <w:suppressAutoHyphens/>
        <w:spacing w:after="120"/>
        <w:ind w:left="1247"/>
        <w:rPr>
          <w:rFonts w:eastAsia="MS Mincho"/>
          <w:sz w:val="20"/>
          <w:u w:val="single"/>
          <w:lang w:eastAsia="ar-SA"/>
        </w:rPr>
      </w:pPr>
      <w:r w:rsidRPr="00851B6C">
        <w:rPr>
          <w:rFonts w:eastAsia="MS Mincho"/>
          <w:sz w:val="20"/>
          <w:u w:val="single"/>
          <w:lang w:eastAsia="ar-SA"/>
        </w:rPr>
        <w:t xml:space="preserve">Draft guidance on best available techniques and best environmental practices for the use of </w:t>
      </w:r>
      <w:proofErr w:type="spellStart"/>
      <w:r w:rsidRPr="00851B6C">
        <w:rPr>
          <w:rFonts w:eastAsia="MS Mincho"/>
          <w:sz w:val="20"/>
          <w:u w:val="single"/>
          <w:lang w:eastAsia="ar-SA"/>
        </w:rPr>
        <w:t>perfluorooctane</w:t>
      </w:r>
      <w:proofErr w:type="spellEnd"/>
      <w:r w:rsidRPr="00851B6C">
        <w:rPr>
          <w:rFonts w:eastAsia="MS Mincho"/>
          <w:sz w:val="20"/>
          <w:u w:val="single"/>
          <w:lang w:eastAsia="ar-SA"/>
        </w:rPr>
        <w:t xml:space="preserve"> </w:t>
      </w:r>
      <w:proofErr w:type="spellStart"/>
      <w:r w:rsidRPr="00851B6C">
        <w:rPr>
          <w:rFonts w:eastAsia="MS Mincho"/>
          <w:sz w:val="20"/>
          <w:u w:val="single"/>
          <w:lang w:eastAsia="ar-SA"/>
        </w:rPr>
        <w:t>sulfonic</w:t>
      </w:r>
      <w:proofErr w:type="spellEnd"/>
      <w:r w:rsidRPr="00851B6C">
        <w:rPr>
          <w:rFonts w:eastAsia="MS Mincho"/>
          <w:sz w:val="20"/>
          <w:u w:val="single"/>
          <w:lang w:eastAsia="ar-SA"/>
        </w:rPr>
        <w:t xml:space="preserve"> acid (PFOS) and related chemicals listed under the Stockholm Convention</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 xml:space="preserve">Collect and evaluate new information on areas of concern identified by parties regarding the management of stockpiles and products and articles in use consisting of or containing PFOS, </w:t>
      </w:r>
      <w:r>
        <w:rPr>
          <w:rFonts w:eastAsia="MS Mincho"/>
          <w:sz w:val="20"/>
          <w:lang w:eastAsia="ar-SA"/>
        </w:rPr>
        <w:t xml:space="preserve">the </w:t>
      </w:r>
      <w:r w:rsidRPr="00851B6C">
        <w:rPr>
          <w:rFonts w:eastAsia="MS Mincho"/>
          <w:sz w:val="20"/>
          <w:lang w:eastAsia="ar-SA"/>
        </w:rPr>
        <w:t>assessment and remediation of PFOS</w:t>
      </w:r>
      <w:r>
        <w:rPr>
          <w:rFonts w:eastAsia="MS Mincho"/>
          <w:sz w:val="20"/>
          <w:lang w:eastAsia="ar-SA"/>
        </w:rPr>
        <w:t>-</w:t>
      </w:r>
      <w:r w:rsidRPr="00851B6C">
        <w:rPr>
          <w:rFonts w:eastAsia="MS Mincho"/>
          <w:sz w:val="20"/>
          <w:lang w:eastAsia="ar-SA"/>
        </w:rPr>
        <w:t xml:space="preserve">contaminated sites and success stories </w:t>
      </w:r>
      <w:r>
        <w:rPr>
          <w:rFonts w:eastAsia="MS Mincho"/>
          <w:sz w:val="20"/>
          <w:lang w:eastAsia="ar-SA"/>
        </w:rPr>
        <w:t>regarding</w:t>
      </w:r>
      <w:r w:rsidRPr="00851B6C">
        <w:rPr>
          <w:rFonts w:eastAsia="MS Mincho"/>
          <w:sz w:val="20"/>
          <w:lang w:eastAsia="ar-SA"/>
        </w:rPr>
        <w:t xml:space="preserve"> the implementation of alternatives and revise</w:t>
      </w:r>
      <w:r>
        <w:rPr>
          <w:rFonts w:eastAsia="MS Mincho"/>
          <w:sz w:val="20"/>
          <w:lang w:eastAsia="ar-SA"/>
        </w:rPr>
        <w:t xml:space="preserve"> and </w:t>
      </w:r>
      <w:r w:rsidRPr="00851B6C">
        <w:rPr>
          <w:rFonts w:eastAsia="MS Mincho"/>
          <w:sz w:val="20"/>
          <w:lang w:eastAsia="ar-SA"/>
        </w:rPr>
        <w:t xml:space="preserve">supplement the guidance </w:t>
      </w:r>
      <w:r>
        <w:rPr>
          <w:rFonts w:eastAsia="MS Mincho"/>
          <w:sz w:val="20"/>
          <w:lang w:eastAsia="ar-SA"/>
        </w:rPr>
        <w:t xml:space="preserve">document </w:t>
      </w:r>
      <w:r w:rsidRPr="00851B6C">
        <w:rPr>
          <w:rFonts w:eastAsia="MS Mincho"/>
          <w:sz w:val="20"/>
          <w:lang w:eastAsia="ar-SA"/>
        </w:rPr>
        <w:t>as appropriate, including through the development of case studies.</w:t>
      </w:r>
      <w:r>
        <w:rPr>
          <w:rFonts w:eastAsia="MS Mincho"/>
          <w:sz w:val="20"/>
          <w:lang w:eastAsia="ar-SA"/>
        </w:rPr>
        <w:t xml:space="preserve"> </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Consider</w:t>
      </w:r>
      <w:r>
        <w:rPr>
          <w:rFonts w:eastAsia="MS Mincho"/>
          <w:sz w:val="20"/>
          <w:lang w:eastAsia="ar-SA"/>
        </w:rPr>
        <w:t xml:space="preserve"> the</w:t>
      </w:r>
      <w:r w:rsidRPr="00851B6C">
        <w:rPr>
          <w:rFonts w:eastAsia="MS Mincho"/>
          <w:sz w:val="20"/>
          <w:lang w:eastAsia="ar-SA"/>
        </w:rPr>
        <w:t xml:space="preserve"> further updating of references and revise existing information to increase the overall consistency of the</w:t>
      </w:r>
      <w:r>
        <w:rPr>
          <w:rFonts w:eastAsia="MS Mincho"/>
          <w:sz w:val="20"/>
          <w:lang w:eastAsia="ar-SA"/>
        </w:rPr>
        <w:t xml:space="preserve"> guidance</w:t>
      </w:r>
      <w:r w:rsidRPr="00851B6C">
        <w:rPr>
          <w:rFonts w:eastAsia="MS Mincho"/>
          <w:sz w:val="20"/>
          <w:lang w:eastAsia="ar-SA"/>
        </w:rPr>
        <w:t xml:space="preserve"> document.</w:t>
      </w:r>
      <w:r>
        <w:rPr>
          <w:rFonts w:eastAsia="MS Mincho"/>
          <w:sz w:val="20"/>
          <w:lang w:eastAsia="ar-SA"/>
        </w:rPr>
        <w:t xml:space="preserve"> </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 xml:space="preserve">Consider restructuring the guidance document with a view to improving its </w:t>
      </w:r>
      <w:r>
        <w:rPr>
          <w:rFonts w:eastAsia="MS Mincho"/>
          <w:sz w:val="20"/>
          <w:lang w:eastAsia="ar-SA"/>
        </w:rPr>
        <w:br/>
      </w:r>
      <w:r w:rsidRPr="00851B6C">
        <w:rPr>
          <w:rFonts w:eastAsia="MS Mincho"/>
          <w:sz w:val="20"/>
          <w:lang w:eastAsia="ar-SA"/>
        </w:rPr>
        <w:t>user-friendliness.</w:t>
      </w:r>
    </w:p>
    <w:p w:rsidR="0041359A" w:rsidRPr="00851B6C" w:rsidRDefault="0041359A" w:rsidP="0041359A">
      <w:pPr>
        <w:tabs>
          <w:tab w:val="left" w:pos="1247"/>
          <w:tab w:val="left" w:pos="1871"/>
        </w:tabs>
        <w:suppressAutoHyphens/>
        <w:spacing w:after="120"/>
        <w:ind w:left="1247"/>
        <w:rPr>
          <w:rFonts w:eastAsia="MS Mincho"/>
          <w:sz w:val="20"/>
          <w:u w:val="single"/>
          <w:lang w:eastAsia="ar-SA"/>
        </w:rPr>
      </w:pPr>
      <w:r w:rsidRPr="002765A2">
        <w:rPr>
          <w:rFonts w:eastAsia="MS Mincho"/>
          <w:sz w:val="20"/>
          <w:u w:val="single"/>
          <w:lang w:eastAsia="ar-SA"/>
        </w:rPr>
        <w:t xml:space="preserve">Draft guidance on best available techniques and best environmental practices for the recycling and waste disposal of articles containing </w:t>
      </w:r>
      <w:proofErr w:type="spellStart"/>
      <w:r w:rsidRPr="002765A2">
        <w:rPr>
          <w:rFonts w:eastAsia="MS Mincho"/>
          <w:sz w:val="20"/>
          <w:u w:val="single"/>
          <w:lang w:eastAsia="ar-SA"/>
        </w:rPr>
        <w:t>polybrominated</w:t>
      </w:r>
      <w:proofErr w:type="spellEnd"/>
      <w:r w:rsidRPr="002765A2">
        <w:rPr>
          <w:rFonts w:eastAsia="MS Mincho"/>
          <w:sz w:val="20"/>
          <w:u w:val="single"/>
          <w:lang w:eastAsia="ar-SA"/>
        </w:rPr>
        <w:t xml:space="preserve"> </w:t>
      </w:r>
      <w:proofErr w:type="spellStart"/>
      <w:r w:rsidRPr="002765A2">
        <w:rPr>
          <w:rFonts w:eastAsia="MS Mincho"/>
          <w:sz w:val="20"/>
          <w:u w:val="single"/>
          <w:lang w:eastAsia="ar-SA"/>
        </w:rPr>
        <w:t>diphenyl</w:t>
      </w:r>
      <w:proofErr w:type="spellEnd"/>
      <w:r w:rsidRPr="002765A2">
        <w:rPr>
          <w:rFonts w:eastAsia="MS Mincho"/>
          <w:sz w:val="20"/>
          <w:u w:val="single"/>
          <w:lang w:eastAsia="ar-SA"/>
        </w:rPr>
        <w:t xml:space="preserve"> ethers (PBDEs) listed under the Stockholm Convention</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Collect and evaluate new information on areas of concern identified by parties regarding separation technologies for PBDE</w:t>
      </w:r>
      <w:r>
        <w:rPr>
          <w:rFonts w:eastAsia="MS Mincho"/>
          <w:sz w:val="20"/>
          <w:lang w:eastAsia="ar-SA"/>
        </w:rPr>
        <w:t>-</w:t>
      </w:r>
      <w:r w:rsidRPr="00851B6C">
        <w:rPr>
          <w:rFonts w:eastAsia="MS Mincho"/>
          <w:sz w:val="20"/>
          <w:lang w:eastAsia="ar-SA"/>
        </w:rPr>
        <w:t>containing plastic, assessment and remediation of PBDE</w:t>
      </w:r>
      <w:r>
        <w:rPr>
          <w:rFonts w:eastAsia="MS Mincho"/>
          <w:sz w:val="20"/>
          <w:lang w:eastAsia="ar-SA"/>
        </w:rPr>
        <w:noBreakHyphen/>
      </w:r>
      <w:proofErr w:type="spellStart"/>
      <w:r w:rsidRPr="00851B6C">
        <w:rPr>
          <w:rFonts w:eastAsia="MS Mincho"/>
          <w:sz w:val="20"/>
          <w:lang w:eastAsia="ar-SA"/>
        </w:rPr>
        <w:t>contaminated</w:t>
      </w:r>
      <w:proofErr w:type="spellEnd"/>
      <w:r w:rsidRPr="00851B6C">
        <w:rPr>
          <w:rFonts w:eastAsia="MS Mincho"/>
          <w:sz w:val="20"/>
          <w:lang w:eastAsia="ar-SA"/>
        </w:rPr>
        <w:t xml:space="preserve"> sites</w:t>
      </w:r>
      <w:r>
        <w:rPr>
          <w:rFonts w:eastAsia="MS Mincho"/>
          <w:sz w:val="20"/>
          <w:lang w:eastAsia="ar-SA"/>
        </w:rPr>
        <w:t>,</w:t>
      </w:r>
      <w:r w:rsidRPr="00851B6C">
        <w:rPr>
          <w:rFonts w:eastAsia="MS Mincho"/>
          <w:sz w:val="20"/>
          <w:lang w:eastAsia="ar-SA"/>
        </w:rPr>
        <w:t xml:space="preserve"> update of the technologies listed and revise</w:t>
      </w:r>
      <w:r>
        <w:rPr>
          <w:rFonts w:eastAsia="MS Mincho"/>
          <w:sz w:val="20"/>
          <w:lang w:eastAsia="ar-SA"/>
        </w:rPr>
        <w:t xml:space="preserve"> and </w:t>
      </w:r>
      <w:r w:rsidRPr="00155CAD">
        <w:rPr>
          <w:rFonts w:eastAsia="MS Mincho"/>
          <w:sz w:val="20"/>
          <w:lang w:eastAsia="ar-SA"/>
        </w:rPr>
        <w:t>supplement the guidance</w:t>
      </w:r>
      <w:r w:rsidRPr="00851B6C">
        <w:rPr>
          <w:rFonts w:eastAsia="MS Mincho"/>
          <w:sz w:val="20"/>
          <w:lang w:eastAsia="ar-SA"/>
        </w:rPr>
        <w:t xml:space="preserve"> </w:t>
      </w:r>
      <w:r>
        <w:rPr>
          <w:rFonts w:eastAsia="MS Mincho"/>
          <w:sz w:val="20"/>
          <w:lang w:eastAsia="ar-SA"/>
        </w:rPr>
        <w:t xml:space="preserve">document </w:t>
      </w:r>
      <w:r w:rsidRPr="00851B6C">
        <w:rPr>
          <w:rFonts w:eastAsia="MS Mincho"/>
          <w:sz w:val="20"/>
          <w:lang w:eastAsia="ar-SA"/>
        </w:rPr>
        <w:t>as appropriate, including through development of case studies.</w:t>
      </w:r>
      <w:r>
        <w:rPr>
          <w:rFonts w:eastAsia="MS Mincho"/>
          <w:sz w:val="20"/>
          <w:lang w:eastAsia="ar-SA"/>
        </w:rPr>
        <w:t xml:space="preserve"> </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 xml:space="preserve">Consider </w:t>
      </w:r>
      <w:r>
        <w:rPr>
          <w:rFonts w:eastAsia="MS Mincho"/>
          <w:sz w:val="20"/>
          <w:lang w:eastAsia="ar-SA"/>
        </w:rPr>
        <w:t xml:space="preserve">the </w:t>
      </w:r>
      <w:r w:rsidRPr="00851B6C">
        <w:rPr>
          <w:rFonts w:eastAsia="MS Mincho"/>
          <w:sz w:val="20"/>
          <w:lang w:eastAsia="ar-SA"/>
        </w:rPr>
        <w:t xml:space="preserve">further updating of references and revise existing information to increase the overall consistency of the </w:t>
      </w:r>
      <w:r>
        <w:rPr>
          <w:rFonts w:eastAsia="MS Mincho"/>
          <w:sz w:val="20"/>
          <w:lang w:eastAsia="ar-SA"/>
        </w:rPr>
        <w:t xml:space="preserve">guidance </w:t>
      </w:r>
      <w:r w:rsidRPr="00851B6C">
        <w:rPr>
          <w:rFonts w:eastAsia="MS Mincho"/>
          <w:sz w:val="20"/>
          <w:lang w:eastAsia="ar-SA"/>
        </w:rPr>
        <w:t>document.</w:t>
      </w:r>
      <w:r>
        <w:rPr>
          <w:rFonts w:eastAsia="MS Mincho"/>
          <w:sz w:val="20"/>
          <w:lang w:eastAsia="ar-SA"/>
        </w:rPr>
        <w:t xml:space="preserve"> </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Consider restructuring the guidance document with a view to improving its user-friendliness.</w:t>
      </w:r>
    </w:p>
    <w:p w:rsidR="0041359A" w:rsidRPr="00851B6C" w:rsidRDefault="0041359A" w:rsidP="0041359A">
      <w:pPr>
        <w:keepNext/>
        <w:tabs>
          <w:tab w:val="left" w:pos="1247"/>
          <w:tab w:val="left" w:pos="1871"/>
        </w:tabs>
        <w:suppressAutoHyphens/>
        <w:spacing w:after="120"/>
        <w:ind w:left="1247"/>
        <w:rPr>
          <w:rFonts w:eastAsia="MS Mincho"/>
          <w:sz w:val="20"/>
          <w:u w:val="single"/>
          <w:lang w:eastAsia="ar-SA"/>
        </w:rPr>
      </w:pPr>
      <w:r w:rsidRPr="00851B6C">
        <w:rPr>
          <w:rFonts w:eastAsia="MS Mincho"/>
          <w:sz w:val="20"/>
          <w:u w:val="single"/>
          <w:lang w:eastAsia="ar-SA"/>
        </w:rPr>
        <w:t>Best available techniques and best environmental practices for other persistent organic pollutants</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 xml:space="preserve">Collect and evaluate information on areas of concern identified by parties regarding the management of </w:t>
      </w:r>
      <w:r>
        <w:rPr>
          <w:rFonts w:eastAsia="MS Mincho"/>
          <w:sz w:val="20"/>
          <w:lang w:eastAsia="ar-SA"/>
        </w:rPr>
        <w:t xml:space="preserve">materials containing </w:t>
      </w:r>
      <w:proofErr w:type="spellStart"/>
      <w:r w:rsidRPr="00851B6C">
        <w:rPr>
          <w:rFonts w:eastAsia="MS Mincho"/>
          <w:sz w:val="20"/>
          <w:lang w:eastAsia="ar-SA"/>
        </w:rPr>
        <w:t>hexabromocyclododecane</w:t>
      </w:r>
      <w:proofErr w:type="spellEnd"/>
      <w:r w:rsidRPr="00851B6C">
        <w:rPr>
          <w:rFonts w:eastAsia="MS Mincho"/>
          <w:sz w:val="20"/>
          <w:lang w:eastAsia="ar-SA"/>
        </w:rPr>
        <w:t xml:space="preserve"> (HBCD) and develop additional guidance on best available techniques and best environmental practices</w:t>
      </w:r>
      <w:r>
        <w:rPr>
          <w:rFonts w:eastAsia="MS Mincho"/>
          <w:sz w:val="20"/>
          <w:lang w:eastAsia="ar-SA"/>
        </w:rPr>
        <w:t>,</w:t>
      </w:r>
      <w:r w:rsidRPr="00851B6C">
        <w:rPr>
          <w:rFonts w:eastAsia="MS Mincho"/>
          <w:sz w:val="20"/>
          <w:lang w:eastAsia="ar-SA"/>
        </w:rPr>
        <w:t xml:space="preserve"> as appropriate</w:t>
      </w:r>
      <w:r>
        <w:rPr>
          <w:rFonts w:eastAsia="MS Mincho"/>
          <w:sz w:val="20"/>
          <w:lang w:eastAsia="ar-SA"/>
        </w:rPr>
        <w:t>,</w:t>
      </w:r>
      <w:r w:rsidRPr="00851B6C">
        <w:rPr>
          <w:rFonts w:eastAsia="MS Mincho"/>
          <w:sz w:val="20"/>
          <w:lang w:eastAsia="ar-SA"/>
        </w:rPr>
        <w:t xml:space="preserve"> taking into account the technical guidelines for the environmentally sound management of wastes consisting of, containing or contaminated with</w:t>
      </w:r>
      <w:r w:rsidRPr="00851B6C">
        <w:rPr>
          <w:rFonts w:eastAsia="MS Mincho" w:hint="eastAsia"/>
          <w:sz w:val="20"/>
          <w:lang w:eastAsia="ar-SA"/>
        </w:rPr>
        <w:t xml:space="preserve"> </w:t>
      </w:r>
      <w:r w:rsidRPr="00851B6C">
        <w:rPr>
          <w:rFonts w:eastAsia="MS Mincho"/>
          <w:sz w:val="20"/>
          <w:lang w:eastAsia="ar-SA"/>
        </w:rPr>
        <w:t>HBCD as adopted by the Conference of the Parties to the Basel Convention at its twelfth meeting.</w:t>
      </w:r>
      <w:r>
        <w:rPr>
          <w:rFonts w:eastAsia="MS Mincho"/>
          <w:sz w:val="20"/>
          <w:lang w:eastAsia="ar-SA"/>
        </w:rPr>
        <w:t xml:space="preserve"> </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Assess the need for developing additional guidance on best available techniques and best environmental practices for other persistent organic pollutants</w:t>
      </w:r>
      <w:r w:rsidRPr="00851B6C">
        <w:rPr>
          <w:rFonts w:eastAsia="MS Mincho"/>
          <w:sz w:val="20"/>
          <w:lang w:val="en-US" w:eastAsia="ar-SA"/>
        </w:rPr>
        <w:t xml:space="preserve"> </w:t>
      </w:r>
      <w:r w:rsidRPr="00851B6C">
        <w:rPr>
          <w:rFonts w:eastAsia="MS Mincho"/>
          <w:sz w:val="20"/>
          <w:lang w:eastAsia="ar-SA"/>
        </w:rPr>
        <w:t>listed in Annex A or Annex B to the Convention</w:t>
      </w:r>
      <w:r>
        <w:rPr>
          <w:rFonts w:eastAsia="MS Mincho"/>
          <w:sz w:val="20"/>
          <w:lang w:eastAsia="ar-SA"/>
        </w:rPr>
        <w:t>,</w:t>
      </w:r>
      <w:r w:rsidRPr="00851B6C">
        <w:rPr>
          <w:rFonts w:eastAsia="MS Mincho"/>
          <w:sz w:val="20"/>
          <w:lang w:eastAsia="ar-SA"/>
        </w:rPr>
        <w:t xml:space="preserve"> taking into account existing technical guidelines on persistent organic pollutants developed under the Basel Convention.</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lastRenderedPageBreak/>
        <w:t>Collect and evaluate information relevant to best available techniques and best environmental practices for the persistent organic pollutants</w:t>
      </w:r>
      <w:r w:rsidRPr="00851B6C">
        <w:rPr>
          <w:rFonts w:eastAsia="MS Mincho"/>
          <w:sz w:val="20"/>
          <w:lang w:val="en-US" w:eastAsia="ar-SA"/>
        </w:rPr>
        <w:t xml:space="preserve"> </w:t>
      </w:r>
      <w:r>
        <w:rPr>
          <w:rFonts w:eastAsia="MS Mincho"/>
          <w:sz w:val="20"/>
          <w:lang w:eastAsia="ar-SA"/>
        </w:rPr>
        <w:t>that were</w:t>
      </w:r>
      <w:r w:rsidRPr="00851B6C">
        <w:rPr>
          <w:rFonts w:eastAsia="MS Mincho"/>
          <w:sz w:val="20"/>
          <w:lang w:eastAsia="ar-SA"/>
        </w:rPr>
        <w:t xml:space="preserve"> listed </w:t>
      </w:r>
      <w:r>
        <w:rPr>
          <w:rFonts w:eastAsia="MS Mincho"/>
          <w:sz w:val="20"/>
          <w:lang w:eastAsia="ar-SA"/>
        </w:rPr>
        <w:t xml:space="preserve">in the annexes to the Convention </w:t>
      </w:r>
      <w:r w:rsidRPr="00851B6C">
        <w:rPr>
          <w:rFonts w:eastAsia="MS Mincho"/>
          <w:sz w:val="20"/>
          <w:lang w:eastAsia="ar-SA"/>
        </w:rPr>
        <w:t>at the seventh meeting of the Conference of the Parties.</w:t>
      </w:r>
      <w:r>
        <w:rPr>
          <w:rFonts w:eastAsia="MS Mincho"/>
          <w:sz w:val="20"/>
          <w:lang w:eastAsia="ar-SA"/>
        </w:rPr>
        <w:t xml:space="preserve"> </w:t>
      </w:r>
    </w:p>
    <w:p w:rsidR="0041359A" w:rsidRPr="00851B6C" w:rsidRDefault="0041359A" w:rsidP="0041359A">
      <w:pPr>
        <w:keepNext/>
        <w:keepLines/>
        <w:numPr>
          <w:ilvl w:val="1"/>
          <w:numId w:val="4"/>
        </w:numPr>
        <w:suppressAutoHyphens/>
        <w:spacing w:after="120" w:line="276" w:lineRule="auto"/>
        <w:ind w:left="1248" w:hanging="624"/>
        <w:rPr>
          <w:rFonts w:eastAsia="MS Mincho"/>
          <w:b/>
          <w:sz w:val="20"/>
          <w:lang w:eastAsia="ar-SA"/>
        </w:rPr>
      </w:pPr>
      <w:r w:rsidRPr="00851B6C">
        <w:rPr>
          <w:rFonts w:eastAsia="MS Mincho"/>
          <w:b/>
          <w:sz w:val="20"/>
          <w:lang w:eastAsia="ar-SA"/>
        </w:rPr>
        <w:t>Guidelines on best available techniques and best environmental practices relevant to the persistent organic pollutants listed in Annex C</w:t>
      </w:r>
    </w:p>
    <w:p w:rsidR="0041359A" w:rsidRPr="00851B6C" w:rsidRDefault="0041359A" w:rsidP="0041359A">
      <w:pPr>
        <w:keepNext/>
        <w:keepLines/>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 xml:space="preserve">Collect and </w:t>
      </w:r>
      <w:r w:rsidRPr="00B2153E">
        <w:rPr>
          <w:rFonts w:eastAsia="MS Mincho"/>
          <w:sz w:val="20"/>
          <w:lang w:eastAsia="ar-SA"/>
        </w:rPr>
        <w:t xml:space="preserve">evaluate new </w:t>
      </w:r>
      <w:r w:rsidRPr="00851B6C">
        <w:rPr>
          <w:rFonts w:eastAsia="MS Mincho"/>
          <w:sz w:val="20"/>
          <w:lang w:eastAsia="ar-SA"/>
        </w:rPr>
        <w:t>information on key sources of unintentionally produced persistent organic pollutants</w:t>
      </w:r>
      <w:r w:rsidRPr="00851B6C">
        <w:rPr>
          <w:rFonts w:eastAsia="MS Mincho"/>
          <w:sz w:val="20"/>
          <w:lang w:val="en-US" w:eastAsia="ar-SA"/>
        </w:rPr>
        <w:t xml:space="preserve"> </w:t>
      </w:r>
      <w:r w:rsidRPr="00851B6C">
        <w:rPr>
          <w:rFonts w:eastAsia="MS Mincho"/>
          <w:sz w:val="20"/>
          <w:lang w:eastAsia="ar-SA"/>
        </w:rPr>
        <w:t xml:space="preserve">as identified by parties and the Toolkit experts, recently updated </w:t>
      </w:r>
      <w:r>
        <w:rPr>
          <w:rFonts w:eastAsia="MS Mincho"/>
          <w:sz w:val="20"/>
          <w:lang w:eastAsia="ar-SA"/>
        </w:rPr>
        <w:t>b</w:t>
      </w:r>
      <w:r w:rsidRPr="00851B6C">
        <w:rPr>
          <w:rFonts w:eastAsia="MS Mincho"/>
          <w:sz w:val="20"/>
          <w:lang w:eastAsia="ar-SA"/>
        </w:rPr>
        <w:t xml:space="preserve">est </w:t>
      </w:r>
      <w:r>
        <w:rPr>
          <w:rFonts w:eastAsia="MS Mincho"/>
          <w:sz w:val="20"/>
          <w:lang w:eastAsia="ar-SA"/>
        </w:rPr>
        <w:t>a</w:t>
      </w:r>
      <w:r w:rsidRPr="00851B6C">
        <w:rPr>
          <w:rFonts w:eastAsia="MS Mincho"/>
          <w:sz w:val="20"/>
          <w:lang w:eastAsia="ar-SA"/>
        </w:rPr>
        <w:t xml:space="preserve">vailable </w:t>
      </w:r>
      <w:r>
        <w:rPr>
          <w:rFonts w:eastAsia="MS Mincho"/>
          <w:sz w:val="20"/>
          <w:lang w:eastAsia="ar-SA"/>
        </w:rPr>
        <w:t>t</w:t>
      </w:r>
      <w:r w:rsidRPr="00851B6C">
        <w:rPr>
          <w:rFonts w:eastAsia="MS Mincho"/>
          <w:sz w:val="20"/>
          <w:lang w:eastAsia="ar-SA"/>
        </w:rPr>
        <w:t xml:space="preserve">echnologies </w:t>
      </w:r>
      <w:r>
        <w:rPr>
          <w:rFonts w:eastAsia="MS Mincho"/>
          <w:sz w:val="20"/>
          <w:lang w:eastAsia="ar-SA"/>
        </w:rPr>
        <w:t>r</w:t>
      </w:r>
      <w:r w:rsidRPr="00851B6C">
        <w:rPr>
          <w:rFonts w:eastAsia="MS Mincho"/>
          <w:sz w:val="20"/>
          <w:lang w:eastAsia="ar-SA"/>
        </w:rPr>
        <w:t xml:space="preserve">eference </w:t>
      </w:r>
      <w:r>
        <w:rPr>
          <w:rFonts w:eastAsia="MS Mincho"/>
          <w:sz w:val="20"/>
          <w:lang w:eastAsia="ar-SA"/>
        </w:rPr>
        <w:t>d</w:t>
      </w:r>
      <w:r w:rsidRPr="00851B6C">
        <w:rPr>
          <w:rFonts w:eastAsia="MS Mincho"/>
          <w:sz w:val="20"/>
          <w:lang w:eastAsia="ar-SA"/>
        </w:rPr>
        <w:t>ocuments (BREFs) and national documents on best available techniques and best environmental practices and supplement</w:t>
      </w:r>
      <w:r>
        <w:rPr>
          <w:rFonts w:eastAsia="MS Mincho"/>
          <w:sz w:val="20"/>
          <w:lang w:eastAsia="ar-SA"/>
        </w:rPr>
        <w:t xml:space="preserve"> and </w:t>
      </w:r>
      <w:r w:rsidRPr="00851B6C">
        <w:rPr>
          <w:rFonts w:eastAsia="MS Mincho"/>
          <w:sz w:val="20"/>
          <w:lang w:eastAsia="ar-SA"/>
        </w:rPr>
        <w:t>update the guidelines as appropriate.</w:t>
      </w:r>
      <w:r>
        <w:rPr>
          <w:rFonts w:eastAsia="MS Mincho"/>
          <w:sz w:val="20"/>
          <w:lang w:eastAsia="ar-SA"/>
        </w:rPr>
        <w:t xml:space="preserve"> </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Collect and evaluate information on best available techniques and best environmental practices for sources of releases of the persistent organic pollutants</w:t>
      </w:r>
      <w:r w:rsidRPr="00851B6C">
        <w:rPr>
          <w:rFonts w:eastAsia="MS Mincho"/>
          <w:sz w:val="20"/>
          <w:lang w:val="en-US" w:eastAsia="ar-SA"/>
        </w:rPr>
        <w:t xml:space="preserve"> </w:t>
      </w:r>
      <w:r>
        <w:rPr>
          <w:rFonts w:eastAsia="MS Mincho"/>
          <w:sz w:val="20"/>
          <w:lang w:eastAsia="ar-SA"/>
        </w:rPr>
        <w:t xml:space="preserve">that were </w:t>
      </w:r>
      <w:r w:rsidRPr="00851B6C">
        <w:rPr>
          <w:rFonts w:eastAsia="MS Mincho"/>
          <w:sz w:val="20"/>
          <w:lang w:eastAsia="ar-SA"/>
        </w:rPr>
        <w:t xml:space="preserve">listed </w:t>
      </w:r>
      <w:r>
        <w:rPr>
          <w:rFonts w:eastAsia="MS Mincho"/>
          <w:sz w:val="20"/>
          <w:lang w:eastAsia="ar-SA"/>
        </w:rPr>
        <w:t xml:space="preserve">in the annexes to the Convention </w:t>
      </w:r>
      <w:r w:rsidRPr="00851B6C">
        <w:rPr>
          <w:rFonts w:eastAsia="MS Mincho"/>
          <w:sz w:val="20"/>
          <w:lang w:eastAsia="ar-SA"/>
        </w:rPr>
        <w:t>at the seventh meeting of the Conference of the Parties, assess the applicability of the existing guidance for those substances and supplement</w:t>
      </w:r>
      <w:r>
        <w:rPr>
          <w:rFonts w:eastAsia="MS Mincho"/>
          <w:sz w:val="20"/>
          <w:lang w:eastAsia="ar-SA"/>
        </w:rPr>
        <w:t xml:space="preserve"> and </w:t>
      </w:r>
      <w:r w:rsidRPr="00851B6C">
        <w:rPr>
          <w:rFonts w:eastAsia="MS Mincho"/>
          <w:sz w:val="20"/>
          <w:lang w:eastAsia="ar-SA"/>
        </w:rPr>
        <w:t>update the guidelines as appropriate.</w:t>
      </w:r>
      <w:r>
        <w:rPr>
          <w:rFonts w:eastAsia="MS Mincho"/>
          <w:sz w:val="20"/>
          <w:lang w:eastAsia="ar-SA"/>
        </w:rPr>
        <w:t xml:space="preserve"> </w:t>
      </w:r>
    </w:p>
    <w:p w:rsidR="0041359A" w:rsidRPr="00851B6C" w:rsidRDefault="0041359A" w:rsidP="0041359A">
      <w:pPr>
        <w:numPr>
          <w:ilvl w:val="1"/>
          <w:numId w:val="4"/>
        </w:numPr>
        <w:suppressAutoHyphens/>
        <w:spacing w:after="120" w:line="276" w:lineRule="auto"/>
        <w:ind w:left="1248" w:hanging="624"/>
        <w:rPr>
          <w:rFonts w:eastAsia="MS Mincho"/>
          <w:b/>
          <w:sz w:val="20"/>
          <w:lang w:eastAsia="ar-SA"/>
        </w:rPr>
      </w:pPr>
      <w:r w:rsidRPr="00851B6C">
        <w:rPr>
          <w:rFonts w:eastAsia="MS Mincho"/>
          <w:b/>
          <w:sz w:val="20"/>
          <w:lang w:eastAsia="ar-SA"/>
        </w:rPr>
        <w:t>Alternatives</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Pr>
          <w:rFonts w:eastAsia="MS Mincho"/>
          <w:sz w:val="20"/>
          <w:lang w:eastAsia="ar-SA"/>
        </w:rPr>
        <w:t xml:space="preserve">With regard to </w:t>
      </w:r>
      <w:r w:rsidRPr="00851B6C">
        <w:rPr>
          <w:rFonts w:eastAsia="MS Mincho"/>
          <w:sz w:val="20"/>
          <w:lang w:eastAsia="ar-SA"/>
        </w:rPr>
        <w:t>the guidelines on best available techniques and best environmental practices relevant to the persistent organic pollutants</w:t>
      </w:r>
      <w:r w:rsidRPr="00851B6C">
        <w:rPr>
          <w:rFonts w:eastAsia="MS Mincho"/>
          <w:sz w:val="20"/>
          <w:lang w:val="en-US" w:eastAsia="ar-SA"/>
        </w:rPr>
        <w:t xml:space="preserve"> </w:t>
      </w:r>
      <w:r w:rsidRPr="00851B6C">
        <w:rPr>
          <w:rFonts w:eastAsia="MS Mincho"/>
          <w:sz w:val="20"/>
          <w:lang w:eastAsia="ar-SA"/>
        </w:rPr>
        <w:t>listed in Annex C</w:t>
      </w:r>
      <w:r>
        <w:rPr>
          <w:rFonts w:eastAsia="MS Mincho"/>
          <w:sz w:val="20"/>
          <w:lang w:eastAsia="ar-SA"/>
        </w:rPr>
        <w:t xml:space="preserve"> to the Convention, supplement</w:t>
      </w:r>
      <w:r w:rsidRPr="00851B6C">
        <w:rPr>
          <w:rFonts w:eastAsia="MS Mincho"/>
          <w:sz w:val="20"/>
          <w:lang w:eastAsia="ar-SA"/>
        </w:rPr>
        <w:t xml:space="preserve"> with new information on available alternative techniques and practices, including locally developed alternatives, and on the use of substitute or modified materials, products and processes.</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Pr>
          <w:rFonts w:eastAsia="MS Mincho"/>
          <w:sz w:val="20"/>
          <w:lang w:eastAsia="ar-SA"/>
        </w:rPr>
        <w:t xml:space="preserve">With regard to </w:t>
      </w:r>
      <w:r w:rsidRPr="00851B6C">
        <w:rPr>
          <w:rFonts w:eastAsia="MS Mincho"/>
          <w:sz w:val="20"/>
          <w:lang w:eastAsia="ar-SA"/>
        </w:rPr>
        <w:t>the guidance on best available techniques and best environmental practices relevant to the persistent organic pollutants</w:t>
      </w:r>
      <w:r w:rsidRPr="00851B6C">
        <w:rPr>
          <w:rFonts w:eastAsia="MS Mincho"/>
          <w:sz w:val="20"/>
          <w:lang w:val="en-US" w:eastAsia="ar-SA"/>
        </w:rPr>
        <w:t xml:space="preserve"> </w:t>
      </w:r>
      <w:r w:rsidRPr="00851B6C">
        <w:rPr>
          <w:rFonts w:eastAsia="MS Mincho"/>
          <w:sz w:val="20"/>
          <w:lang w:eastAsia="ar-SA"/>
        </w:rPr>
        <w:t xml:space="preserve">listed in Annex A or </w:t>
      </w:r>
      <w:r>
        <w:rPr>
          <w:rFonts w:eastAsia="MS Mincho"/>
          <w:sz w:val="20"/>
          <w:lang w:eastAsia="ar-SA"/>
        </w:rPr>
        <w:t xml:space="preserve">Annex </w:t>
      </w:r>
      <w:r w:rsidRPr="00851B6C">
        <w:rPr>
          <w:rFonts w:eastAsia="MS Mincho"/>
          <w:sz w:val="20"/>
          <w:lang w:eastAsia="ar-SA"/>
        </w:rPr>
        <w:t>B</w:t>
      </w:r>
      <w:r>
        <w:rPr>
          <w:rFonts w:eastAsia="MS Mincho"/>
          <w:sz w:val="20"/>
          <w:lang w:eastAsia="ar-SA"/>
        </w:rPr>
        <w:t xml:space="preserve"> to the Convention, supplement</w:t>
      </w:r>
      <w:r w:rsidRPr="00851B6C">
        <w:rPr>
          <w:rFonts w:eastAsia="MS Mincho"/>
          <w:sz w:val="20"/>
          <w:lang w:eastAsia="ar-SA"/>
        </w:rPr>
        <w:t xml:space="preserve"> with new information on available alternatives as identified by the Persistent Organic Pollutant</w:t>
      </w:r>
      <w:r>
        <w:rPr>
          <w:rFonts w:eastAsia="MS Mincho"/>
          <w:sz w:val="20"/>
          <w:lang w:eastAsia="ar-SA"/>
        </w:rPr>
        <w:t>s</w:t>
      </w:r>
      <w:r w:rsidRPr="00851B6C">
        <w:rPr>
          <w:rFonts w:eastAsia="MS Mincho"/>
          <w:sz w:val="20"/>
          <w:lang w:eastAsia="ar-SA"/>
        </w:rPr>
        <w:t xml:space="preserve"> Review Committee.</w:t>
      </w:r>
      <w:r>
        <w:rPr>
          <w:rFonts w:eastAsia="MS Mincho"/>
          <w:sz w:val="20"/>
          <w:lang w:eastAsia="ar-SA"/>
        </w:rPr>
        <w:t xml:space="preserve"> </w:t>
      </w:r>
    </w:p>
    <w:p w:rsidR="0041359A" w:rsidRPr="00851B6C" w:rsidRDefault="0041359A" w:rsidP="0041359A">
      <w:pPr>
        <w:numPr>
          <w:ilvl w:val="1"/>
          <w:numId w:val="4"/>
        </w:numPr>
        <w:suppressAutoHyphens/>
        <w:spacing w:after="120" w:line="276" w:lineRule="auto"/>
        <w:ind w:left="1248" w:hanging="624"/>
        <w:rPr>
          <w:rFonts w:eastAsia="MS Mincho"/>
          <w:b/>
          <w:sz w:val="20"/>
          <w:lang w:eastAsia="ar-SA"/>
        </w:rPr>
      </w:pPr>
      <w:r w:rsidRPr="00851B6C">
        <w:rPr>
          <w:rFonts w:eastAsia="MS Mincho"/>
          <w:b/>
          <w:sz w:val="20"/>
          <w:lang w:eastAsia="ar-SA"/>
        </w:rPr>
        <w:t>Remediation of contaminated sites</w:t>
      </w:r>
    </w:p>
    <w:p w:rsidR="0041359A" w:rsidRPr="00851B6C" w:rsidRDefault="0041359A" w:rsidP="0041359A">
      <w:pPr>
        <w:numPr>
          <w:ilvl w:val="0"/>
          <w:numId w:val="2"/>
        </w:numPr>
        <w:tabs>
          <w:tab w:val="clear" w:pos="360"/>
        </w:tabs>
        <w:suppressAutoHyphens/>
        <w:spacing w:after="120"/>
        <w:ind w:left="1247" w:firstLine="624"/>
        <w:rPr>
          <w:rFonts w:eastAsia="MS Mincho"/>
          <w:sz w:val="20"/>
          <w:lang w:eastAsia="ar-SA"/>
        </w:rPr>
      </w:pPr>
      <w:r w:rsidRPr="00851B6C">
        <w:rPr>
          <w:rFonts w:eastAsia="MS Mincho"/>
          <w:sz w:val="20"/>
          <w:lang w:eastAsia="ar-SA"/>
        </w:rPr>
        <w:t xml:space="preserve">Collect and evaluate information relevant to the remediation of contaminated sites and assess the need for the development of guidance.  </w:t>
      </w:r>
    </w:p>
    <w:p w:rsidR="0041359A" w:rsidRPr="00887EB1" w:rsidRDefault="0041359A" w:rsidP="0041359A">
      <w:pPr>
        <w:pStyle w:val="CH1"/>
      </w:pPr>
      <w:r>
        <w:tab/>
      </w:r>
      <w:r w:rsidRPr="00887EB1">
        <w:t xml:space="preserve">II. </w:t>
      </w:r>
      <w:r w:rsidRPr="00887EB1">
        <w:tab/>
        <w:t>Timelines</w:t>
      </w:r>
    </w:p>
    <w:tbl>
      <w:tblPr>
        <w:tblW w:w="8166"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76"/>
      </w:tblGrid>
      <w:tr w:rsidR="0041359A" w:rsidRPr="00851B6C" w:rsidTr="00D738FE">
        <w:trPr>
          <w:cantSplit/>
          <w:trHeight w:val="356"/>
          <w:tblHeader/>
        </w:trPr>
        <w:tc>
          <w:tcPr>
            <w:tcW w:w="1890" w:type="dxa"/>
            <w:vAlign w:val="center"/>
          </w:tcPr>
          <w:p w:rsidR="0041359A" w:rsidRPr="00851B6C" w:rsidRDefault="0041359A" w:rsidP="00D738FE">
            <w:pPr>
              <w:tabs>
                <w:tab w:val="left" w:pos="1247"/>
                <w:tab w:val="left" w:pos="1814"/>
                <w:tab w:val="left" w:pos="2381"/>
                <w:tab w:val="left" w:pos="2948"/>
                <w:tab w:val="left" w:pos="3515"/>
              </w:tabs>
              <w:jc w:val="center"/>
              <w:rPr>
                <w:i/>
                <w:sz w:val="20"/>
              </w:rPr>
            </w:pPr>
            <w:r w:rsidRPr="00851B6C">
              <w:rPr>
                <w:i/>
                <w:sz w:val="20"/>
              </w:rPr>
              <w:t>Scheduled date</w:t>
            </w:r>
          </w:p>
        </w:tc>
        <w:tc>
          <w:tcPr>
            <w:tcW w:w="6276" w:type="dxa"/>
            <w:vAlign w:val="center"/>
          </w:tcPr>
          <w:p w:rsidR="0041359A" w:rsidRPr="00851B6C" w:rsidRDefault="0041359A" w:rsidP="00D738FE">
            <w:pPr>
              <w:tabs>
                <w:tab w:val="left" w:pos="1247"/>
                <w:tab w:val="left" w:pos="1814"/>
                <w:tab w:val="left" w:pos="2381"/>
                <w:tab w:val="left" w:pos="2948"/>
                <w:tab w:val="left" w:pos="3515"/>
              </w:tabs>
              <w:jc w:val="center"/>
              <w:rPr>
                <w:i/>
                <w:sz w:val="20"/>
              </w:rPr>
            </w:pPr>
            <w:r w:rsidRPr="00851B6C">
              <w:rPr>
                <w:i/>
                <w:sz w:val="20"/>
              </w:rPr>
              <w:t>Activity</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Ongoing throughout 2015</w:t>
            </w:r>
            <w:r w:rsidRPr="00851B6C">
              <w:rPr>
                <w:b/>
                <w:sz w:val="20"/>
              </w:rPr>
              <w:t>–</w:t>
            </w:r>
            <w:r w:rsidRPr="00851B6C">
              <w:rPr>
                <w:sz w:val="20"/>
              </w:rPr>
              <w:t>2017</w:t>
            </w:r>
          </w:p>
        </w:tc>
        <w:tc>
          <w:tcPr>
            <w:tcW w:w="6276"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 xml:space="preserve">Collection of information specified in the </w:t>
            </w:r>
            <w:proofErr w:type="spellStart"/>
            <w:r w:rsidRPr="00851B6C">
              <w:rPr>
                <w:sz w:val="20"/>
              </w:rPr>
              <w:t>workplan</w:t>
            </w:r>
            <w:proofErr w:type="spellEnd"/>
            <w:r w:rsidRPr="00851B6C">
              <w:rPr>
                <w:sz w:val="20"/>
              </w:rPr>
              <w:t xml:space="preserve"> for the ongoing review and updat</w:t>
            </w:r>
            <w:r>
              <w:rPr>
                <w:sz w:val="20"/>
              </w:rPr>
              <w:t>ing</w:t>
            </w:r>
            <w:r w:rsidRPr="00851B6C">
              <w:rPr>
                <w:sz w:val="20"/>
              </w:rPr>
              <w:t xml:space="preserve"> of the guidelines on best available techniques </w:t>
            </w:r>
            <w:r w:rsidRPr="009B5F6B">
              <w:rPr>
                <w:sz w:val="20"/>
              </w:rPr>
              <w:t>and provisional</w:t>
            </w:r>
            <w:r w:rsidRPr="00851B6C">
              <w:rPr>
                <w:sz w:val="20"/>
              </w:rPr>
              <w:t xml:space="preserve"> guidance on best environmental practices</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February 2015</w:t>
            </w:r>
          </w:p>
        </w:tc>
        <w:tc>
          <w:tcPr>
            <w:tcW w:w="6276"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 xml:space="preserve">Task teams and leads are identified from the joint Toolkit and best available techniques and best environmental practices expert roster for each area of work included in the </w:t>
            </w:r>
            <w:proofErr w:type="spellStart"/>
            <w:r w:rsidRPr="00851B6C">
              <w:rPr>
                <w:sz w:val="20"/>
              </w:rPr>
              <w:t>workplan</w:t>
            </w:r>
            <w:proofErr w:type="spellEnd"/>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May 2015</w:t>
            </w:r>
          </w:p>
        </w:tc>
        <w:tc>
          <w:tcPr>
            <w:tcW w:w="6276" w:type="dxa"/>
            <w:vAlign w:val="center"/>
          </w:tcPr>
          <w:p w:rsidR="0041359A" w:rsidRPr="00887EB1" w:rsidRDefault="0041359A" w:rsidP="00D738FE">
            <w:pPr>
              <w:tabs>
                <w:tab w:val="left" w:pos="1247"/>
                <w:tab w:val="left" w:pos="1814"/>
                <w:tab w:val="left" w:pos="2381"/>
                <w:tab w:val="left" w:pos="2948"/>
                <w:tab w:val="left" w:pos="3515"/>
              </w:tabs>
              <w:rPr>
                <w:b/>
                <w:sz w:val="20"/>
              </w:rPr>
            </w:pPr>
            <w:r>
              <w:rPr>
                <w:sz w:val="20"/>
              </w:rPr>
              <w:t>S</w:t>
            </w:r>
            <w:r w:rsidRPr="00851B6C">
              <w:rPr>
                <w:sz w:val="20"/>
              </w:rPr>
              <w:t>eventh meeting of the Conference of the Parties</w:t>
            </w:r>
            <w:r>
              <w:rPr>
                <w:b/>
                <w:sz w:val="20"/>
              </w:rPr>
              <w:t xml:space="preserve"> </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May 2015</w:t>
            </w:r>
          </w:p>
        </w:tc>
        <w:tc>
          <w:tcPr>
            <w:tcW w:w="6276"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 xml:space="preserve">Secretariat invites information submissions from parties and others on the areas for further work identified in the </w:t>
            </w:r>
            <w:proofErr w:type="spellStart"/>
            <w:r w:rsidRPr="00851B6C">
              <w:rPr>
                <w:sz w:val="20"/>
              </w:rPr>
              <w:t>workplan</w:t>
            </w:r>
            <w:proofErr w:type="spellEnd"/>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By September 2015</w:t>
            </w:r>
          </w:p>
        </w:tc>
        <w:tc>
          <w:tcPr>
            <w:tcW w:w="6276" w:type="dxa"/>
            <w:vAlign w:val="center"/>
          </w:tcPr>
          <w:p w:rsidR="0041359A" w:rsidRPr="00851B6C" w:rsidRDefault="0041359A" w:rsidP="00D738FE">
            <w:pPr>
              <w:tabs>
                <w:tab w:val="left" w:pos="1247"/>
                <w:tab w:val="left" w:pos="1814"/>
                <w:tab w:val="left" w:pos="2381"/>
                <w:tab w:val="left" w:pos="2948"/>
                <w:tab w:val="left" w:pos="3515"/>
              </w:tabs>
              <w:spacing w:after="120"/>
              <w:rPr>
                <w:sz w:val="20"/>
              </w:rPr>
            </w:pPr>
            <w:r w:rsidRPr="00851B6C">
              <w:rPr>
                <w:sz w:val="20"/>
              </w:rPr>
              <w:t xml:space="preserve">Task teams assess information submissions to date and develop </w:t>
            </w:r>
            <w:r>
              <w:rPr>
                <w:sz w:val="20"/>
              </w:rPr>
              <w:t xml:space="preserve">a </w:t>
            </w:r>
            <w:r w:rsidRPr="00851B6C">
              <w:rPr>
                <w:sz w:val="20"/>
              </w:rPr>
              <w:t xml:space="preserve">proposal for updating existing guidance </w:t>
            </w:r>
            <w:r>
              <w:rPr>
                <w:sz w:val="20"/>
              </w:rPr>
              <w:t>and/or</w:t>
            </w:r>
            <w:r w:rsidRPr="00851B6C">
              <w:rPr>
                <w:sz w:val="20"/>
              </w:rPr>
              <w:t xml:space="preserve"> developing additional guidance for each area of work, including proposed revisions, restructuring and </w:t>
            </w:r>
            <w:r>
              <w:rPr>
                <w:sz w:val="20"/>
              </w:rPr>
              <w:t xml:space="preserve">the </w:t>
            </w:r>
            <w:r w:rsidRPr="00851B6C">
              <w:rPr>
                <w:sz w:val="20"/>
              </w:rPr>
              <w:t>development of case studies</w:t>
            </w:r>
            <w:r>
              <w:rPr>
                <w:sz w:val="20"/>
              </w:rPr>
              <w:t xml:space="preserve"> </w:t>
            </w:r>
          </w:p>
          <w:p w:rsidR="0041359A" w:rsidRPr="00851B6C" w:rsidRDefault="0041359A" w:rsidP="0041359A">
            <w:pPr>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Task team lead</w:t>
            </w:r>
            <w:r>
              <w:rPr>
                <w:sz w:val="20"/>
              </w:rPr>
              <w:t>s</w:t>
            </w:r>
            <w:r w:rsidRPr="00851B6C">
              <w:rPr>
                <w:sz w:val="20"/>
              </w:rPr>
              <w:t xml:space="preserve"> send the draft </w:t>
            </w:r>
            <w:r>
              <w:rPr>
                <w:sz w:val="20"/>
              </w:rPr>
              <w:t xml:space="preserve">proposals </w:t>
            </w:r>
            <w:r w:rsidRPr="00851B6C">
              <w:rPr>
                <w:sz w:val="20"/>
              </w:rPr>
              <w:t>to the Secretariat by 21</w:t>
            </w:r>
            <w:r>
              <w:rPr>
                <w:sz w:val="20"/>
              </w:rPr>
              <w:t> </w:t>
            </w:r>
            <w:r w:rsidRPr="00851B6C">
              <w:rPr>
                <w:sz w:val="20"/>
              </w:rPr>
              <w:t>September 2015</w:t>
            </w:r>
          </w:p>
          <w:p w:rsidR="0041359A" w:rsidRPr="00851B6C" w:rsidRDefault="0041359A" w:rsidP="0041359A">
            <w:pPr>
              <w:numPr>
                <w:ilvl w:val="0"/>
                <w:numId w:val="3"/>
              </w:numPr>
              <w:tabs>
                <w:tab w:val="left" w:pos="711"/>
                <w:tab w:val="left" w:pos="1814"/>
                <w:tab w:val="left" w:pos="2381"/>
                <w:tab w:val="left" w:pos="2948"/>
                <w:tab w:val="left" w:pos="3515"/>
                <w:tab w:val="left" w:pos="4082"/>
              </w:tabs>
              <w:spacing w:after="200"/>
              <w:rPr>
                <w:sz w:val="20"/>
              </w:rPr>
            </w:pPr>
            <w:r w:rsidRPr="00851B6C">
              <w:rPr>
                <w:sz w:val="20"/>
              </w:rPr>
              <w:t>Secretariat sends the draft</w:t>
            </w:r>
            <w:r>
              <w:rPr>
                <w:sz w:val="20"/>
              </w:rPr>
              <w:t xml:space="preserve"> proposals</w:t>
            </w:r>
            <w:r w:rsidRPr="00851B6C">
              <w:rPr>
                <w:sz w:val="20"/>
              </w:rPr>
              <w:t xml:space="preserve"> for review by the Toolkit and best available techniques and best environmental practices experts by 25 September 2015</w:t>
            </w:r>
          </w:p>
        </w:tc>
      </w:tr>
      <w:tr w:rsidR="0041359A" w:rsidRPr="00887EB1" w:rsidTr="00D738FE">
        <w:trPr>
          <w:cantSplit/>
          <w:trHeight w:val="401"/>
        </w:trPr>
        <w:tc>
          <w:tcPr>
            <w:tcW w:w="1890" w:type="dxa"/>
            <w:vAlign w:val="center"/>
          </w:tcPr>
          <w:p w:rsidR="0041359A" w:rsidRPr="00851B6C" w:rsidRDefault="0041359A" w:rsidP="00D738FE">
            <w:pPr>
              <w:keepNext/>
              <w:keepLines/>
              <w:tabs>
                <w:tab w:val="left" w:pos="1247"/>
                <w:tab w:val="left" w:pos="1814"/>
                <w:tab w:val="left" w:pos="2381"/>
                <w:tab w:val="left" w:pos="2948"/>
                <w:tab w:val="left" w:pos="3515"/>
              </w:tabs>
              <w:rPr>
                <w:sz w:val="20"/>
              </w:rPr>
            </w:pPr>
            <w:r w:rsidRPr="00851B6C">
              <w:rPr>
                <w:sz w:val="20"/>
              </w:rPr>
              <w:lastRenderedPageBreak/>
              <w:t>November 2015</w:t>
            </w:r>
          </w:p>
        </w:tc>
        <w:tc>
          <w:tcPr>
            <w:tcW w:w="6276" w:type="dxa"/>
            <w:vAlign w:val="center"/>
          </w:tcPr>
          <w:p w:rsidR="0041359A" w:rsidRPr="00851B6C" w:rsidRDefault="0041359A" w:rsidP="00D738FE">
            <w:pPr>
              <w:keepNext/>
              <w:keepLines/>
              <w:tabs>
                <w:tab w:val="left" w:pos="1247"/>
                <w:tab w:val="left" w:pos="1814"/>
                <w:tab w:val="left" w:pos="2381"/>
                <w:tab w:val="left" w:pos="2948"/>
                <w:tab w:val="left" w:pos="3515"/>
              </w:tabs>
              <w:rPr>
                <w:sz w:val="20"/>
              </w:rPr>
            </w:pPr>
            <w:r w:rsidRPr="00851B6C">
              <w:rPr>
                <w:sz w:val="20"/>
              </w:rPr>
              <w:t xml:space="preserve">Joint meeting of the Toolkit and best available techniques and best environmental practices experts to consider revisions </w:t>
            </w:r>
            <w:r>
              <w:rPr>
                <w:sz w:val="20"/>
              </w:rPr>
              <w:t>and/or</w:t>
            </w:r>
            <w:r w:rsidRPr="00851B6C">
              <w:rPr>
                <w:sz w:val="20"/>
              </w:rPr>
              <w:t xml:space="preserve"> additional guidance according to the proposals by task teams</w:t>
            </w:r>
          </w:p>
        </w:tc>
      </w:tr>
      <w:tr w:rsidR="0041359A" w:rsidRPr="00887EB1" w:rsidTr="00D738FE">
        <w:trPr>
          <w:cantSplit/>
          <w:trHeight w:val="401"/>
        </w:trPr>
        <w:tc>
          <w:tcPr>
            <w:tcW w:w="1890" w:type="dxa"/>
            <w:vAlign w:val="center"/>
          </w:tcPr>
          <w:p w:rsidR="0041359A" w:rsidRPr="00851B6C" w:rsidRDefault="0041359A" w:rsidP="00D738FE">
            <w:pPr>
              <w:keepNext/>
              <w:keepLines/>
              <w:tabs>
                <w:tab w:val="left" w:pos="1247"/>
                <w:tab w:val="left" w:pos="1814"/>
                <w:tab w:val="left" w:pos="2381"/>
                <w:tab w:val="left" w:pos="2948"/>
                <w:tab w:val="left" w:pos="3515"/>
              </w:tabs>
              <w:rPr>
                <w:sz w:val="20"/>
              </w:rPr>
            </w:pPr>
            <w:r w:rsidRPr="00851B6C">
              <w:rPr>
                <w:sz w:val="20"/>
              </w:rPr>
              <w:t>By April 2016</w:t>
            </w:r>
          </w:p>
        </w:tc>
        <w:tc>
          <w:tcPr>
            <w:tcW w:w="6276" w:type="dxa"/>
            <w:vAlign w:val="center"/>
          </w:tcPr>
          <w:p w:rsidR="0041359A" w:rsidRPr="00851B6C" w:rsidRDefault="0041359A" w:rsidP="00D738FE">
            <w:pPr>
              <w:keepNext/>
              <w:keepLines/>
              <w:tabs>
                <w:tab w:val="left" w:pos="1247"/>
                <w:tab w:val="left" w:pos="1814"/>
                <w:tab w:val="left" w:pos="2381"/>
                <w:tab w:val="left" w:pos="2948"/>
                <w:tab w:val="left" w:pos="3515"/>
              </w:tabs>
              <w:rPr>
                <w:sz w:val="20"/>
              </w:rPr>
            </w:pPr>
            <w:r w:rsidRPr="00851B6C">
              <w:rPr>
                <w:sz w:val="20"/>
              </w:rPr>
              <w:t>Task teams prepare first draft</w:t>
            </w:r>
            <w:r>
              <w:rPr>
                <w:sz w:val="20"/>
              </w:rPr>
              <w:t>s of</w:t>
            </w:r>
            <w:r w:rsidRPr="00851B6C">
              <w:rPr>
                <w:sz w:val="20"/>
              </w:rPr>
              <w:t xml:space="preserve"> updated </w:t>
            </w:r>
            <w:r>
              <w:rPr>
                <w:sz w:val="20"/>
              </w:rPr>
              <w:t>and/or</w:t>
            </w:r>
            <w:r w:rsidRPr="00851B6C">
              <w:rPr>
                <w:sz w:val="20"/>
              </w:rPr>
              <w:t xml:space="preserve"> additional guidance on the basis of the assessment of information submitted and comments by the Toolkit and best available techniques and best environmental practices experts</w:t>
            </w:r>
          </w:p>
          <w:p w:rsidR="0041359A" w:rsidRPr="00851B6C" w:rsidRDefault="0041359A" w:rsidP="0041359A">
            <w:pPr>
              <w:keepNext/>
              <w:keepLines/>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Task team lead</w:t>
            </w:r>
            <w:r>
              <w:rPr>
                <w:sz w:val="20"/>
              </w:rPr>
              <w:t>s</w:t>
            </w:r>
            <w:r w:rsidRPr="00851B6C">
              <w:rPr>
                <w:sz w:val="20"/>
              </w:rPr>
              <w:t xml:space="preserve"> send </w:t>
            </w:r>
            <w:r>
              <w:rPr>
                <w:sz w:val="20"/>
              </w:rPr>
              <w:t xml:space="preserve">first </w:t>
            </w:r>
            <w:r w:rsidRPr="00851B6C">
              <w:rPr>
                <w:sz w:val="20"/>
              </w:rPr>
              <w:t>draft</w:t>
            </w:r>
            <w:r>
              <w:rPr>
                <w:sz w:val="20"/>
              </w:rPr>
              <w:t>s</w:t>
            </w:r>
            <w:r w:rsidRPr="00851B6C">
              <w:rPr>
                <w:sz w:val="20"/>
              </w:rPr>
              <w:t xml:space="preserve"> to the Secretariat by 25 April 2016</w:t>
            </w:r>
          </w:p>
          <w:p w:rsidR="0041359A" w:rsidRPr="00851B6C" w:rsidRDefault="0041359A" w:rsidP="0041359A">
            <w:pPr>
              <w:keepNext/>
              <w:keepLines/>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Secretariat sends the draft</w:t>
            </w:r>
            <w:r>
              <w:rPr>
                <w:sz w:val="20"/>
              </w:rPr>
              <w:t>s</w:t>
            </w:r>
            <w:r w:rsidRPr="00851B6C">
              <w:rPr>
                <w:sz w:val="20"/>
              </w:rPr>
              <w:t xml:space="preserve"> for review by the Toolkit and best available techniques and best environmental practices experts by 29 April 2016</w:t>
            </w:r>
          </w:p>
          <w:p w:rsidR="0041359A" w:rsidRPr="00851B6C" w:rsidRDefault="0041359A" w:rsidP="0041359A">
            <w:pPr>
              <w:keepNext/>
              <w:keepLines/>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 xml:space="preserve">Secretariat makes available </w:t>
            </w:r>
            <w:r w:rsidRPr="002A0446">
              <w:rPr>
                <w:sz w:val="20"/>
              </w:rPr>
              <w:t>the drafts</w:t>
            </w:r>
            <w:r w:rsidRPr="00851B6C">
              <w:rPr>
                <w:sz w:val="20"/>
              </w:rPr>
              <w:t xml:space="preserve"> on the Stockholm Convention website by 29 April 2016 for </w:t>
            </w:r>
            <w:r>
              <w:rPr>
                <w:sz w:val="20"/>
              </w:rPr>
              <w:t xml:space="preserve">comment by </w:t>
            </w:r>
            <w:r w:rsidRPr="00851B6C">
              <w:rPr>
                <w:sz w:val="20"/>
              </w:rPr>
              <w:t>parties and others by 30 June 2016</w:t>
            </w:r>
          </w:p>
        </w:tc>
      </w:tr>
      <w:tr w:rsidR="0041359A" w:rsidRPr="00887EB1" w:rsidTr="00D738FE">
        <w:trPr>
          <w:cantSplit/>
          <w:trHeight w:val="680"/>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By June 2016</w:t>
            </w:r>
          </w:p>
        </w:tc>
        <w:tc>
          <w:tcPr>
            <w:tcW w:w="6276" w:type="dxa"/>
            <w:vAlign w:val="center"/>
          </w:tcPr>
          <w:p w:rsidR="0041359A" w:rsidRPr="00887EB1" w:rsidRDefault="0041359A" w:rsidP="00D738FE">
            <w:pPr>
              <w:tabs>
                <w:tab w:val="left" w:pos="1247"/>
                <w:tab w:val="left" w:pos="1814"/>
                <w:tab w:val="left" w:pos="2381"/>
                <w:tab w:val="left" w:pos="2948"/>
                <w:tab w:val="left" w:pos="3515"/>
              </w:tabs>
              <w:rPr>
                <w:b/>
                <w:sz w:val="20"/>
              </w:rPr>
            </w:pPr>
            <w:r w:rsidRPr="000B6044">
              <w:rPr>
                <w:sz w:val="20"/>
              </w:rPr>
              <w:t>Parties and others send to the Secretariat by 30 June 2016 their comments on the drafts submitted for their review</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July 2016</w:t>
            </w:r>
          </w:p>
        </w:tc>
        <w:tc>
          <w:tcPr>
            <w:tcW w:w="6276" w:type="dxa"/>
            <w:vAlign w:val="center"/>
          </w:tcPr>
          <w:p w:rsidR="0041359A" w:rsidRPr="00851B6C" w:rsidRDefault="0041359A" w:rsidP="00D738FE">
            <w:pPr>
              <w:tabs>
                <w:tab w:val="left" w:pos="1247"/>
                <w:tab w:val="left" w:pos="1814"/>
                <w:tab w:val="left" w:pos="2381"/>
                <w:tab w:val="left" w:pos="2948"/>
                <w:tab w:val="left" w:pos="3515"/>
              </w:tabs>
              <w:spacing w:before="120"/>
              <w:rPr>
                <w:sz w:val="20"/>
              </w:rPr>
            </w:pPr>
            <w:r w:rsidRPr="00851B6C">
              <w:rPr>
                <w:sz w:val="20"/>
              </w:rPr>
              <w:t xml:space="preserve">Toolkit and best available techniques and best environmental practices experts provide comments on the draft updated </w:t>
            </w:r>
            <w:r>
              <w:rPr>
                <w:sz w:val="20"/>
              </w:rPr>
              <w:t>and/or</w:t>
            </w:r>
            <w:r w:rsidRPr="00851B6C">
              <w:rPr>
                <w:sz w:val="20"/>
              </w:rPr>
              <w:t xml:space="preserve"> additional guidance </w:t>
            </w:r>
          </w:p>
          <w:p w:rsidR="0041359A" w:rsidRPr="00851B6C" w:rsidRDefault="0041359A" w:rsidP="0041359A">
            <w:pPr>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Secretariat compiles the comments and sends the compilation to task teams and leads by 24 June 2016</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jc w:val="center"/>
              <w:rPr>
                <w:sz w:val="20"/>
              </w:rPr>
            </w:pPr>
            <w:r w:rsidRPr="00851B6C">
              <w:rPr>
                <w:sz w:val="20"/>
              </w:rPr>
              <w:t>October 2016</w:t>
            </w:r>
          </w:p>
        </w:tc>
        <w:tc>
          <w:tcPr>
            <w:tcW w:w="6276" w:type="dxa"/>
            <w:vAlign w:val="center"/>
          </w:tcPr>
          <w:p w:rsidR="0041359A" w:rsidRPr="00851B6C" w:rsidRDefault="0041359A" w:rsidP="00D738FE">
            <w:pPr>
              <w:tabs>
                <w:tab w:val="left" w:pos="1247"/>
                <w:tab w:val="left" w:pos="1814"/>
                <w:tab w:val="left" w:pos="2381"/>
                <w:tab w:val="left" w:pos="2948"/>
                <w:tab w:val="left" w:pos="3515"/>
              </w:tabs>
              <w:spacing w:after="120"/>
              <w:rPr>
                <w:sz w:val="20"/>
              </w:rPr>
            </w:pPr>
            <w:r w:rsidRPr="00851B6C">
              <w:rPr>
                <w:sz w:val="20"/>
              </w:rPr>
              <w:t xml:space="preserve">Task teams revise </w:t>
            </w:r>
            <w:r>
              <w:rPr>
                <w:sz w:val="20"/>
              </w:rPr>
              <w:t xml:space="preserve">the </w:t>
            </w:r>
            <w:r w:rsidRPr="00851B6C">
              <w:rPr>
                <w:sz w:val="20"/>
              </w:rPr>
              <w:t xml:space="preserve">draft updated </w:t>
            </w:r>
            <w:r>
              <w:rPr>
                <w:sz w:val="20"/>
              </w:rPr>
              <w:t>and/or</w:t>
            </w:r>
            <w:r w:rsidRPr="00851B6C">
              <w:rPr>
                <w:sz w:val="20"/>
              </w:rPr>
              <w:t xml:space="preserve"> additional guidance on the basis of the comments received and additional information collected </w:t>
            </w:r>
            <w:proofErr w:type="spellStart"/>
            <w:r w:rsidRPr="00851B6C">
              <w:rPr>
                <w:sz w:val="20"/>
              </w:rPr>
              <w:t>intersessionally</w:t>
            </w:r>
            <w:proofErr w:type="spellEnd"/>
          </w:p>
          <w:p w:rsidR="0041359A" w:rsidRPr="00851B6C" w:rsidRDefault="0041359A" w:rsidP="0041359A">
            <w:pPr>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 xml:space="preserve">Task team </w:t>
            </w:r>
            <w:r w:rsidRPr="000B6044">
              <w:rPr>
                <w:sz w:val="20"/>
              </w:rPr>
              <w:t xml:space="preserve">leads send </w:t>
            </w:r>
            <w:r>
              <w:rPr>
                <w:sz w:val="20"/>
              </w:rPr>
              <w:t xml:space="preserve">the </w:t>
            </w:r>
            <w:r w:rsidRPr="000B6044">
              <w:rPr>
                <w:sz w:val="20"/>
              </w:rPr>
              <w:t>drafts</w:t>
            </w:r>
            <w:r w:rsidRPr="00851B6C">
              <w:rPr>
                <w:sz w:val="20"/>
              </w:rPr>
              <w:t xml:space="preserve"> to the Secretariat by 24 October 2016</w:t>
            </w:r>
            <w:r>
              <w:rPr>
                <w:sz w:val="20"/>
              </w:rPr>
              <w:t xml:space="preserve"> </w:t>
            </w:r>
          </w:p>
          <w:p w:rsidR="0041359A" w:rsidRPr="00851B6C" w:rsidRDefault="0041359A" w:rsidP="0041359A">
            <w:pPr>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 xml:space="preserve">Secretariat </w:t>
            </w:r>
            <w:r w:rsidRPr="000B6044">
              <w:rPr>
                <w:sz w:val="20"/>
              </w:rPr>
              <w:t>sends the drafts to the</w:t>
            </w:r>
            <w:r w:rsidRPr="00851B6C">
              <w:rPr>
                <w:sz w:val="20"/>
              </w:rPr>
              <w:t xml:space="preserve"> Toolkit and best available techniques and best environmental practices experts by 28</w:t>
            </w:r>
            <w:r>
              <w:rPr>
                <w:sz w:val="20"/>
              </w:rPr>
              <w:t> </w:t>
            </w:r>
            <w:r w:rsidRPr="00851B6C">
              <w:rPr>
                <w:sz w:val="20"/>
              </w:rPr>
              <w:t>October 2016</w:t>
            </w:r>
            <w:r>
              <w:rPr>
                <w:sz w:val="20"/>
              </w:rPr>
              <w:t xml:space="preserve"> </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jc w:val="center"/>
              <w:rPr>
                <w:sz w:val="20"/>
              </w:rPr>
            </w:pPr>
            <w:r w:rsidRPr="00851B6C">
              <w:rPr>
                <w:sz w:val="20"/>
              </w:rPr>
              <w:t>November 2016</w:t>
            </w:r>
          </w:p>
        </w:tc>
        <w:tc>
          <w:tcPr>
            <w:tcW w:w="6276" w:type="dxa"/>
            <w:vAlign w:val="center"/>
          </w:tcPr>
          <w:p w:rsidR="0041359A" w:rsidRPr="00851B6C" w:rsidRDefault="0041359A" w:rsidP="00D738FE">
            <w:pPr>
              <w:tabs>
                <w:tab w:val="left" w:pos="1247"/>
                <w:tab w:val="left" w:pos="1814"/>
                <w:tab w:val="left" w:pos="2381"/>
                <w:tab w:val="left" w:pos="2948"/>
                <w:tab w:val="left" w:pos="3515"/>
              </w:tabs>
              <w:rPr>
                <w:sz w:val="20"/>
              </w:rPr>
            </w:pPr>
            <w:r w:rsidRPr="00851B6C">
              <w:rPr>
                <w:sz w:val="20"/>
              </w:rPr>
              <w:t xml:space="preserve">Joint meeting of the Toolkit and best available techniques and best environmental practices experts to review the draft guidance and develop conclusions and recommendations </w:t>
            </w:r>
            <w:r>
              <w:rPr>
                <w:sz w:val="20"/>
              </w:rPr>
              <w:t>for consideration by the Conference of the Parties at its eighth meeting</w:t>
            </w:r>
            <w:r w:rsidRPr="00851B6C">
              <w:rPr>
                <w:sz w:val="20"/>
              </w:rPr>
              <w:t>.</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jc w:val="center"/>
              <w:rPr>
                <w:sz w:val="20"/>
              </w:rPr>
            </w:pPr>
            <w:r w:rsidRPr="00851B6C">
              <w:rPr>
                <w:sz w:val="20"/>
              </w:rPr>
              <w:t>January 2017</w:t>
            </w:r>
          </w:p>
        </w:tc>
        <w:tc>
          <w:tcPr>
            <w:tcW w:w="6276" w:type="dxa"/>
            <w:vAlign w:val="center"/>
          </w:tcPr>
          <w:p w:rsidR="0041359A" w:rsidRPr="00851B6C" w:rsidRDefault="0041359A" w:rsidP="00D738FE">
            <w:pPr>
              <w:tabs>
                <w:tab w:val="left" w:pos="1247"/>
                <w:tab w:val="left" w:pos="1814"/>
                <w:tab w:val="left" w:pos="2381"/>
                <w:tab w:val="left" w:pos="2948"/>
                <w:tab w:val="left" w:pos="3515"/>
              </w:tabs>
              <w:spacing w:after="120"/>
              <w:rPr>
                <w:sz w:val="20"/>
              </w:rPr>
            </w:pPr>
            <w:r w:rsidRPr="00851B6C">
              <w:rPr>
                <w:sz w:val="20"/>
              </w:rPr>
              <w:t xml:space="preserve">Task teams finalize the draft guidance on the basis of the agreement at the </w:t>
            </w:r>
            <w:r>
              <w:rPr>
                <w:sz w:val="20"/>
              </w:rPr>
              <w:t xml:space="preserve">November joint </w:t>
            </w:r>
            <w:r w:rsidRPr="00851B6C">
              <w:rPr>
                <w:sz w:val="20"/>
              </w:rPr>
              <w:t>meeting</w:t>
            </w:r>
          </w:p>
          <w:p w:rsidR="0041359A" w:rsidRPr="00851B6C" w:rsidRDefault="0041359A" w:rsidP="0041359A">
            <w:pPr>
              <w:numPr>
                <w:ilvl w:val="0"/>
                <w:numId w:val="3"/>
              </w:numPr>
              <w:tabs>
                <w:tab w:val="left" w:pos="711"/>
                <w:tab w:val="left" w:pos="1814"/>
                <w:tab w:val="left" w:pos="2381"/>
                <w:tab w:val="left" w:pos="2948"/>
                <w:tab w:val="left" w:pos="3515"/>
                <w:tab w:val="left" w:pos="4082"/>
              </w:tabs>
              <w:spacing w:after="120"/>
              <w:ind w:left="714" w:hanging="357"/>
              <w:rPr>
                <w:sz w:val="20"/>
              </w:rPr>
            </w:pPr>
            <w:r w:rsidRPr="00851B6C">
              <w:rPr>
                <w:sz w:val="20"/>
              </w:rPr>
              <w:t>Task team leads send the final draft</w:t>
            </w:r>
            <w:r>
              <w:rPr>
                <w:sz w:val="20"/>
              </w:rPr>
              <w:t>s to the Secretariat by 15 </w:t>
            </w:r>
            <w:r w:rsidRPr="00851B6C">
              <w:rPr>
                <w:sz w:val="20"/>
              </w:rPr>
              <w:t>January 2017</w:t>
            </w:r>
          </w:p>
        </w:tc>
      </w:tr>
      <w:tr w:rsidR="0041359A" w:rsidRPr="00887EB1" w:rsidTr="00D738FE">
        <w:trPr>
          <w:cantSplit/>
          <w:trHeight w:val="401"/>
        </w:trPr>
        <w:tc>
          <w:tcPr>
            <w:tcW w:w="1890" w:type="dxa"/>
            <w:vAlign w:val="center"/>
          </w:tcPr>
          <w:p w:rsidR="0041359A" w:rsidRPr="00851B6C" w:rsidRDefault="0041359A" w:rsidP="00D738FE">
            <w:pPr>
              <w:tabs>
                <w:tab w:val="left" w:pos="1247"/>
                <w:tab w:val="left" w:pos="1814"/>
                <w:tab w:val="left" w:pos="2381"/>
                <w:tab w:val="left" w:pos="2948"/>
                <w:tab w:val="left" w:pos="3515"/>
              </w:tabs>
              <w:jc w:val="center"/>
              <w:rPr>
                <w:sz w:val="20"/>
              </w:rPr>
            </w:pPr>
            <w:r w:rsidRPr="00851B6C">
              <w:rPr>
                <w:sz w:val="20"/>
              </w:rPr>
              <w:t>May 2017</w:t>
            </w:r>
          </w:p>
        </w:tc>
        <w:tc>
          <w:tcPr>
            <w:tcW w:w="6276" w:type="dxa"/>
            <w:vAlign w:val="center"/>
          </w:tcPr>
          <w:p w:rsidR="0041359A" w:rsidRPr="00851B6C" w:rsidRDefault="0041359A" w:rsidP="00D738FE">
            <w:pPr>
              <w:tabs>
                <w:tab w:val="left" w:pos="1247"/>
                <w:tab w:val="left" w:pos="1814"/>
                <w:tab w:val="left" w:pos="2381"/>
                <w:tab w:val="left" w:pos="2948"/>
                <w:tab w:val="left" w:pos="3515"/>
              </w:tabs>
              <w:rPr>
                <w:sz w:val="20"/>
              </w:rPr>
            </w:pPr>
            <w:r>
              <w:rPr>
                <w:sz w:val="20"/>
              </w:rPr>
              <w:t>E</w:t>
            </w:r>
            <w:r w:rsidRPr="00851B6C">
              <w:rPr>
                <w:sz w:val="20"/>
              </w:rPr>
              <w:t>ighth meeting of the Conference of the Parties</w:t>
            </w:r>
          </w:p>
        </w:tc>
      </w:tr>
    </w:tbl>
    <w:p w:rsidR="000B18ED" w:rsidRDefault="000B18ED"/>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610" w:rsidRDefault="00776610" w:rsidP="0041359A">
      <w:r>
        <w:separator/>
      </w:r>
    </w:p>
  </w:endnote>
  <w:endnote w:type="continuationSeparator" w:id="0">
    <w:p w:rsidR="00776610" w:rsidRDefault="00776610" w:rsidP="004135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610" w:rsidRDefault="00776610" w:rsidP="0041359A">
      <w:r>
        <w:separator/>
      </w:r>
    </w:p>
  </w:footnote>
  <w:footnote w:type="continuationSeparator" w:id="0">
    <w:p w:rsidR="00776610" w:rsidRDefault="00776610" w:rsidP="0041359A">
      <w:r>
        <w:continuationSeparator/>
      </w:r>
    </w:p>
  </w:footnote>
  <w:footnote w:id="1">
    <w:p w:rsidR="0041359A" w:rsidRPr="00A16B79" w:rsidRDefault="0041359A" w:rsidP="0041359A">
      <w:pPr>
        <w:pStyle w:val="FootnoteText"/>
        <w:rPr>
          <w:szCs w:val="18"/>
          <w:lang w:val="en-US"/>
        </w:rPr>
      </w:pPr>
      <w:r w:rsidRPr="00665FE6">
        <w:rPr>
          <w:rStyle w:val="FootnoteReference"/>
        </w:rPr>
        <w:footnoteRef/>
      </w:r>
      <w:r w:rsidRPr="00A16B79">
        <w:rPr>
          <w:szCs w:val="18"/>
          <w:lang w:val="en-US"/>
        </w:rPr>
        <w:t xml:space="preserve"> See UNEP/POPS/COP.7/INF/20.</w:t>
      </w:r>
    </w:p>
  </w:footnote>
  <w:footnote w:id="2">
    <w:p w:rsidR="0041359A" w:rsidRPr="00A16B79" w:rsidRDefault="0041359A" w:rsidP="0041359A">
      <w:pPr>
        <w:pStyle w:val="FootnoteText"/>
        <w:rPr>
          <w:szCs w:val="18"/>
          <w:lang w:val="en-US"/>
        </w:rPr>
      </w:pPr>
      <w:r w:rsidRPr="00665FE6">
        <w:rPr>
          <w:rStyle w:val="FootnoteReference"/>
        </w:rPr>
        <w:footnoteRef/>
      </w:r>
      <w:r w:rsidRPr="008A51CB">
        <w:rPr>
          <w:rStyle w:val="FootnoteReference"/>
          <w:lang w:val="en-GB"/>
        </w:rPr>
        <w:t xml:space="preserve"> </w:t>
      </w:r>
      <w:r w:rsidRPr="00A16B79">
        <w:rPr>
          <w:lang w:val="en-US"/>
        </w:rPr>
        <w:t xml:space="preserve">See </w:t>
      </w:r>
      <w:r w:rsidRPr="00A16B79">
        <w:rPr>
          <w:szCs w:val="18"/>
          <w:lang w:val="en-US"/>
        </w:rPr>
        <w:t xml:space="preserve">UNEP/POPS/COP.7/INF/19. </w:t>
      </w:r>
    </w:p>
  </w:footnote>
  <w:footnote w:id="3">
    <w:p w:rsidR="0041359A" w:rsidRPr="00A16B79" w:rsidRDefault="0041359A" w:rsidP="0041359A">
      <w:pPr>
        <w:pStyle w:val="FootnoteText"/>
        <w:rPr>
          <w:szCs w:val="18"/>
          <w:lang w:val="en-US"/>
        </w:rPr>
      </w:pPr>
      <w:r w:rsidRPr="00665FE6">
        <w:rPr>
          <w:rStyle w:val="FootnoteReference"/>
        </w:rPr>
        <w:footnoteRef/>
      </w:r>
      <w:r w:rsidRPr="00A16B79">
        <w:rPr>
          <w:szCs w:val="18"/>
          <w:lang w:val="en-US"/>
        </w:rPr>
        <w:t xml:space="preserve"> </w:t>
      </w:r>
      <w:proofErr w:type="gramStart"/>
      <w:r w:rsidRPr="00A16B79">
        <w:rPr>
          <w:szCs w:val="18"/>
          <w:lang w:val="en-US"/>
        </w:rPr>
        <w:t>UNEP/POPS/COP.7/14, annex.</w:t>
      </w:r>
      <w:proofErr w:type="gramEnd"/>
    </w:p>
  </w:footnote>
  <w:footnote w:id="4">
    <w:p w:rsidR="0041359A" w:rsidRPr="00A16B79" w:rsidRDefault="0041359A" w:rsidP="0041359A">
      <w:pPr>
        <w:pStyle w:val="FootnoteText"/>
        <w:rPr>
          <w:lang w:val="en-US"/>
        </w:rPr>
      </w:pPr>
      <w:r w:rsidRPr="00665FE6">
        <w:rPr>
          <w:rStyle w:val="FootnoteReference"/>
        </w:rPr>
        <w:footnoteRef/>
      </w:r>
      <w:r w:rsidRPr="00A16B79">
        <w:rPr>
          <w:szCs w:val="18"/>
          <w:lang w:val="en-GB"/>
        </w:rPr>
        <w:t xml:space="preserve"> UNEP/POPS/COP.7/INF/21.</w:t>
      </w:r>
    </w:p>
  </w:footnote>
  <w:footnote w:id="5">
    <w:p w:rsidR="0041359A" w:rsidRPr="00A16B79" w:rsidRDefault="0041359A" w:rsidP="0041359A">
      <w:pPr>
        <w:pStyle w:val="FootnoteText"/>
        <w:rPr>
          <w:szCs w:val="18"/>
          <w:lang w:val="en-US"/>
        </w:rPr>
      </w:pPr>
      <w:r w:rsidRPr="00665FE6">
        <w:rPr>
          <w:rStyle w:val="FootnoteReference"/>
        </w:rPr>
        <w:footnoteRef/>
      </w:r>
      <w:r w:rsidRPr="008A51CB">
        <w:rPr>
          <w:rStyle w:val="FootnoteReference"/>
          <w:lang w:val="en-GB"/>
        </w:rPr>
        <w:t xml:space="preserve"> </w:t>
      </w:r>
      <w:r w:rsidRPr="00A16B79">
        <w:rPr>
          <w:szCs w:val="18"/>
          <w:lang w:val="en-GB"/>
        </w:rPr>
        <w:t>See UNEP/POPS/COP.7/INF/22.</w:t>
      </w:r>
    </w:p>
  </w:footnote>
  <w:footnote w:id="6">
    <w:p w:rsidR="0041359A" w:rsidRPr="00A16B79" w:rsidRDefault="0041359A" w:rsidP="0041359A">
      <w:pPr>
        <w:pStyle w:val="FootnoteText"/>
        <w:rPr>
          <w:lang w:val="en-US"/>
        </w:rPr>
      </w:pPr>
      <w:r w:rsidRPr="00665FE6">
        <w:rPr>
          <w:rStyle w:val="FootnoteReference"/>
        </w:rPr>
        <w:footnoteRef/>
      </w:r>
      <w:r w:rsidRPr="00A16B79">
        <w:rPr>
          <w:lang w:val="en-GB"/>
        </w:rPr>
        <w:t xml:space="preserve"> UNEP/POPS/COP.7/8, annex 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6BAE"/>
    <w:multiLevelType w:val="hybridMultilevel"/>
    <w:tmpl w:val="850C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548A0"/>
    <w:multiLevelType w:val="hybridMultilevel"/>
    <w:tmpl w:val="343066DC"/>
    <w:lvl w:ilvl="0" w:tplc="C2D4D6BA">
      <w:start w:val="1"/>
      <w:numFmt w:val="decimal"/>
      <w:lvlText w:val="%1."/>
      <w:lvlJc w:val="left"/>
      <w:pPr>
        <w:ind w:left="2387" w:hanging="570"/>
      </w:pPr>
      <w:rPr>
        <w:rFonts w:hint="default"/>
      </w:rPr>
    </w:lvl>
    <w:lvl w:ilvl="1" w:tplc="04090019">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2">
    <w:nsid w:val="77960CCD"/>
    <w:multiLevelType w:val="hybridMultilevel"/>
    <w:tmpl w:val="6B3EBAA4"/>
    <w:lvl w:ilvl="0" w:tplc="0F9295B4">
      <w:start w:val="1"/>
      <w:numFmt w:val="lowerLetter"/>
      <w:lvlText w:val="(%1)"/>
      <w:lvlJc w:val="left"/>
      <w:pPr>
        <w:ind w:left="1967" w:hanging="360"/>
      </w:pPr>
      <w:rPr>
        <w:rFonts w:hint="default"/>
      </w:rPr>
    </w:lvl>
    <w:lvl w:ilvl="1" w:tplc="0F9295B4">
      <w:start w:val="1"/>
      <w:numFmt w:val="lowerLetter"/>
      <w:lvlText w:val="(%2)"/>
      <w:lvlJc w:val="left"/>
      <w:pPr>
        <w:ind w:left="2687" w:hanging="360"/>
      </w:pPr>
      <w:rPr>
        <w:rFonts w:hint="default"/>
      </w:rPr>
    </w:lvl>
    <w:lvl w:ilvl="2" w:tplc="AC20DA5E">
      <w:start w:val="7"/>
      <w:numFmt w:val="decimal"/>
      <w:lvlText w:val="%3."/>
      <w:lvlJc w:val="left"/>
      <w:pPr>
        <w:ind w:left="3587" w:hanging="360"/>
      </w:pPr>
      <w:rPr>
        <w:rFonts w:hint="default"/>
      </w:rPr>
    </w:lvl>
    <w:lvl w:ilvl="3" w:tplc="100C000F" w:tentative="1">
      <w:start w:val="1"/>
      <w:numFmt w:val="decimal"/>
      <w:lvlText w:val="%4."/>
      <w:lvlJc w:val="left"/>
      <w:pPr>
        <w:ind w:left="4127" w:hanging="360"/>
      </w:pPr>
    </w:lvl>
    <w:lvl w:ilvl="4" w:tplc="100C0019" w:tentative="1">
      <w:start w:val="1"/>
      <w:numFmt w:val="lowerLetter"/>
      <w:lvlText w:val="%5."/>
      <w:lvlJc w:val="left"/>
      <w:pPr>
        <w:ind w:left="4847" w:hanging="360"/>
      </w:pPr>
    </w:lvl>
    <w:lvl w:ilvl="5" w:tplc="100C001B" w:tentative="1">
      <w:start w:val="1"/>
      <w:numFmt w:val="lowerRoman"/>
      <w:lvlText w:val="%6."/>
      <w:lvlJc w:val="right"/>
      <w:pPr>
        <w:ind w:left="5567" w:hanging="180"/>
      </w:pPr>
    </w:lvl>
    <w:lvl w:ilvl="6" w:tplc="100C000F" w:tentative="1">
      <w:start w:val="1"/>
      <w:numFmt w:val="decimal"/>
      <w:lvlText w:val="%7."/>
      <w:lvlJc w:val="left"/>
      <w:pPr>
        <w:ind w:left="6287" w:hanging="360"/>
      </w:pPr>
    </w:lvl>
    <w:lvl w:ilvl="7" w:tplc="100C0019" w:tentative="1">
      <w:start w:val="1"/>
      <w:numFmt w:val="lowerLetter"/>
      <w:lvlText w:val="%8."/>
      <w:lvlJc w:val="left"/>
      <w:pPr>
        <w:ind w:left="7007" w:hanging="360"/>
      </w:pPr>
    </w:lvl>
    <w:lvl w:ilvl="8" w:tplc="100C001B" w:tentative="1">
      <w:start w:val="1"/>
      <w:numFmt w:val="lowerRoman"/>
      <w:lvlText w:val="%9."/>
      <w:lvlJc w:val="right"/>
      <w:pPr>
        <w:ind w:left="7727" w:hanging="180"/>
      </w:pPr>
    </w:lvl>
  </w:abstractNum>
  <w:abstractNum w:abstractNumId="3">
    <w:nsid w:val="79284D7A"/>
    <w:multiLevelType w:val="multilevel"/>
    <w:tmpl w:val="F34AFAFA"/>
    <w:lvl w:ilvl="0">
      <w:start w:val="1"/>
      <w:numFmt w:val="decimal"/>
      <w:pStyle w:val="Numbering1"/>
      <w:lvlText w:val="%1."/>
      <w:lvlJc w:val="left"/>
      <w:pPr>
        <w:tabs>
          <w:tab w:val="num" w:pos="360"/>
        </w:tabs>
        <w:ind w:left="360" w:hanging="360"/>
      </w:pPr>
      <w:rPr>
        <w:rFonts w:hint="default"/>
        <w:strike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41359A"/>
    <w:rsid w:val="00045F3B"/>
    <w:rsid w:val="0009039B"/>
    <w:rsid w:val="000B18ED"/>
    <w:rsid w:val="002508C0"/>
    <w:rsid w:val="002E3F11"/>
    <w:rsid w:val="003F0B7D"/>
    <w:rsid w:val="0041359A"/>
    <w:rsid w:val="00475D4E"/>
    <w:rsid w:val="004B7AA0"/>
    <w:rsid w:val="0055191B"/>
    <w:rsid w:val="00771173"/>
    <w:rsid w:val="00776610"/>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59A"/>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41359A"/>
    <w:pPr>
      <w:keepNext/>
      <w:keepLines/>
      <w:tabs>
        <w:tab w:val="right" w:pos="851"/>
        <w:tab w:val="left" w:pos="1247"/>
        <w:tab w:val="left" w:pos="1814"/>
        <w:tab w:val="left" w:pos="2381"/>
        <w:tab w:val="left" w:pos="2948"/>
        <w:tab w:val="left" w:pos="3515"/>
        <w:tab w:val="left" w:pos="4082"/>
      </w:tabs>
      <w:suppressAutoHyphens/>
      <w:spacing w:before="240" w:after="120"/>
      <w:ind w:left="1247" w:right="284" w:hanging="1247"/>
    </w:pPr>
    <w:rPr>
      <w:b/>
      <w:sz w:val="28"/>
      <w:szCs w:val="28"/>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41359A"/>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41359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41359A"/>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41359A"/>
    <w:rPr>
      <w:rFonts w:ascii="Times New Roman" w:eastAsia="Times New Roman" w:hAnsi="Times New Roman" w:cs="Times New Roman"/>
      <w:sz w:val="18"/>
      <w:szCs w:val="20"/>
      <w:lang w:val="fr-FR" w:eastAsia="en-US"/>
    </w:rPr>
  </w:style>
  <w:style w:type="paragraph" w:customStyle="1" w:styleId="Numbering1">
    <w:name w:val="Numbering 1"/>
    <w:basedOn w:val="Normal"/>
    <w:rsid w:val="0041359A"/>
    <w:pPr>
      <w:numPr>
        <w:numId w:val="2"/>
      </w:numPr>
      <w:tabs>
        <w:tab w:val="left" w:pos="288"/>
      </w:tabs>
      <w:kinsoku w:val="0"/>
      <w:overflowPunct w:val="0"/>
      <w:spacing w:before="120" w:line="240" w:lineRule="atLeast"/>
      <w:jc w:val="both"/>
    </w:pPr>
    <w:rPr>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2015-12-28T13:20:00Z</dcterms:created>
  <dcterms:modified xsi:type="dcterms:W3CDTF">2015-12-28T13:20:00Z</dcterms:modified>
</cp:coreProperties>
</file>