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A5A" w:rsidRPr="00851B6C" w:rsidRDefault="00237A5A" w:rsidP="00151F9F">
      <w:pPr>
        <w:spacing w:after="120"/>
        <w:ind w:left="1247"/>
        <w:rPr>
          <w:b/>
          <w:sz w:val="28"/>
          <w:szCs w:val="28"/>
        </w:rPr>
      </w:pPr>
      <w:r>
        <w:rPr>
          <w:b/>
          <w:sz w:val="28"/>
          <w:szCs w:val="28"/>
        </w:rPr>
        <w:t xml:space="preserve">SC-7/22: </w:t>
      </w:r>
      <w:r w:rsidRPr="00851B6C">
        <w:rPr>
          <w:b/>
          <w:sz w:val="28"/>
          <w:szCs w:val="28"/>
        </w:rPr>
        <w:t>Implementation of the integrated approach to financing</w:t>
      </w:r>
    </w:p>
    <w:p w:rsidR="00237A5A" w:rsidRPr="00C3558F" w:rsidRDefault="00237A5A" w:rsidP="00151F9F">
      <w:pPr>
        <w:pStyle w:val="NormalNonumber"/>
        <w:tabs>
          <w:tab w:val="clear" w:pos="1247"/>
          <w:tab w:val="clear" w:pos="1814"/>
          <w:tab w:val="clear" w:pos="2381"/>
          <w:tab w:val="clear" w:pos="2948"/>
          <w:tab w:val="clear" w:pos="3515"/>
          <w:tab w:val="left" w:pos="624"/>
        </w:tabs>
        <w:ind w:firstLine="624"/>
        <w:rPr>
          <w:i/>
        </w:rPr>
      </w:pPr>
      <w:r w:rsidRPr="00C3558F">
        <w:rPr>
          <w:i/>
        </w:rPr>
        <w:t>The Conference of the Parties</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sz w:val="20"/>
        </w:rPr>
      </w:pPr>
      <w:r w:rsidRPr="00C3558F">
        <w:rPr>
          <w:i/>
          <w:sz w:val="20"/>
        </w:rPr>
        <w:t>Takes note</w:t>
      </w:r>
      <w:r w:rsidRPr="00C3558F">
        <w:rPr>
          <w:sz w:val="20"/>
        </w:rPr>
        <w:t xml:space="preserve"> of the information presented in the note by the Secretariat;</w:t>
      </w:r>
      <w:r w:rsidRPr="00C3558F">
        <w:rPr>
          <w:rStyle w:val="FootnoteReference"/>
        </w:rPr>
        <w:footnoteReference w:id="1"/>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sz w:val="20"/>
        </w:rPr>
      </w:pPr>
      <w:r w:rsidRPr="00C3558F">
        <w:rPr>
          <w:i/>
          <w:sz w:val="20"/>
        </w:rPr>
        <w:t>Joins</w:t>
      </w:r>
      <w:r w:rsidRPr="00C3558F">
        <w:rPr>
          <w:sz w:val="20"/>
        </w:rPr>
        <w:t xml:space="preserve"> the United Nations Environment Assembly of the United Nations Environment Programme in welcoming an integrated approach to addressing the financing of the sound management of chemicals and wastes, underscoring that the three components of an integrated approach, mainstreaming, industry involvement and dedicated external finance, are mutually reinforcing and are all important for the financing of the sound management of chemicals and waste at all levels and emphasizing the importance of implementing the three components, as agreed in decision 27/12 of the United Nations Environment Programme Governing Council</w:t>
      </w:r>
      <w:r>
        <w:rPr>
          <w:sz w:val="20"/>
        </w:rPr>
        <w:t>,</w:t>
      </w:r>
      <w:r w:rsidRPr="00C3558F">
        <w:rPr>
          <w:sz w:val="20"/>
        </w:rPr>
        <w:t xml:space="preserve"> requests the Secretariat to assist parties in that respect, subject to the availability of resources, and recognizes the importance of the joint programme of work to that end;</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sz w:val="20"/>
        </w:rPr>
      </w:pPr>
      <w:r>
        <w:rPr>
          <w:i/>
          <w:sz w:val="20"/>
        </w:rPr>
        <w:t xml:space="preserve">Welcomes </w:t>
      </w:r>
      <w:r w:rsidRPr="00C3558F">
        <w:rPr>
          <w:sz w:val="20"/>
        </w:rPr>
        <w:t>paragraph</w:t>
      </w:r>
      <w:r>
        <w:rPr>
          <w:sz w:val="20"/>
        </w:rPr>
        <w:t>s</w:t>
      </w:r>
      <w:r w:rsidRPr="00C3558F">
        <w:rPr>
          <w:sz w:val="20"/>
        </w:rPr>
        <w:t xml:space="preserve"> 5 </w:t>
      </w:r>
      <w:r>
        <w:rPr>
          <w:sz w:val="20"/>
        </w:rPr>
        <w:t xml:space="preserve">and 8 </w:t>
      </w:r>
      <w:r w:rsidRPr="00C3558F">
        <w:rPr>
          <w:sz w:val="20"/>
        </w:rPr>
        <w:t xml:space="preserve">of decision SC-7/21 on the Stockholm Convention guidance to the Global Environment Facility, which encourages the Facility to continue to enhance synergies of its activities taking into account co-benefits for the </w:t>
      </w:r>
      <w:r>
        <w:rPr>
          <w:sz w:val="20"/>
        </w:rPr>
        <w:t xml:space="preserve">Basel Convention on the Control of the </w:t>
      </w:r>
      <w:proofErr w:type="spellStart"/>
      <w:r>
        <w:rPr>
          <w:sz w:val="20"/>
        </w:rPr>
        <w:t>Transboundary</w:t>
      </w:r>
      <w:proofErr w:type="spellEnd"/>
      <w:r>
        <w:rPr>
          <w:sz w:val="20"/>
        </w:rPr>
        <w:t xml:space="preserve"> Movements of Hazardous Wastes and Their Disposal</w:t>
      </w:r>
      <w:r w:rsidRPr="00C3558F">
        <w:rPr>
          <w:sz w:val="20"/>
        </w:rPr>
        <w:t xml:space="preserve">, the </w:t>
      </w:r>
      <w:r>
        <w:rPr>
          <w:sz w:val="20"/>
        </w:rPr>
        <w:t>Rotterdam Convention on the Prior Informed Consent Procedure for Certain Hazardous Chemicals and Pesticides in International Trade</w:t>
      </w:r>
      <w:r w:rsidRPr="00C3558F">
        <w:rPr>
          <w:sz w:val="20"/>
        </w:rPr>
        <w:t xml:space="preserve"> and the Strategic Approach to International Chemicals Management;</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sz w:val="20"/>
        </w:rPr>
      </w:pPr>
      <w:r w:rsidRPr="00C3558F">
        <w:rPr>
          <w:i/>
          <w:sz w:val="20"/>
        </w:rPr>
        <w:t xml:space="preserve">Welcomes </w:t>
      </w:r>
      <w:r w:rsidRPr="00C3558F">
        <w:rPr>
          <w:sz w:val="20"/>
        </w:rPr>
        <w:t xml:space="preserve">United Nations Environment Assembly resolution 1/5, including the agreement to establish the special programme to support institutional strengthening at the national level for the implementation of the </w:t>
      </w:r>
      <w:r>
        <w:rPr>
          <w:sz w:val="20"/>
        </w:rPr>
        <w:t xml:space="preserve">Basel Convention on the </w:t>
      </w:r>
      <w:proofErr w:type="spellStart"/>
      <w:r>
        <w:rPr>
          <w:sz w:val="20"/>
        </w:rPr>
        <w:t>Transboundary</w:t>
      </w:r>
      <w:proofErr w:type="spellEnd"/>
      <w:r>
        <w:rPr>
          <w:sz w:val="20"/>
        </w:rPr>
        <w:t xml:space="preserve"> Movements of Hazardous Wastes and their Disposal, the Rotterdam Convention on the Prior Informed Consent Procedure for Certain Hazardous Chemicals and Pesticides in International Trade, the </w:t>
      </w:r>
      <w:r w:rsidRPr="00C3558F">
        <w:rPr>
          <w:sz w:val="20"/>
        </w:rPr>
        <w:t xml:space="preserve">Stockholm </w:t>
      </w:r>
      <w:r>
        <w:rPr>
          <w:sz w:val="20"/>
        </w:rPr>
        <w:t>C</w:t>
      </w:r>
      <w:r w:rsidRPr="00C3558F">
        <w:rPr>
          <w:sz w:val="20"/>
        </w:rPr>
        <w:t>onvention</w:t>
      </w:r>
      <w:r>
        <w:rPr>
          <w:sz w:val="20"/>
        </w:rPr>
        <w:t xml:space="preserve"> on Persistent Organic Pollutants</w:t>
      </w:r>
      <w:r w:rsidRPr="00C3558F">
        <w:rPr>
          <w:sz w:val="20"/>
        </w:rPr>
        <w:t xml:space="preserve">, the </w:t>
      </w:r>
      <w:proofErr w:type="spellStart"/>
      <w:r w:rsidRPr="00C3558F">
        <w:rPr>
          <w:sz w:val="20"/>
        </w:rPr>
        <w:t>Minamata</w:t>
      </w:r>
      <w:proofErr w:type="spellEnd"/>
      <w:r w:rsidRPr="00C3558F">
        <w:rPr>
          <w:sz w:val="20"/>
        </w:rPr>
        <w:t xml:space="preserve"> Convention on Mercury and the Strategic Approach to International Chemicals Management, and looks forward to the early start of the special programme’s operations;</w:t>
      </w:r>
      <w:r w:rsidRPr="008D63BE">
        <w:rPr>
          <w:highlight w:val="yellow"/>
        </w:rPr>
        <w:t xml:space="preserve"> </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i/>
          <w:sz w:val="20"/>
        </w:rPr>
      </w:pPr>
      <w:r w:rsidRPr="00C3558F">
        <w:rPr>
          <w:i/>
          <w:sz w:val="20"/>
        </w:rPr>
        <w:t xml:space="preserve">Welcomes </w:t>
      </w:r>
      <w:r w:rsidRPr="00C3558F">
        <w:rPr>
          <w:sz w:val="20"/>
        </w:rPr>
        <w:t>that according to the terms of reference of the special programme the Executive Secretary may participate as an observer in the meetings of the executive board of the special programme, requests him to attend such meetings and requests the Secretariat to cooperate, as appropriate, with the secretariat of the special programme;</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i/>
          <w:sz w:val="20"/>
        </w:rPr>
      </w:pPr>
      <w:r w:rsidRPr="00C3558F">
        <w:rPr>
          <w:i/>
          <w:sz w:val="20"/>
        </w:rPr>
        <w:t xml:space="preserve"> Joins </w:t>
      </w:r>
      <w:r w:rsidRPr="00C3558F">
        <w:rPr>
          <w:sz w:val="20"/>
        </w:rPr>
        <w:t>the United Nations Environment Assembly in encouraging Governments in a position to do so, as well as the private sector, including industry, foundations, other non</w:t>
      </w:r>
      <w:r w:rsidRPr="00C3558F">
        <w:rPr>
          <w:sz w:val="20"/>
        </w:rPr>
        <w:noBreakHyphen/>
      </w:r>
      <w:proofErr w:type="spellStart"/>
      <w:r w:rsidRPr="00C3558F">
        <w:rPr>
          <w:sz w:val="20"/>
        </w:rPr>
        <w:t>governmental</w:t>
      </w:r>
      <w:proofErr w:type="spellEnd"/>
      <w:r w:rsidRPr="00C3558F">
        <w:rPr>
          <w:sz w:val="20"/>
        </w:rPr>
        <w:t xml:space="preserve"> organizations and other stakeholders, to mobilize financial resources for the fast and effective establishment and start of the implementation of the special programme;</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sz w:val="20"/>
        </w:rPr>
      </w:pPr>
      <w:r w:rsidRPr="00C3558F">
        <w:rPr>
          <w:i/>
          <w:sz w:val="20"/>
        </w:rPr>
        <w:t>Requests</w:t>
      </w:r>
      <w:r w:rsidRPr="00C3558F">
        <w:rPr>
          <w:sz w:val="20"/>
        </w:rPr>
        <w:t xml:space="preserve"> the Executive Secretary to continue to ensure that the activities of the Secretariat and its support to parties under the Basel, Rotterdam and Stockholm conventions take as reference the integrated approach and the programmes of work of the three conventions;</w:t>
      </w:r>
    </w:p>
    <w:p w:rsidR="00237A5A" w:rsidRPr="00C3558F" w:rsidRDefault="00237A5A" w:rsidP="00151F9F">
      <w:pPr>
        <w:numPr>
          <w:ilvl w:val="0"/>
          <w:numId w:val="1"/>
        </w:numPr>
        <w:tabs>
          <w:tab w:val="clear" w:pos="3215"/>
          <w:tab w:val="left" w:pos="624"/>
        </w:tabs>
        <w:autoSpaceDE w:val="0"/>
        <w:autoSpaceDN w:val="0"/>
        <w:adjustRightInd w:val="0"/>
        <w:spacing w:after="120"/>
        <w:ind w:left="1247" w:firstLine="624"/>
        <w:rPr>
          <w:sz w:val="20"/>
        </w:rPr>
      </w:pPr>
      <w:r w:rsidRPr="00C3558F">
        <w:rPr>
          <w:i/>
          <w:sz w:val="20"/>
        </w:rPr>
        <w:t>Also requests</w:t>
      </w:r>
      <w:r w:rsidRPr="00C3558F">
        <w:rPr>
          <w:sz w:val="20"/>
        </w:rPr>
        <w:t xml:space="preserve"> the Secretariat to report back to the Conference of the Parties at its next meeting on the implementation of the elements of the present decision.</w:t>
      </w:r>
    </w:p>
    <w:p w:rsidR="000B18ED" w:rsidRPr="00237A5A" w:rsidRDefault="000B18ED" w:rsidP="00151F9F">
      <w:pPr>
        <w:spacing w:after="120"/>
        <w:ind w:left="1247"/>
      </w:pPr>
    </w:p>
    <w:sectPr w:rsidR="000B18ED" w:rsidRPr="00237A5A"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BFA" w:rsidRDefault="00A41BFA" w:rsidP="00237A5A">
      <w:r>
        <w:separator/>
      </w:r>
    </w:p>
  </w:endnote>
  <w:endnote w:type="continuationSeparator" w:id="0">
    <w:p w:rsidR="00A41BFA" w:rsidRDefault="00A41BFA" w:rsidP="00237A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BFA" w:rsidRDefault="00A41BFA" w:rsidP="00237A5A">
      <w:r>
        <w:separator/>
      </w:r>
    </w:p>
  </w:footnote>
  <w:footnote w:type="continuationSeparator" w:id="0">
    <w:p w:rsidR="00A41BFA" w:rsidRDefault="00A41BFA" w:rsidP="00237A5A">
      <w:r>
        <w:continuationSeparator/>
      </w:r>
    </w:p>
  </w:footnote>
  <w:footnote w:id="1">
    <w:p w:rsidR="00237A5A" w:rsidRPr="00A40600" w:rsidRDefault="00237A5A" w:rsidP="00237A5A">
      <w:pPr>
        <w:pStyle w:val="FootnoteText"/>
        <w:rPr>
          <w:rStyle w:val="FootnoteReference"/>
          <w:lang w:val="en-GB"/>
        </w:rPr>
      </w:pPr>
      <w:r w:rsidRPr="00D06358">
        <w:rPr>
          <w:rStyle w:val="FootnoteReference"/>
        </w:rPr>
        <w:footnoteRef/>
      </w:r>
      <w:r w:rsidRPr="00A40600">
        <w:rPr>
          <w:rStyle w:val="FootnoteReference"/>
          <w:lang w:val="en-GB"/>
        </w:rPr>
        <w:t xml:space="preserve"> </w:t>
      </w:r>
      <w:r w:rsidRPr="00A40600">
        <w:rPr>
          <w:rStyle w:val="FootnoteReference"/>
          <w:szCs w:val="18"/>
          <w:lang w:val="en-GB"/>
        </w:rPr>
        <w:t>UNEP/CHW.12/20</w:t>
      </w:r>
      <w:r w:rsidRPr="00A40600">
        <w:rPr>
          <w:szCs w:val="18"/>
          <w:lang w:val="en-GB"/>
        </w:rPr>
        <w:t>/Rev.1</w:t>
      </w:r>
      <w:r w:rsidRPr="00A40600">
        <w:rPr>
          <w:rStyle w:val="FootnoteReference"/>
          <w:szCs w:val="18"/>
          <w:lang w:val="en-GB"/>
        </w:rPr>
        <w:t>-UNEP/FAO/RC/COP.7/14</w:t>
      </w:r>
      <w:r w:rsidRPr="00A40600">
        <w:rPr>
          <w:szCs w:val="18"/>
          <w:lang w:val="en-GB"/>
        </w:rPr>
        <w:t>/Rev.1</w:t>
      </w:r>
      <w:r w:rsidRPr="00A40600">
        <w:rPr>
          <w:rStyle w:val="FootnoteReference"/>
          <w:szCs w:val="18"/>
          <w:lang w:val="en-GB"/>
        </w:rPr>
        <w:t>-UNEP/POPS/COP.7/26</w:t>
      </w:r>
      <w:r w:rsidRPr="00A40600">
        <w:rPr>
          <w:szCs w:val="18"/>
          <w:lang w:val="en-GB"/>
        </w:rPr>
        <w:t>/Rev.1.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A13927"/>
    <w:multiLevelType w:val="hybridMultilevel"/>
    <w:tmpl w:val="E3945444"/>
    <w:lvl w:ilvl="0" w:tplc="044ACE46">
      <w:start w:val="1"/>
      <w:numFmt w:val="decimal"/>
      <w:lvlText w:val="%1."/>
      <w:lvlJc w:val="left"/>
      <w:pPr>
        <w:tabs>
          <w:tab w:val="num" w:pos="3215"/>
        </w:tabs>
        <w:ind w:left="3215" w:hanging="360"/>
      </w:pPr>
      <w:rPr>
        <w:i w:val="0"/>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237A5A"/>
    <w:rsid w:val="00045F3B"/>
    <w:rsid w:val="0009039B"/>
    <w:rsid w:val="000B18ED"/>
    <w:rsid w:val="00151F9F"/>
    <w:rsid w:val="00237A5A"/>
    <w:rsid w:val="002508C0"/>
    <w:rsid w:val="002E3F11"/>
    <w:rsid w:val="003F0B7D"/>
    <w:rsid w:val="00475D4E"/>
    <w:rsid w:val="004B7AA0"/>
    <w:rsid w:val="0055191B"/>
    <w:rsid w:val="00771173"/>
    <w:rsid w:val="00A41BFA"/>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A5A"/>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237A5A"/>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237A5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237A5A"/>
    <w:rPr>
      <w:rFonts w:ascii="Times New Roman" w:eastAsia="Times New Roman" w:hAnsi="Times New Roman" w:cs="Times New Roman"/>
      <w:sz w:val="20"/>
      <w:szCs w:val="20"/>
      <w:lang w:eastAsia="en-US"/>
    </w:rPr>
  </w:style>
  <w:style w:type="paragraph" w:customStyle="1" w:styleId="NormalNonumber">
    <w:name w:val="Normal_No_number"/>
    <w:basedOn w:val="Normal"/>
    <w:link w:val="NormalNonumberChar"/>
    <w:rsid w:val="00237A5A"/>
    <w:pPr>
      <w:tabs>
        <w:tab w:val="left" w:pos="1247"/>
        <w:tab w:val="left" w:pos="1814"/>
        <w:tab w:val="left" w:pos="2381"/>
        <w:tab w:val="left" w:pos="2948"/>
        <w:tab w:val="left" w:pos="3515"/>
        <w:tab w:val="left" w:pos="4082"/>
      </w:tabs>
      <w:spacing w:after="120"/>
      <w:ind w:left="1247"/>
    </w:pPr>
    <w:rPr>
      <w:sz w:val="20"/>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locked/>
    <w:rsid w:val="00237A5A"/>
    <w:rPr>
      <w:rFonts w:ascii="Times New Roman" w:eastAsia="Times New Roman" w:hAnsi="Times New Roman" w:cs="Times New Roman"/>
      <w:sz w:val="18"/>
      <w:szCs w:val="20"/>
      <w:lang w:val="fr-FR" w:eastAsia="en-US"/>
    </w:rPr>
  </w:style>
  <w:style w:type="character" w:customStyle="1" w:styleId="NormalNonumberChar">
    <w:name w:val="Normal_No_number Char"/>
    <w:link w:val="NormalNonumber"/>
    <w:locked/>
    <w:rsid w:val="00237A5A"/>
    <w:rPr>
      <w:rFonts w:ascii="Times New Roman" w:eastAsia="Times New Roma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2015-12-28T13:29:00Z</dcterms:created>
  <dcterms:modified xsi:type="dcterms:W3CDTF">2015-12-28T13:34:00Z</dcterms:modified>
</cp:coreProperties>
</file>