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DB6" w:rsidRPr="00851B6C" w:rsidRDefault="00681DB6" w:rsidP="00681DB6">
      <w:pPr>
        <w:spacing w:after="200" w:line="276" w:lineRule="auto"/>
        <w:ind w:left="1247"/>
        <w:rPr>
          <w:b/>
          <w:sz w:val="28"/>
          <w:szCs w:val="28"/>
        </w:rPr>
      </w:pPr>
      <w:r w:rsidRPr="00851B6C">
        <w:rPr>
          <w:b/>
          <w:sz w:val="28"/>
          <w:szCs w:val="28"/>
        </w:rPr>
        <w:t>SC-7/3:</w:t>
      </w:r>
      <w:r w:rsidRPr="00851B6C">
        <w:rPr>
          <w:sz w:val="28"/>
          <w:szCs w:val="28"/>
        </w:rPr>
        <w:t xml:space="preserve"> </w:t>
      </w:r>
      <w:r w:rsidRPr="00851B6C">
        <w:rPr>
          <w:b/>
          <w:sz w:val="28"/>
          <w:szCs w:val="28"/>
        </w:rPr>
        <w:t>Polychlorinated biphenyls</w:t>
      </w:r>
    </w:p>
    <w:p w:rsidR="00681DB6" w:rsidRPr="00851B6C" w:rsidRDefault="00681DB6" w:rsidP="00681DB6">
      <w:pPr>
        <w:tabs>
          <w:tab w:val="left" w:pos="624"/>
          <w:tab w:val="left" w:pos="1247"/>
          <w:tab w:val="left" w:pos="1814"/>
          <w:tab w:val="left" w:leader="underscore" w:pos="1871"/>
          <w:tab w:val="left" w:pos="2381"/>
          <w:tab w:val="left" w:pos="2948"/>
          <w:tab w:val="left" w:pos="3515"/>
        </w:tabs>
        <w:spacing w:after="120"/>
        <w:ind w:left="1247" w:firstLine="624"/>
        <w:rPr>
          <w:i/>
          <w:iCs/>
          <w:sz w:val="20"/>
          <w:lang w:val="en-US"/>
        </w:rPr>
      </w:pPr>
      <w:r w:rsidRPr="00851B6C">
        <w:rPr>
          <w:i/>
          <w:iCs/>
          <w:sz w:val="20"/>
          <w:lang w:val="en-US"/>
        </w:rPr>
        <w:t>The Conference of the Parties</w:t>
      </w:r>
    </w:p>
    <w:p w:rsidR="00681DB6" w:rsidRPr="00851B6C" w:rsidRDefault="00681DB6" w:rsidP="00681DB6">
      <w:pPr>
        <w:numPr>
          <w:ilvl w:val="0"/>
          <w:numId w:val="1"/>
        </w:numPr>
        <w:tabs>
          <w:tab w:val="clear" w:pos="3215"/>
          <w:tab w:val="left" w:pos="624"/>
          <w:tab w:val="left" w:pos="1247"/>
        </w:tabs>
        <w:autoSpaceDE w:val="0"/>
        <w:autoSpaceDN w:val="0"/>
        <w:adjustRightInd w:val="0"/>
        <w:spacing w:after="120"/>
        <w:ind w:left="1247" w:firstLine="624"/>
        <w:rPr>
          <w:sz w:val="20"/>
        </w:rPr>
      </w:pPr>
      <w:r w:rsidRPr="00851B6C">
        <w:rPr>
          <w:i/>
          <w:sz w:val="20"/>
        </w:rPr>
        <w:t>Takes note</w:t>
      </w:r>
      <w:r>
        <w:rPr>
          <w:i/>
          <w:sz w:val="20"/>
        </w:rPr>
        <w:t xml:space="preserve"> of</w:t>
      </w:r>
      <w:r w:rsidRPr="00851B6C">
        <w:rPr>
          <w:sz w:val="20"/>
        </w:rPr>
        <w:t>:</w:t>
      </w:r>
    </w:p>
    <w:p w:rsidR="00681DB6" w:rsidRPr="00851B6C" w:rsidRDefault="00681DB6" w:rsidP="00681DB6">
      <w:pPr>
        <w:numPr>
          <w:ilvl w:val="1"/>
          <w:numId w:val="2"/>
        </w:numPr>
        <w:tabs>
          <w:tab w:val="left" w:pos="624"/>
          <w:tab w:val="left" w:pos="1247"/>
        </w:tabs>
        <w:spacing w:after="120"/>
        <w:ind w:left="1247" w:firstLine="624"/>
        <w:rPr>
          <w:sz w:val="20"/>
        </w:rPr>
      </w:pPr>
      <w:r>
        <w:rPr>
          <w:sz w:val="20"/>
        </w:rPr>
        <w:t>T</w:t>
      </w:r>
      <w:r w:rsidRPr="00851B6C">
        <w:rPr>
          <w:sz w:val="20"/>
        </w:rPr>
        <w:t xml:space="preserve">he information relevant to polychlorinated biphenyls </w:t>
      </w:r>
      <w:r>
        <w:rPr>
          <w:sz w:val="20"/>
        </w:rPr>
        <w:t xml:space="preserve">from </w:t>
      </w:r>
      <w:r w:rsidRPr="00851B6C">
        <w:rPr>
          <w:sz w:val="20"/>
        </w:rPr>
        <w:t>the reports provided by parties pursuant to Article 15 in accordance with paragraph (g) of part II of Annex A to the Stockholm Convention on Persistent Organic Pollutants;</w:t>
      </w:r>
      <w:r w:rsidRPr="00851B6C">
        <w:rPr>
          <w:sz w:val="20"/>
          <w:szCs w:val="18"/>
          <w:vertAlign w:val="superscript"/>
        </w:rPr>
        <w:footnoteReference w:id="1"/>
      </w:r>
      <w:r w:rsidRPr="00851B6C">
        <w:rPr>
          <w:sz w:val="20"/>
        </w:rPr>
        <w:t xml:space="preserve"> </w:t>
      </w:r>
    </w:p>
    <w:p w:rsidR="00681DB6" w:rsidRPr="00851B6C" w:rsidRDefault="00681DB6" w:rsidP="00681DB6">
      <w:pPr>
        <w:numPr>
          <w:ilvl w:val="1"/>
          <w:numId w:val="2"/>
        </w:numPr>
        <w:tabs>
          <w:tab w:val="left" w:pos="624"/>
          <w:tab w:val="left" w:pos="1247"/>
        </w:tabs>
        <w:spacing w:after="120"/>
        <w:ind w:left="1247" w:firstLine="624"/>
        <w:rPr>
          <w:sz w:val="20"/>
        </w:rPr>
      </w:pPr>
      <w:r>
        <w:rPr>
          <w:sz w:val="20"/>
        </w:rPr>
        <w:t>T</w:t>
      </w:r>
      <w:r w:rsidRPr="00851B6C">
        <w:rPr>
          <w:sz w:val="20"/>
        </w:rPr>
        <w:t>he preliminary assessment of efforts</w:t>
      </w:r>
      <w:r>
        <w:rPr>
          <w:sz w:val="20"/>
        </w:rPr>
        <w:t xml:space="preserve"> made</w:t>
      </w:r>
      <w:r w:rsidRPr="00851B6C">
        <w:rPr>
          <w:sz w:val="20"/>
        </w:rPr>
        <w:t xml:space="preserve"> toward</w:t>
      </w:r>
      <w:r>
        <w:rPr>
          <w:sz w:val="20"/>
        </w:rPr>
        <w:t>s</w:t>
      </w:r>
      <w:r w:rsidRPr="00851B6C">
        <w:rPr>
          <w:sz w:val="20"/>
        </w:rPr>
        <w:t xml:space="preserve"> the elimination of polychlorinated biphenyls developed by the United Nations Environment Programme in cooperation with the Secretariat and in consultation with the advisory committee of the Polychlorinated Biphenyls Elimination Network;</w:t>
      </w:r>
      <w:r w:rsidRPr="00851B6C">
        <w:rPr>
          <w:sz w:val="20"/>
          <w:vertAlign w:val="superscript"/>
        </w:rPr>
        <w:footnoteReference w:id="2"/>
      </w:r>
      <w:r>
        <w:rPr>
          <w:sz w:val="20"/>
        </w:rPr>
        <w:t xml:space="preserve"> </w:t>
      </w:r>
    </w:p>
    <w:p w:rsidR="00681DB6" w:rsidRPr="00851B6C" w:rsidRDefault="00681DB6" w:rsidP="00681DB6">
      <w:pPr>
        <w:numPr>
          <w:ilvl w:val="1"/>
          <w:numId w:val="2"/>
        </w:numPr>
        <w:tabs>
          <w:tab w:val="left" w:pos="624"/>
          <w:tab w:val="left" w:pos="1247"/>
        </w:tabs>
        <w:spacing w:after="120"/>
        <w:ind w:left="1247" w:firstLine="624"/>
        <w:rPr>
          <w:sz w:val="20"/>
        </w:rPr>
      </w:pPr>
      <w:r>
        <w:rPr>
          <w:sz w:val="20"/>
        </w:rPr>
        <w:t>T</w:t>
      </w:r>
      <w:r w:rsidRPr="00851B6C">
        <w:rPr>
          <w:sz w:val="20"/>
        </w:rPr>
        <w:t>he report by the United Nations Environment Programme on progress in the implementation of the Polychlorinated Biphenyls Elimination Network;</w:t>
      </w:r>
      <w:r w:rsidRPr="00851B6C">
        <w:rPr>
          <w:sz w:val="20"/>
          <w:vertAlign w:val="superscript"/>
        </w:rPr>
        <w:footnoteReference w:id="3"/>
      </w:r>
      <w:r w:rsidRPr="00851B6C">
        <w:rPr>
          <w:sz w:val="20"/>
        </w:rPr>
        <w:t xml:space="preserve"> </w:t>
      </w:r>
    </w:p>
    <w:p w:rsidR="00681DB6" w:rsidRPr="00851B6C" w:rsidRDefault="00681DB6" w:rsidP="00681DB6">
      <w:pPr>
        <w:numPr>
          <w:ilvl w:val="0"/>
          <w:numId w:val="1"/>
        </w:numPr>
        <w:tabs>
          <w:tab w:val="clear" w:pos="3215"/>
          <w:tab w:val="left" w:pos="624"/>
          <w:tab w:val="left" w:pos="1247"/>
        </w:tabs>
        <w:autoSpaceDE w:val="0"/>
        <w:autoSpaceDN w:val="0"/>
        <w:adjustRightInd w:val="0"/>
        <w:spacing w:after="120"/>
        <w:ind w:left="1247" w:firstLine="624"/>
        <w:rPr>
          <w:sz w:val="20"/>
        </w:rPr>
      </w:pPr>
      <w:r w:rsidRPr="00851B6C">
        <w:rPr>
          <w:i/>
          <w:sz w:val="20"/>
        </w:rPr>
        <w:t>Invites</w:t>
      </w:r>
      <w:r w:rsidRPr="00851B6C">
        <w:rPr>
          <w:sz w:val="20"/>
        </w:rPr>
        <w:t xml:space="preserve"> the United Nations Environment Programme to inform the Conference of the Parties of the activities of the Polychlorinated Biphenyls Elimination Network at its eighth meeting;</w:t>
      </w:r>
    </w:p>
    <w:p w:rsidR="00681DB6" w:rsidRPr="00851B6C" w:rsidRDefault="00681DB6" w:rsidP="00681DB6">
      <w:pPr>
        <w:numPr>
          <w:ilvl w:val="0"/>
          <w:numId w:val="1"/>
        </w:numPr>
        <w:tabs>
          <w:tab w:val="clear" w:pos="3215"/>
          <w:tab w:val="left" w:pos="624"/>
          <w:tab w:val="left" w:pos="1247"/>
        </w:tabs>
        <w:autoSpaceDE w:val="0"/>
        <w:autoSpaceDN w:val="0"/>
        <w:adjustRightInd w:val="0"/>
        <w:spacing w:after="120"/>
        <w:ind w:left="1247" w:firstLine="624"/>
        <w:rPr>
          <w:i/>
          <w:sz w:val="20"/>
        </w:rPr>
      </w:pPr>
      <w:r w:rsidRPr="00851B6C">
        <w:rPr>
          <w:i/>
          <w:sz w:val="20"/>
        </w:rPr>
        <w:t>Requests</w:t>
      </w:r>
      <w:r w:rsidRPr="00851B6C">
        <w:rPr>
          <w:iCs/>
          <w:color w:val="000000"/>
          <w:sz w:val="20"/>
        </w:rPr>
        <w:t xml:space="preserve"> parties to step up their efforts to ensure the full and timely submission of their national reports under Article 15 of the Stockholm Convention, including information on progress in eliminating </w:t>
      </w:r>
      <w:r w:rsidRPr="00851B6C">
        <w:rPr>
          <w:sz w:val="20"/>
        </w:rPr>
        <w:t>polychlorinated biphenyls</w:t>
      </w:r>
      <w:r w:rsidRPr="00851B6C">
        <w:rPr>
          <w:iCs/>
          <w:color w:val="000000"/>
          <w:sz w:val="20"/>
        </w:rPr>
        <w:t>;</w:t>
      </w:r>
    </w:p>
    <w:p w:rsidR="00681DB6" w:rsidRPr="00851B6C" w:rsidRDefault="00681DB6" w:rsidP="00681DB6">
      <w:pPr>
        <w:numPr>
          <w:ilvl w:val="0"/>
          <w:numId w:val="1"/>
        </w:numPr>
        <w:tabs>
          <w:tab w:val="clear" w:pos="3215"/>
          <w:tab w:val="left" w:pos="624"/>
          <w:tab w:val="left" w:pos="1247"/>
        </w:tabs>
        <w:autoSpaceDE w:val="0"/>
        <w:autoSpaceDN w:val="0"/>
        <w:adjustRightInd w:val="0"/>
        <w:spacing w:after="120"/>
        <w:ind w:left="1247" w:firstLine="624"/>
        <w:rPr>
          <w:sz w:val="20"/>
        </w:rPr>
      </w:pPr>
      <w:r w:rsidRPr="00851B6C">
        <w:rPr>
          <w:i/>
          <w:sz w:val="20"/>
        </w:rPr>
        <w:t>Encourages</w:t>
      </w:r>
      <w:r w:rsidRPr="00851B6C">
        <w:rPr>
          <w:sz w:val="20"/>
        </w:rPr>
        <w:t xml:space="preserve"> parties to intensify efforts to eliminate polychlorinated biphenyls and meet the goals of the Stockholm Convention to eliminate the use of polychlorinated biphenyls in equipment by 2025 and make determined efforts designed to lead to the environmentally sound </w:t>
      </w:r>
      <w:r w:rsidRPr="001A7442">
        <w:rPr>
          <w:sz w:val="20"/>
        </w:rPr>
        <w:t xml:space="preserve">management of waste </w:t>
      </w:r>
      <w:r w:rsidRPr="00851B6C">
        <w:rPr>
          <w:sz w:val="20"/>
        </w:rPr>
        <w:t>liquids containing polychlorinated biphenyls and equipment contaminated with polychlorinated biphenyls having a polychlorinated biphenyls content above 0.005 per cent, in accordance with paragraph 1 of Article 6 of the Convention, as soon as possible but no later than 2028;</w:t>
      </w:r>
      <w:r>
        <w:rPr>
          <w:sz w:val="20"/>
        </w:rPr>
        <w:t xml:space="preserve">  </w:t>
      </w:r>
    </w:p>
    <w:p w:rsidR="00681DB6" w:rsidRPr="00851B6C" w:rsidRDefault="00681DB6" w:rsidP="00681DB6">
      <w:pPr>
        <w:keepNext/>
        <w:numPr>
          <w:ilvl w:val="0"/>
          <w:numId w:val="1"/>
        </w:numPr>
        <w:tabs>
          <w:tab w:val="clear" w:pos="3215"/>
          <w:tab w:val="left" w:pos="624"/>
          <w:tab w:val="left" w:pos="1247"/>
        </w:tabs>
        <w:autoSpaceDE w:val="0"/>
        <w:autoSpaceDN w:val="0"/>
        <w:adjustRightInd w:val="0"/>
        <w:spacing w:after="120"/>
        <w:ind w:left="1247" w:firstLine="624"/>
        <w:rPr>
          <w:sz w:val="20"/>
        </w:rPr>
      </w:pPr>
      <w:r w:rsidRPr="00851B6C">
        <w:rPr>
          <w:i/>
          <w:iCs/>
          <w:color w:val="000000"/>
          <w:sz w:val="20"/>
        </w:rPr>
        <w:t xml:space="preserve">Requests </w:t>
      </w:r>
      <w:r w:rsidRPr="00851B6C">
        <w:rPr>
          <w:iCs/>
          <w:color w:val="000000"/>
          <w:sz w:val="20"/>
        </w:rPr>
        <w:t xml:space="preserve">the Secretariat, </w:t>
      </w:r>
      <w:r w:rsidRPr="00851B6C">
        <w:rPr>
          <w:sz w:val="20"/>
        </w:rPr>
        <w:t>subject</w:t>
      </w:r>
      <w:r w:rsidRPr="00851B6C">
        <w:rPr>
          <w:iCs/>
          <w:color w:val="000000"/>
          <w:sz w:val="20"/>
        </w:rPr>
        <w:t xml:space="preserve"> to the availability of resources:</w:t>
      </w:r>
    </w:p>
    <w:p w:rsidR="00681DB6" w:rsidRPr="00851B6C" w:rsidRDefault="00681DB6" w:rsidP="00681DB6">
      <w:pPr>
        <w:keepNext/>
        <w:keepLines/>
        <w:numPr>
          <w:ilvl w:val="0"/>
          <w:numId w:val="3"/>
        </w:numPr>
        <w:tabs>
          <w:tab w:val="left" w:pos="624"/>
          <w:tab w:val="left" w:pos="1247"/>
        </w:tabs>
        <w:spacing w:after="120"/>
        <w:ind w:left="1247" w:firstLine="624"/>
        <w:rPr>
          <w:sz w:val="20"/>
        </w:rPr>
      </w:pPr>
      <w:r w:rsidRPr="00851B6C">
        <w:rPr>
          <w:sz w:val="20"/>
        </w:rPr>
        <w:t xml:space="preserve">To </w:t>
      </w:r>
      <w:r w:rsidRPr="00851B6C">
        <w:rPr>
          <w:sz w:val="20"/>
          <w:lang w:val="en-US"/>
        </w:rPr>
        <w:t xml:space="preserve">consolidate the compilation of information referred to in paragraph 1 (a) </w:t>
      </w:r>
      <w:r>
        <w:rPr>
          <w:sz w:val="20"/>
          <w:lang w:val="en-US"/>
        </w:rPr>
        <w:t xml:space="preserve">above </w:t>
      </w:r>
      <w:r w:rsidRPr="00851B6C">
        <w:rPr>
          <w:sz w:val="20"/>
          <w:lang w:val="en-US"/>
        </w:rPr>
        <w:t>and the preliminary assessment referred to in paragraph 1 (b) above</w:t>
      </w:r>
      <w:r w:rsidRPr="00851B6C">
        <w:rPr>
          <w:sz w:val="20"/>
        </w:rPr>
        <w:t>, taking into consideration any additional third national reports submitted in response to the request in paragraph 3</w:t>
      </w:r>
      <w:r>
        <w:rPr>
          <w:sz w:val="20"/>
        </w:rPr>
        <w:t xml:space="preserve"> above</w:t>
      </w:r>
      <w:r w:rsidRPr="00851B6C">
        <w:rPr>
          <w:sz w:val="20"/>
        </w:rPr>
        <w:t>, and any other relevant information, in accordance with the framework for the effectiveness evaluation of the Stockholm Convention;</w:t>
      </w:r>
      <w:r w:rsidRPr="00851B6C">
        <w:rPr>
          <w:sz w:val="20"/>
          <w:vertAlign w:val="superscript"/>
        </w:rPr>
        <w:footnoteReference w:id="4"/>
      </w:r>
      <w:r>
        <w:rPr>
          <w:sz w:val="20"/>
        </w:rPr>
        <w:t xml:space="preserve">  </w:t>
      </w:r>
    </w:p>
    <w:p w:rsidR="00681DB6" w:rsidRPr="00851B6C" w:rsidRDefault="00681DB6" w:rsidP="00681DB6">
      <w:pPr>
        <w:keepNext/>
        <w:keepLines/>
        <w:numPr>
          <w:ilvl w:val="0"/>
          <w:numId w:val="3"/>
        </w:numPr>
        <w:tabs>
          <w:tab w:val="left" w:pos="624"/>
          <w:tab w:val="left" w:pos="1247"/>
        </w:tabs>
        <w:spacing w:after="120"/>
        <w:ind w:left="1247" w:firstLine="624"/>
        <w:rPr>
          <w:sz w:val="20"/>
        </w:rPr>
      </w:pPr>
      <w:r w:rsidRPr="00851B6C">
        <w:rPr>
          <w:sz w:val="20"/>
        </w:rPr>
        <w:t xml:space="preserve">To make </w:t>
      </w:r>
      <w:r w:rsidRPr="00851B6C">
        <w:rPr>
          <w:sz w:val="20"/>
          <w:lang w:val="en-US"/>
        </w:rPr>
        <w:t>the</w:t>
      </w:r>
      <w:r w:rsidRPr="00851B6C">
        <w:rPr>
          <w:sz w:val="20"/>
        </w:rPr>
        <w:t xml:space="preserve"> assessment report available, by 31 January 2016, to the effectiveness evaluation committee to support it in its work, and to submit the report to the Conference of the Parties for consideration at its eighth meeting;</w:t>
      </w:r>
    </w:p>
    <w:p w:rsidR="00681DB6" w:rsidRPr="00851B6C" w:rsidRDefault="00681DB6" w:rsidP="00681DB6">
      <w:pPr>
        <w:keepNext/>
        <w:keepLines/>
        <w:numPr>
          <w:ilvl w:val="0"/>
          <w:numId w:val="3"/>
        </w:numPr>
        <w:tabs>
          <w:tab w:val="left" w:pos="624"/>
          <w:tab w:val="left" w:pos="1247"/>
        </w:tabs>
        <w:spacing w:after="120"/>
        <w:ind w:left="1247" w:firstLine="624"/>
        <w:rPr>
          <w:sz w:val="20"/>
        </w:rPr>
      </w:pPr>
      <w:r w:rsidRPr="00851B6C">
        <w:rPr>
          <w:sz w:val="20"/>
        </w:rPr>
        <w:t xml:space="preserve">To continue to participate in the activities of the Polychlorinated Biphenyls Elimination Network; </w:t>
      </w:r>
    </w:p>
    <w:p w:rsidR="00681DB6" w:rsidRPr="00851B6C" w:rsidRDefault="00681DB6" w:rsidP="00681DB6">
      <w:pPr>
        <w:numPr>
          <w:ilvl w:val="0"/>
          <w:numId w:val="1"/>
        </w:numPr>
        <w:tabs>
          <w:tab w:val="clear" w:pos="3215"/>
          <w:tab w:val="left" w:pos="624"/>
          <w:tab w:val="left" w:pos="1247"/>
        </w:tabs>
        <w:autoSpaceDE w:val="0"/>
        <w:autoSpaceDN w:val="0"/>
        <w:adjustRightInd w:val="0"/>
        <w:spacing w:after="120"/>
        <w:ind w:left="1247" w:firstLine="624"/>
        <w:rPr>
          <w:sz w:val="20"/>
        </w:rPr>
      </w:pPr>
      <w:r w:rsidRPr="00851B6C">
        <w:rPr>
          <w:i/>
          <w:sz w:val="20"/>
        </w:rPr>
        <w:t>Invites</w:t>
      </w:r>
      <w:r w:rsidRPr="00851B6C">
        <w:rPr>
          <w:sz w:val="20"/>
        </w:rPr>
        <w:t xml:space="preserve"> Governments, intergovernmental and non-governmental organizations, research institutions, industry bodies and other stakeholders to </w:t>
      </w:r>
      <w:r w:rsidRPr="00851B6C">
        <w:rPr>
          <w:iCs/>
          <w:color w:val="000000"/>
          <w:sz w:val="20"/>
        </w:rPr>
        <w:t>provide</w:t>
      </w:r>
      <w:r w:rsidRPr="00851B6C">
        <w:rPr>
          <w:sz w:val="20"/>
        </w:rPr>
        <w:t xml:space="preserve"> technical and financial resources to support the work of the Polychlorinated </w:t>
      </w:r>
      <w:r w:rsidRPr="00851B6C">
        <w:rPr>
          <w:iCs/>
          <w:color w:val="000000"/>
          <w:sz w:val="20"/>
        </w:rPr>
        <w:t>Biphenyls</w:t>
      </w:r>
      <w:r w:rsidRPr="00851B6C">
        <w:rPr>
          <w:sz w:val="20"/>
        </w:rPr>
        <w:t xml:space="preserve"> Elimination Network. </w:t>
      </w:r>
    </w:p>
    <w:p w:rsidR="000B18ED" w:rsidRDefault="000B18ED" w:rsidP="00681DB6"/>
    <w:sectPr w:rsidR="000B18ED" w:rsidSect="000B18ED">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3394" w:rsidRDefault="00CF3394" w:rsidP="00681DB6">
      <w:r>
        <w:separator/>
      </w:r>
    </w:p>
  </w:endnote>
  <w:endnote w:type="continuationSeparator" w:id="0">
    <w:p w:rsidR="00CF3394" w:rsidRDefault="00CF3394" w:rsidP="00681DB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3394" w:rsidRDefault="00CF3394" w:rsidP="00681DB6">
      <w:r>
        <w:separator/>
      </w:r>
    </w:p>
  </w:footnote>
  <w:footnote w:type="continuationSeparator" w:id="0">
    <w:p w:rsidR="00CF3394" w:rsidRDefault="00CF3394" w:rsidP="00681DB6">
      <w:r>
        <w:continuationSeparator/>
      </w:r>
    </w:p>
  </w:footnote>
  <w:footnote w:id="1">
    <w:p w:rsidR="00681DB6" w:rsidRPr="00A16B79" w:rsidRDefault="00681DB6" w:rsidP="00681DB6">
      <w:pPr>
        <w:pStyle w:val="FootnoteText"/>
        <w:rPr>
          <w:szCs w:val="18"/>
          <w:lang w:val="en-US"/>
        </w:rPr>
      </w:pPr>
      <w:r w:rsidRPr="00665FE6">
        <w:rPr>
          <w:rStyle w:val="FootnoteReference"/>
        </w:rPr>
        <w:footnoteRef/>
      </w:r>
      <w:r w:rsidRPr="00A16B79">
        <w:rPr>
          <w:szCs w:val="18"/>
          <w:lang w:val="en-GB"/>
        </w:rPr>
        <w:t xml:space="preserve"> </w:t>
      </w:r>
      <w:proofErr w:type="gramStart"/>
      <w:r w:rsidRPr="00A16B79">
        <w:rPr>
          <w:szCs w:val="18"/>
          <w:lang w:val="en-GB"/>
        </w:rPr>
        <w:t>See UNEP/POPS/COP.7/INF/36 and UNEP/POPS/COP.7/27.</w:t>
      </w:r>
      <w:proofErr w:type="gramEnd"/>
    </w:p>
  </w:footnote>
  <w:footnote w:id="2">
    <w:p w:rsidR="00681DB6" w:rsidRPr="00A16B79" w:rsidRDefault="00681DB6" w:rsidP="00681DB6">
      <w:pPr>
        <w:pStyle w:val="FootnoteText"/>
        <w:rPr>
          <w:szCs w:val="18"/>
          <w:lang w:val="en-GB"/>
        </w:rPr>
      </w:pPr>
      <w:r w:rsidRPr="00665FE6">
        <w:rPr>
          <w:rStyle w:val="FootnoteReference"/>
        </w:rPr>
        <w:footnoteRef/>
      </w:r>
      <w:r w:rsidRPr="00A16B79">
        <w:rPr>
          <w:szCs w:val="18"/>
          <w:lang w:val="en-GB"/>
        </w:rPr>
        <w:t xml:space="preserve"> </w:t>
      </w:r>
      <w:r w:rsidRPr="00A16B79">
        <w:rPr>
          <w:iCs/>
          <w:color w:val="000000"/>
          <w:szCs w:val="18"/>
          <w:lang w:val="en-GB"/>
        </w:rPr>
        <w:t>UNEP/POPS/COP.7/INF/9.</w:t>
      </w:r>
    </w:p>
  </w:footnote>
  <w:footnote w:id="3">
    <w:p w:rsidR="00681DB6" w:rsidRPr="00A16B79" w:rsidRDefault="00681DB6" w:rsidP="00681DB6">
      <w:pPr>
        <w:pStyle w:val="FootnoteText"/>
        <w:rPr>
          <w:szCs w:val="18"/>
          <w:lang w:val="en-GB"/>
        </w:rPr>
      </w:pPr>
      <w:r w:rsidRPr="00665FE6">
        <w:rPr>
          <w:rStyle w:val="FootnoteReference"/>
        </w:rPr>
        <w:footnoteRef/>
      </w:r>
      <w:r w:rsidRPr="008A51CB">
        <w:rPr>
          <w:rStyle w:val="FootnoteReference"/>
          <w:lang w:val="en-GB"/>
        </w:rPr>
        <w:t xml:space="preserve"> </w:t>
      </w:r>
      <w:r w:rsidRPr="00A16B79">
        <w:rPr>
          <w:szCs w:val="18"/>
          <w:lang w:val="en-GB"/>
        </w:rPr>
        <w:t>UNEP/POPS/COP.7/INF/10.</w:t>
      </w:r>
    </w:p>
  </w:footnote>
  <w:footnote w:id="4">
    <w:p w:rsidR="00681DB6" w:rsidRPr="00A16B79" w:rsidRDefault="00681DB6" w:rsidP="00681DB6">
      <w:pPr>
        <w:pStyle w:val="FootnoteText"/>
        <w:rPr>
          <w:lang w:val="en-US"/>
        </w:rPr>
      </w:pPr>
      <w:r w:rsidRPr="00665FE6">
        <w:rPr>
          <w:rStyle w:val="FootnoteReference"/>
        </w:rPr>
        <w:footnoteRef/>
      </w:r>
      <w:r w:rsidRPr="00A16B79">
        <w:rPr>
          <w:szCs w:val="18"/>
          <w:lang w:val="en-GB"/>
        </w:rPr>
        <w:t xml:space="preserve"> </w:t>
      </w:r>
      <w:proofErr w:type="gramStart"/>
      <w:r w:rsidRPr="00A16B79">
        <w:rPr>
          <w:szCs w:val="18"/>
          <w:lang w:val="en-GB"/>
        </w:rPr>
        <w:t>UNEP/POPS/COP.6/27/Add.1/Rev.1, annex.</w:t>
      </w:r>
      <w:proofErr w:type="gramEnd"/>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B93C6C"/>
    <w:multiLevelType w:val="hybridMultilevel"/>
    <w:tmpl w:val="7F148040"/>
    <w:lvl w:ilvl="0" w:tplc="E7EE263E">
      <w:start w:val="1"/>
      <w:numFmt w:val="lowerLetter"/>
      <w:lvlText w:val="(%1)"/>
      <w:lvlJc w:val="left"/>
      <w:pPr>
        <w:ind w:left="2232" w:hanging="360"/>
      </w:pPr>
      <w:rPr>
        <w:rFonts w:hint="default"/>
      </w:rPr>
    </w:lvl>
    <w:lvl w:ilvl="1" w:tplc="0F9295B4">
      <w:start w:val="1"/>
      <w:numFmt w:val="lowerLetter"/>
      <w:lvlText w:val="(%2)"/>
      <w:lvlJc w:val="left"/>
      <w:pPr>
        <w:ind w:left="2952" w:hanging="360"/>
      </w:pPr>
      <w:rPr>
        <w:rFonts w:hint="default"/>
      </w:rPr>
    </w:lvl>
    <w:lvl w:ilvl="2" w:tplc="0F9295B4">
      <w:start w:val="1"/>
      <w:numFmt w:val="lowerLetter"/>
      <w:lvlText w:val="(%3)"/>
      <w:lvlJc w:val="left"/>
      <w:pPr>
        <w:ind w:left="3672" w:hanging="180"/>
      </w:pPr>
      <w:rPr>
        <w:rFonts w:hint="default"/>
      </w:r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1">
    <w:nsid w:val="6F7C4406"/>
    <w:multiLevelType w:val="hybridMultilevel"/>
    <w:tmpl w:val="00C2650C"/>
    <w:lvl w:ilvl="0" w:tplc="F45AB6C6">
      <w:start w:val="1"/>
      <w:numFmt w:val="decimal"/>
      <w:lvlText w:val="%1."/>
      <w:lvlJc w:val="left"/>
      <w:pPr>
        <w:tabs>
          <w:tab w:val="num" w:pos="3215"/>
        </w:tabs>
        <w:ind w:left="3215" w:hanging="360"/>
      </w:pPr>
      <w:rPr>
        <w:i w:val="0"/>
        <w:lang w:val="en-GB"/>
      </w:rPr>
    </w:lvl>
    <w:lvl w:ilvl="1" w:tplc="04090019">
      <w:start w:val="1"/>
      <w:numFmt w:val="lowerLetter"/>
      <w:lvlText w:val="%2."/>
      <w:lvlJc w:val="left"/>
      <w:pPr>
        <w:tabs>
          <w:tab w:val="num" w:pos="3935"/>
        </w:tabs>
        <w:ind w:left="3935" w:hanging="360"/>
      </w:pPr>
    </w:lvl>
    <w:lvl w:ilvl="2" w:tplc="0409001B" w:tentative="1">
      <w:start w:val="1"/>
      <w:numFmt w:val="lowerRoman"/>
      <w:lvlText w:val="%3."/>
      <w:lvlJc w:val="right"/>
      <w:pPr>
        <w:tabs>
          <w:tab w:val="num" w:pos="4655"/>
        </w:tabs>
        <w:ind w:left="4655" w:hanging="180"/>
      </w:pPr>
    </w:lvl>
    <w:lvl w:ilvl="3" w:tplc="0409000F" w:tentative="1">
      <w:start w:val="1"/>
      <w:numFmt w:val="decimal"/>
      <w:lvlText w:val="%4."/>
      <w:lvlJc w:val="left"/>
      <w:pPr>
        <w:tabs>
          <w:tab w:val="num" w:pos="5375"/>
        </w:tabs>
        <w:ind w:left="5375" w:hanging="360"/>
      </w:pPr>
    </w:lvl>
    <w:lvl w:ilvl="4" w:tplc="04090019" w:tentative="1">
      <w:start w:val="1"/>
      <w:numFmt w:val="lowerLetter"/>
      <w:lvlText w:val="%5."/>
      <w:lvlJc w:val="left"/>
      <w:pPr>
        <w:tabs>
          <w:tab w:val="num" w:pos="6095"/>
        </w:tabs>
        <w:ind w:left="6095" w:hanging="360"/>
      </w:pPr>
    </w:lvl>
    <w:lvl w:ilvl="5" w:tplc="0409001B" w:tentative="1">
      <w:start w:val="1"/>
      <w:numFmt w:val="lowerRoman"/>
      <w:lvlText w:val="%6."/>
      <w:lvlJc w:val="right"/>
      <w:pPr>
        <w:tabs>
          <w:tab w:val="num" w:pos="6815"/>
        </w:tabs>
        <w:ind w:left="6815" w:hanging="180"/>
      </w:pPr>
    </w:lvl>
    <w:lvl w:ilvl="6" w:tplc="0409000F" w:tentative="1">
      <w:start w:val="1"/>
      <w:numFmt w:val="decimal"/>
      <w:lvlText w:val="%7."/>
      <w:lvlJc w:val="left"/>
      <w:pPr>
        <w:tabs>
          <w:tab w:val="num" w:pos="7535"/>
        </w:tabs>
        <w:ind w:left="7535" w:hanging="360"/>
      </w:pPr>
    </w:lvl>
    <w:lvl w:ilvl="7" w:tplc="04090019" w:tentative="1">
      <w:start w:val="1"/>
      <w:numFmt w:val="lowerLetter"/>
      <w:lvlText w:val="%8."/>
      <w:lvlJc w:val="left"/>
      <w:pPr>
        <w:tabs>
          <w:tab w:val="num" w:pos="8255"/>
        </w:tabs>
        <w:ind w:left="8255" w:hanging="360"/>
      </w:pPr>
    </w:lvl>
    <w:lvl w:ilvl="8" w:tplc="0409001B" w:tentative="1">
      <w:start w:val="1"/>
      <w:numFmt w:val="lowerRoman"/>
      <w:lvlText w:val="%9."/>
      <w:lvlJc w:val="right"/>
      <w:pPr>
        <w:tabs>
          <w:tab w:val="num" w:pos="8975"/>
        </w:tabs>
        <w:ind w:left="8975" w:hanging="180"/>
      </w:pPr>
    </w:lvl>
  </w:abstractNum>
  <w:abstractNum w:abstractNumId="2">
    <w:nsid w:val="75D77DAE"/>
    <w:multiLevelType w:val="hybridMultilevel"/>
    <w:tmpl w:val="9AFC22B6"/>
    <w:lvl w:ilvl="0" w:tplc="0F9295B4">
      <w:start w:val="1"/>
      <w:numFmt w:val="lowerLetter"/>
      <w:lvlText w:val="(%1)"/>
      <w:lvlJc w:val="left"/>
      <w:pPr>
        <w:ind w:left="2952"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useFELayout/>
  </w:compat>
  <w:rsids>
    <w:rsidRoot w:val="00681DB6"/>
    <w:rsid w:val="00045F3B"/>
    <w:rsid w:val="0009039B"/>
    <w:rsid w:val="000B18ED"/>
    <w:rsid w:val="002508C0"/>
    <w:rsid w:val="002E3F11"/>
    <w:rsid w:val="003F0B7D"/>
    <w:rsid w:val="00475D4E"/>
    <w:rsid w:val="004B7AA0"/>
    <w:rsid w:val="0055191B"/>
    <w:rsid w:val="00681DB6"/>
    <w:rsid w:val="00771173"/>
    <w:rsid w:val="00B33BA9"/>
    <w:rsid w:val="00BA076F"/>
    <w:rsid w:val="00BE6CAD"/>
    <w:rsid w:val="00C21410"/>
    <w:rsid w:val="00CF3394"/>
  </w:rsids>
  <m:mathPr>
    <m:mathFont m:val="Cambria Math"/>
    <m:brkBin m:val="before"/>
    <m:brkBinSub m:val="--"/>
    <m:smallFrac m:val="off"/>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DB6"/>
    <w:pPr>
      <w:spacing w:after="0" w:line="240" w:lineRule="auto"/>
    </w:pPr>
    <w:rPr>
      <w:rFonts w:ascii="Times New Roman" w:eastAsia="Times New Roman" w:hAnsi="Times New Roman" w:cs="Times New Roman"/>
      <w:sz w:val="24"/>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aliases w:val="16 Point,Superscript 6 Point,ftref,(Ref. de nota al pie),number,SUPERS,Footnote Reference Superscript,Footnote Reference1,Ref,de nota al pie,註腳內容,de nota al pie + (Asian) MS Mincho,11 pt,Ref. de nota de rodapé1"/>
    <w:uiPriority w:val="99"/>
    <w:rsid w:val="00681DB6"/>
    <w:rPr>
      <w:rFonts w:ascii="Times New Roman" w:hAnsi="Times New Roman" w:cs="Times New Roman"/>
      <w:color w:val="auto"/>
      <w:sz w:val="18"/>
      <w:vertAlign w:val="superscript"/>
    </w:rPr>
  </w:style>
  <w:style w:type="paragraph" w:styleId="FootnoteText">
    <w:name w:val="footnote text"/>
    <w:aliases w:val="Geneva 9,Font: Geneva 9,Boston 10,93,single space,Footnote Text Rail EIS,ft,Char,footnote3,Footnotes,Footnote ak,fn cafc,Footnotes Char Char,Footnote Text Char Char,fn Char Char,footnote text,footnote text Char Char Char Ch,Ch,9"/>
    <w:basedOn w:val="Normal"/>
    <w:link w:val="FootnoteTextChar2"/>
    <w:uiPriority w:val="99"/>
    <w:rsid w:val="00681DB6"/>
    <w:pPr>
      <w:tabs>
        <w:tab w:val="left" w:pos="1247"/>
        <w:tab w:val="left" w:pos="1814"/>
        <w:tab w:val="left" w:pos="2381"/>
        <w:tab w:val="left" w:pos="2948"/>
        <w:tab w:val="left" w:pos="3515"/>
        <w:tab w:val="left" w:pos="4082"/>
      </w:tabs>
      <w:spacing w:before="20" w:after="40"/>
      <w:ind w:left="1247"/>
    </w:pPr>
    <w:rPr>
      <w:sz w:val="18"/>
      <w:lang w:val="fr-FR"/>
    </w:rPr>
  </w:style>
  <w:style w:type="character" w:customStyle="1" w:styleId="FootnoteTextChar">
    <w:name w:val="Footnote Text Char"/>
    <w:basedOn w:val="DefaultParagraphFont"/>
    <w:link w:val="FootnoteText"/>
    <w:uiPriority w:val="99"/>
    <w:semiHidden/>
    <w:rsid w:val="00681DB6"/>
    <w:rPr>
      <w:rFonts w:ascii="Times New Roman" w:eastAsia="Times New Roman" w:hAnsi="Times New Roman" w:cs="Times New Roman"/>
      <w:sz w:val="20"/>
      <w:szCs w:val="20"/>
      <w:lang w:eastAsia="en-US"/>
    </w:rPr>
  </w:style>
  <w:style w:type="character" w:customStyle="1" w:styleId="FootnoteTextChar2">
    <w:name w:val="Footnote Text Char2"/>
    <w:aliases w:val="Geneva 9 Char2,Font: Geneva 9 Char2,Boston 10 Char2,93 Char1,single space Char1,Footnote Text Rail EIS Char1,ft Char1,Char Char1,footnote3 Char1,Footnotes Char1,Footnote ak Char1,fn cafc Char1,Footnotes Char Char Char1,Ch Char,9 Char"/>
    <w:link w:val="FootnoteText"/>
    <w:uiPriority w:val="99"/>
    <w:locked/>
    <w:rsid w:val="00681DB6"/>
    <w:rPr>
      <w:rFonts w:ascii="Times New Roman" w:eastAsia="Times New Roman" w:hAnsi="Times New Roman" w:cs="Times New Roman"/>
      <w:sz w:val="18"/>
      <w:szCs w:val="20"/>
      <w:lang w:val="fr-FR"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416</Words>
  <Characters>2377</Characters>
  <Application>Microsoft Office Word</Application>
  <DocSecurity>0</DocSecurity>
  <Lines>19</Lines>
  <Paragraphs>5</Paragraphs>
  <ScaleCrop>false</ScaleCrop>
  <Company/>
  <LinksUpToDate>false</LinksUpToDate>
  <CharactersWithSpaces>2788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lgong</dc:creator>
  <cp:lastModifiedBy>lgong</cp:lastModifiedBy>
  <cp:revision>1</cp:revision>
  <dcterms:created xsi:type="dcterms:W3CDTF">2015-12-28T13:17:00Z</dcterms:created>
  <dcterms:modified xsi:type="dcterms:W3CDTF">2015-12-28T13:18:00Z</dcterms:modified>
</cp:coreProperties>
</file>