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5F" w:rsidRPr="007C0DB9" w:rsidRDefault="00672F5F" w:rsidP="00672F5F">
      <w:pPr>
        <w:spacing w:before="240" w:after="120"/>
        <w:ind w:left="1247"/>
        <w:rPr>
          <w:sz w:val="28"/>
          <w:szCs w:val="28"/>
        </w:rPr>
      </w:pPr>
      <w:r w:rsidRPr="007C0DB9">
        <w:rPr>
          <w:b/>
          <w:sz w:val="28"/>
          <w:szCs w:val="28"/>
        </w:rPr>
        <w:t>RC-7/2: Proposal on ways of exchanging information on exports and export notifications</w:t>
      </w:r>
    </w:p>
    <w:p w:rsidR="00672F5F" w:rsidRPr="007C0DB9" w:rsidRDefault="00672F5F" w:rsidP="00672F5F">
      <w:pPr>
        <w:tabs>
          <w:tab w:val="left" w:pos="624"/>
        </w:tabs>
        <w:spacing w:after="120"/>
        <w:ind w:left="1247" w:firstLine="624"/>
        <w:outlineLvl w:val="0"/>
        <w:rPr>
          <w:i/>
          <w:sz w:val="20"/>
        </w:rPr>
      </w:pPr>
      <w:r w:rsidRPr="007C0DB9">
        <w:rPr>
          <w:i/>
          <w:sz w:val="20"/>
        </w:rPr>
        <w:t>The Conference of the Parties</w:t>
      </w:r>
    </w:p>
    <w:p w:rsidR="00672F5F" w:rsidRPr="007C0DB9" w:rsidRDefault="00672F5F" w:rsidP="00672F5F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iCs/>
        </w:rPr>
      </w:pPr>
      <w:r w:rsidRPr="007C0DB9">
        <w:rPr>
          <w:iCs/>
        </w:rPr>
        <w:t>1.</w:t>
      </w:r>
      <w:r w:rsidRPr="007C0DB9">
        <w:rPr>
          <w:iCs/>
        </w:rPr>
        <w:tab/>
      </w:r>
      <w:r w:rsidRPr="00760653">
        <w:rPr>
          <w:i/>
        </w:rPr>
        <w:t>Takes note</w:t>
      </w:r>
      <w:r w:rsidRPr="00760653">
        <w:t xml:space="preserve"> of the re</w:t>
      </w:r>
      <w:r w:rsidRPr="007C0DB9">
        <w:t xml:space="preserve">port </w:t>
      </w:r>
      <w:r w:rsidRPr="007C0DB9">
        <w:rPr>
          <w:iCs/>
        </w:rPr>
        <w:t xml:space="preserve">prepared </w:t>
      </w:r>
      <w:r w:rsidRPr="007C0DB9">
        <w:t xml:space="preserve">by the </w:t>
      </w:r>
      <w:r w:rsidRPr="007C0DB9">
        <w:rPr>
          <w:iCs/>
        </w:rPr>
        <w:t>Secretariat</w:t>
      </w:r>
      <w:r w:rsidRPr="007C0DB9">
        <w:t xml:space="preserve"> on the information received from parties </w:t>
      </w:r>
      <w:r w:rsidRPr="007C0DB9">
        <w:rPr>
          <w:iCs/>
        </w:rPr>
        <w:t xml:space="preserve">on </w:t>
      </w:r>
      <w:r w:rsidRPr="007C0DB9">
        <w:t>ways of exchanging information on exports and export notifications;</w:t>
      </w:r>
      <w:r w:rsidRPr="007C0DB9">
        <w:rPr>
          <w:rStyle w:val="FootnoteReference"/>
        </w:rPr>
        <w:footnoteReference w:id="1"/>
      </w:r>
    </w:p>
    <w:p w:rsidR="00672F5F" w:rsidRPr="007C0DB9" w:rsidRDefault="00672F5F" w:rsidP="00672F5F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</w:pPr>
      <w:r w:rsidRPr="007C0DB9">
        <w:rPr>
          <w:iCs/>
        </w:rPr>
        <w:t>2.</w:t>
      </w:r>
      <w:r w:rsidRPr="007C0DB9">
        <w:rPr>
          <w:iCs/>
        </w:rPr>
        <w:tab/>
      </w:r>
      <w:r w:rsidRPr="007C0DB9">
        <w:rPr>
          <w:i/>
          <w:iCs/>
        </w:rPr>
        <w:t>Urges</w:t>
      </w:r>
      <w:r w:rsidRPr="007C0DB9">
        <w:rPr>
          <w:iCs/>
        </w:rPr>
        <w:t xml:space="preserve"> parties to ensure </w:t>
      </w:r>
      <w:r w:rsidRPr="007C0DB9">
        <w:t xml:space="preserve">the </w:t>
      </w:r>
      <w:r w:rsidRPr="007C0DB9">
        <w:rPr>
          <w:iCs/>
        </w:rPr>
        <w:t>effective implementation of the Convention</w:t>
      </w:r>
      <w:r w:rsidRPr="007C0DB9">
        <w:t xml:space="preserve">, including the </w:t>
      </w:r>
      <w:r w:rsidRPr="007C0DB9">
        <w:rPr>
          <w:iCs/>
        </w:rPr>
        <w:t>obligations under paragraph 2 (c) of Article 11 and under Article 12 of the Convention;</w:t>
      </w:r>
      <w:r w:rsidRPr="007C0DB9">
        <w:t xml:space="preserve"> </w:t>
      </w:r>
    </w:p>
    <w:p w:rsidR="00672F5F" w:rsidRPr="007C0DB9" w:rsidRDefault="00672F5F" w:rsidP="00672F5F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iCs/>
        </w:rPr>
      </w:pPr>
      <w:r w:rsidRPr="007C0DB9">
        <w:rPr>
          <w:iCs/>
        </w:rPr>
        <w:t>3.</w:t>
      </w:r>
      <w:r w:rsidRPr="007C0DB9">
        <w:rPr>
          <w:iCs/>
        </w:rPr>
        <w:tab/>
      </w:r>
      <w:r w:rsidRPr="007C0DB9">
        <w:rPr>
          <w:i/>
          <w:iCs/>
        </w:rPr>
        <w:t>Requests</w:t>
      </w:r>
      <w:r w:rsidRPr="007C0DB9">
        <w:rPr>
          <w:iCs/>
        </w:rPr>
        <w:t xml:space="preserve"> the Secretariat to provide assistance to parties, upon request, in implementing paragraph 2 (c) of Article 11 and Article 12 of the Convention;</w:t>
      </w:r>
    </w:p>
    <w:p w:rsidR="00672F5F" w:rsidRPr="007C0DB9" w:rsidRDefault="00672F5F" w:rsidP="00672F5F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</w:pPr>
      <w:r w:rsidRPr="007C0DB9">
        <w:rPr>
          <w:iCs/>
        </w:rPr>
        <w:t>4.</w:t>
      </w:r>
      <w:r w:rsidRPr="007C0DB9">
        <w:rPr>
          <w:i/>
          <w:iCs/>
        </w:rPr>
        <w:t xml:space="preserve"> </w:t>
      </w:r>
      <w:r w:rsidRPr="007C0DB9">
        <w:rPr>
          <w:i/>
          <w:iCs/>
        </w:rPr>
        <w:tab/>
        <w:t>Also requests</w:t>
      </w:r>
      <w:r w:rsidRPr="007C0DB9">
        <w:rPr>
          <w:iCs/>
        </w:rPr>
        <w:t xml:space="preserve"> the Secretariat to facilitate, subject to the availability of resources, the exchange of information and to report at each meeting of the Conference of the Parties on </w:t>
      </w:r>
      <w:r w:rsidRPr="007C0DB9">
        <w:t>the implementation of paragraph 2 of Article 11 and Articles 12 and 14 of the Convention</w:t>
      </w:r>
      <w:r w:rsidRPr="007C0DB9">
        <w:rPr>
          <w:iCs/>
        </w:rPr>
        <w:t>.</w:t>
      </w:r>
    </w:p>
    <w:p w:rsidR="000B18ED" w:rsidRDefault="000B18ED" w:rsidP="00672F5F"/>
    <w:sectPr w:rsidR="000B18E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BFE" w:rsidRDefault="00057BFE" w:rsidP="00672F5F">
      <w:r>
        <w:separator/>
      </w:r>
    </w:p>
  </w:endnote>
  <w:endnote w:type="continuationSeparator" w:id="0">
    <w:p w:rsidR="00057BFE" w:rsidRDefault="00057BFE" w:rsidP="00672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BFE" w:rsidRDefault="00057BFE" w:rsidP="00672F5F">
      <w:r>
        <w:separator/>
      </w:r>
    </w:p>
  </w:footnote>
  <w:footnote w:type="continuationSeparator" w:id="0">
    <w:p w:rsidR="00057BFE" w:rsidRDefault="00057BFE" w:rsidP="00672F5F">
      <w:r>
        <w:continuationSeparator/>
      </w:r>
    </w:p>
  </w:footnote>
  <w:footnote w:id="1">
    <w:p w:rsidR="00672F5F" w:rsidRPr="00E40542" w:rsidRDefault="00672F5F" w:rsidP="00672F5F">
      <w:pPr>
        <w:pStyle w:val="FootnoteText"/>
        <w:rPr>
          <w:szCs w:val="18"/>
          <w:lang w:val="en-GB"/>
        </w:rPr>
      </w:pPr>
      <w:r w:rsidRPr="00E40542">
        <w:rPr>
          <w:rStyle w:val="FootnoteReference"/>
        </w:rPr>
        <w:footnoteRef/>
      </w:r>
      <w:r w:rsidRPr="00E40542">
        <w:rPr>
          <w:szCs w:val="18"/>
          <w:lang w:val="en-GB"/>
        </w:rPr>
        <w:t xml:space="preserve"> </w:t>
      </w:r>
      <w:proofErr w:type="gramStart"/>
      <w:r w:rsidRPr="00E40542">
        <w:rPr>
          <w:szCs w:val="18"/>
          <w:lang w:val="en-GB"/>
        </w:rPr>
        <w:t>UNEP/FAO/RC/COP.7/5, annex.</w:t>
      </w:r>
      <w:proofErr w:type="gram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72F5F"/>
    <w:rsid w:val="00045F3B"/>
    <w:rsid w:val="00057BFE"/>
    <w:rsid w:val="0009039B"/>
    <w:rsid w:val="000B18ED"/>
    <w:rsid w:val="002508C0"/>
    <w:rsid w:val="002E3F11"/>
    <w:rsid w:val="00475D4E"/>
    <w:rsid w:val="004B7AA0"/>
    <w:rsid w:val="0055191B"/>
    <w:rsid w:val="00672F5F"/>
    <w:rsid w:val="00771173"/>
    <w:rsid w:val="007B62E0"/>
    <w:rsid w:val="00B33BA9"/>
    <w:rsid w:val="00BA076F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5F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uiPriority w:val="99"/>
    <w:rsid w:val="00672F5F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rsid w:val="00672F5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FOOTNOTES,fn,single space,Footnote Text Rail EIS,ft,Char,footnote text,Footnotes,Footnote ak,fn cafc,Footnotes Char Char,Footnote Text Char Char,fn Char Char,footnote text Char Char Char Ch,DNV-FT,text,9"/>
    <w:basedOn w:val="Normal"/>
    <w:link w:val="FootnoteTextChar"/>
    <w:rsid w:val="00672F5F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FR"/>
    </w:rPr>
  </w:style>
  <w:style w:type="character" w:customStyle="1" w:styleId="FootnoteTextChar">
    <w:name w:val="Footnote Text Char"/>
    <w:aliases w:val="Geneva 9 Char,Font: Geneva 9 Char,Boston 10 Char,f Char,FOOTNOTES Char,fn Char,single space Char,Footnote Text Rail EIS Char,ft Char,Char Char,footnote text Char,Footnotes Char,Footnote ak Char,fn cafc Char,Footnotes Char Char Char"/>
    <w:basedOn w:val="DefaultParagraphFont"/>
    <w:link w:val="FootnoteText"/>
    <w:rsid w:val="00672F5F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Normal-poolChar">
    <w:name w:val="Normal-pool Char"/>
    <w:link w:val="Normal-pool"/>
    <w:uiPriority w:val="99"/>
    <w:rsid w:val="00672F5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2015-12-29T09:48:00Z</dcterms:created>
  <dcterms:modified xsi:type="dcterms:W3CDTF">2015-12-29T09:48:00Z</dcterms:modified>
</cp:coreProperties>
</file>