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952" w:rsidRPr="00851B6C" w:rsidRDefault="004F5952" w:rsidP="004F5952">
      <w:pPr>
        <w:tabs>
          <w:tab w:val="left" w:pos="624"/>
        </w:tabs>
        <w:spacing w:after="120"/>
        <w:ind w:left="1247"/>
        <w:rPr>
          <w:b/>
          <w:sz w:val="28"/>
          <w:szCs w:val="28"/>
        </w:rPr>
      </w:pPr>
      <w:r w:rsidRPr="00851B6C">
        <w:rPr>
          <w:b/>
          <w:sz w:val="28"/>
          <w:szCs w:val="28"/>
        </w:rPr>
        <w:t xml:space="preserve">SC-7/17: Stockholm Convention regional and </w:t>
      </w:r>
      <w:proofErr w:type="spellStart"/>
      <w:r w:rsidRPr="00851B6C">
        <w:rPr>
          <w:b/>
          <w:sz w:val="28"/>
          <w:szCs w:val="28"/>
        </w:rPr>
        <w:t>subregional</w:t>
      </w:r>
      <w:proofErr w:type="spellEnd"/>
      <w:r w:rsidRPr="00851B6C">
        <w:rPr>
          <w:b/>
          <w:sz w:val="28"/>
          <w:szCs w:val="28"/>
        </w:rPr>
        <w:t xml:space="preserve"> centres for capacity-building and the transfer of technology</w:t>
      </w:r>
    </w:p>
    <w:p w:rsidR="004F5952" w:rsidRPr="00851B6C" w:rsidRDefault="004F5952" w:rsidP="004F5952">
      <w:pPr>
        <w:suppressAutoHyphens/>
        <w:spacing w:after="120"/>
        <w:ind w:left="1247" w:right="284" w:firstLine="624"/>
        <w:rPr>
          <w:i/>
          <w:iCs/>
          <w:color w:val="000000"/>
          <w:sz w:val="20"/>
          <w:szCs w:val="24"/>
          <w:lang w:val="en-US"/>
        </w:rPr>
      </w:pPr>
      <w:r w:rsidRPr="00851B6C">
        <w:rPr>
          <w:i/>
          <w:iCs/>
          <w:color w:val="000000"/>
          <w:sz w:val="20"/>
          <w:szCs w:val="24"/>
          <w:lang w:val="en-US"/>
        </w:rPr>
        <w:t>The Conference of the Parties</w:t>
      </w:r>
    </w:p>
    <w:p w:rsidR="004F5952" w:rsidRPr="00851B6C" w:rsidRDefault="004F5952" w:rsidP="004F5952">
      <w:pPr>
        <w:numPr>
          <w:ilvl w:val="0"/>
          <w:numId w:val="2"/>
        </w:numPr>
        <w:tabs>
          <w:tab w:val="left" w:pos="624"/>
        </w:tabs>
        <w:spacing w:after="120"/>
        <w:ind w:firstLine="624"/>
        <w:rPr>
          <w:rFonts w:eastAsia="Arial"/>
          <w:color w:val="000000"/>
          <w:sz w:val="20"/>
          <w:lang w:eastAsia="ar-SA"/>
        </w:rPr>
      </w:pPr>
      <w:r w:rsidRPr="00851B6C">
        <w:rPr>
          <w:rFonts w:eastAsia="Arial"/>
          <w:i/>
          <w:color w:val="000000"/>
          <w:sz w:val="20"/>
          <w:lang w:eastAsia="ar-SA"/>
        </w:rPr>
        <w:t xml:space="preserve">Emphasizes </w:t>
      </w:r>
      <w:r w:rsidRPr="00851B6C">
        <w:rPr>
          <w:rFonts w:eastAsia="Arial"/>
          <w:color w:val="000000"/>
          <w:sz w:val="20"/>
          <w:lang w:eastAsia="ar-SA"/>
        </w:rPr>
        <w:t xml:space="preserve">the role of the regional and </w:t>
      </w:r>
      <w:proofErr w:type="spellStart"/>
      <w:r w:rsidRPr="00851B6C">
        <w:rPr>
          <w:rFonts w:eastAsia="Arial"/>
          <w:color w:val="000000"/>
          <w:sz w:val="20"/>
          <w:lang w:eastAsia="ar-SA"/>
        </w:rPr>
        <w:t>subregional</w:t>
      </w:r>
      <w:proofErr w:type="spellEnd"/>
      <w:r w:rsidRPr="00851B6C">
        <w:rPr>
          <w:rFonts w:eastAsia="Arial"/>
          <w:color w:val="000000"/>
          <w:sz w:val="20"/>
          <w:lang w:eastAsia="ar-SA"/>
        </w:rPr>
        <w:t xml:space="preserve"> centres in enhancing the provision of technical assistance for capacity-building to support the national efforts of developing countries and countries with economies in transition</w:t>
      </w:r>
      <w:r>
        <w:rPr>
          <w:rFonts w:eastAsia="Arial"/>
          <w:color w:val="000000"/>
          <w:sz w:val="20"/>
          <w:lang w:eastAsia="ar-SA"/>
        </w:rPr>
        <w:t xml:space="preserve"> for</w:t>
      </w:r>
      <w:r w:rsidRPr="00851B6C">
        <w:rPr>
          <w:rFonts w:eastAsia="Arial"/>
          <w:color w:val="000000"/>
          <w:sz w:val="20"/>
          <w:lang w:eastAsia="ar-SA"/>
        </w:rPr>
        <w:t xml:space="preserve"> the implementation of the chemicals and waste conventions in accordance with their terms of reference;</w:t>
      </w:r>
      <w:r>
        <w:rPr>
          <w:rFonts w:eastAsia="Arial"/>
          <w:color w:val="000000"/>
          <w:sz w:val="20"/>
          <w:lang w:eastAsia="ar-SA"/>
        </w:rPr>
        <w:t xml:space="preserve"> </w:t>
      </w:r>
    </w:p>
    <w:p w:rsidR="004F5952" w:rsidRPr="00851B6C" w:rsidRDefault="004F5952" w:rsidP="004F5952">
      <w:pPr>
        <w:numPr>
          <w:ilvl w:val="0"/>
          <w:numId w:val="2"/>
        </w:numPr>
        <w:tabs>
          <w:tab w:val="left" w:pos="624"/>
        </w:tabs>
        <w:spacing w:after="120"/>
        <w:ind w:firstLine="624"/>
        <w:rPr>
          <w:rFonts w:eastAsia="Arial"/>
          <w:color w:val="000000"/>
          <w:sz w:val="20"/>
          <w:lang w:eastAsia="ar-SA"/>
        </w:rPr>
      </w:pPr>
      <w:r w:rsidRPr="00851B6C">
        <w:rPr>
          <w:i/>
          <w:color w:val="000000"/>
          <w:sz w:val="20"/>
        </w:rPr>
        <w:t xml:space="preserve">Emphasizes </w:t>
      </w:r>
      <w:r w:rsidRPr="00851B6C">
        <w:rPr>
          <w:color w:val="000000"/>
          <w:sz w:val="20"/>
        </w:rPr>
        <w:t>the role of the regional centres in the promotion of technology transfer relating to the implementation of the Stockholm Convention and requests them to cooperate and coordinate among themselves on areas of expertise in which they are able to provide assistance;</w:t>
      </w:r>
    </w:p>
    <w:p w:rsidR="004F5952" w:rsidRPr="00851B6C" w:rsidRDefault="004F5952" w:rsidP="004F5952">
      <w:pPr>
        <w:numPr>
          <w:ilvl w:val="0"/>
          <w:numId w:val="2"/>
        </w:numPr>
        <w:tabs>
          <w:tab w:val="left" w:pos="624"/>
        </w:tabs>
        <w:spacing w:after="120"/>
        <w:ind w:firstLine="624"/>
        <w:rPr>
          <w:rFonts w:eastAsia="Arial"/>
          <w:color w:val="000000"/>
          <w:sz w:val="20"/>
          <w:lang w:eastAsia="ar-SA"/>
        </w:rPr>
      </w:pPr>
      <w:r w:rsidRPr="00851B6C">
        <w:rPr>
          <w:rFonts w:eastAsia="Arial"/>
          <w:i/>
          <w:color w:val="000000"/>
          <w:sz w:val="20"/>
          <w:lang w:eastAsia="ar-SA"/>
        </w:rPr>
        <w:t xml:space="preserve">Recalls </w:t>
      </w:r>
      <w:r w:rsidRPr="00851B6C">
        <w:rPr>
          <w:rFonts w:eastAsia="Arial"/>
          <w:color w:val="000000"/>
          <w:sz w:val="20"/>
          <w:lang w:eastAsia="ar-SA"/>
        </w:rPr>
        <w:t xml:space="preserve">the omnibus decision on enhancing cooperation and coordination among the </w:t>
      </w:r>
      <w:r>
        <w:rPr>
          <w:rFonts w:eastAsia="Arial"/>
          <w:color w:val="000000"/>
          <w:sz w:val="20"/>
          <w:lang w:eastAsia="ar-SA"/>
        </w:rPr>
        <w:t xml:space="preserve">Basel Convention on the </w:t>
      </w:r>
      <w:proofErr w:type="spellStart"/>
      <w:r>
        <w:rPr>
          <w:rFonts w:eastAsia="Arial"/>
          <w:color w:val="000000"/>
          <w:sz w:val="20"/>
          <w:lang w:eastAsia="ar-SA"/>
        </w:rPr>
        <w:t>Transboundary</w:t>
      </w:r>
      <w:proofErr w:type="spellEnd"/>
      <w:r>
        <w:rPr>
          <w:rFonts w:eastAsia="Arial"/>
          <w:color w:val="000000"/>
          <w:sz w:val="20"/>
          <w:lang w:eastAsia="ar-SA"/>
        </w:rPr>
        <w:t xml:space="preserve"> Movements of Hazardous Wastes and their Disposal, the Rotterdam Convention on the Prior Informed Consent Procedure for Certain Hazardous Chemicals and Pesticides in International Trade and the Stockholm Convention on Persistent Organic Pollutants, </w:t>
      </w:r>
      <w:r w:rsidRPr="00851B6C">
        <w:rPr>
          <w:rFonts w:eastAsia="Arial"/>
          <w:color w:val="000000"/>
          <w:sz w:val="20"/>
          <w:lang w:eastAsia="ar-SA"/>
        </w:rPr>
        <w:t xml:space="preserve">adopted by the </w:t>
      </w:r>
      <w:r>
        <w:rPr>
          <w:rFonts w:eastAsia="Arial"/>
          <w:color w:val="000000"/>
          <w:sz w:val="20"/>
          <w:lang w:eastAsia="ar-SA"/>
        </w:rPr>
        <w:t>c</w:t>
      </w:r>
      <w:r w:rsidRPr="00851B6C">
        <w:rPr>
          <w:rFonts w:eastAsia="Arial"/>
          <w:color w:val="000000"/>
          <w:sz w:val="20"/>
          <w:lang w:eastAsia="ar-SA"/>
        </w:rPr>
        <w:t xml:space="preserve">onferences of the </w:t>
      </w:r>
      <w:r>
        <w:rPr>
          <w:rFonts w:eastAsia="Arial"/>
          <w:color w:val="000000"/>
          <w:sz w:val="20"/>
          <w:lang w:eastAsia="ar-SA"/>
        </w:rPr>
        <w:t>p</w:t>
      </w:r>
      <w:r w:rsidRPr="00851B6C">
        <w:rPr>
          <w:rFonts w:eastAsia="Arial"/>
          <w:color w:val="000000"/>
          <w:sz w:val="20"/>
          <w:lang w:eastAsia="ar-SA"/>
        </w:rPr>
        <w:t xml:space="preserve">arties at their </w:t>
      </w:r>
      <w:r>
        <w:rPr>
          <w:rFonts w:eastAsia="Arial"/>
          <w:color w:val="000000"/>
          <w:sz w:val="20"/>
          <w:lang w:eastAsia="ar-SA"/>
        </w:rPr>
        <w:t xml:space="preserve">2013 </w:t>
      </w:r>
      <w:r w:rsidRPr="00851B6C">
        <w:rPr>
          <w:rFonts w:eastAsia="Arial"/>
          <w:color w:val="000000"/>
          <w:sz w:val="20"/>
          <w:lang w:eastAsia="ar-SA"/>
        </w:rPr>
        <w:t>simultaneous extraordinary meetings,</w:t>
      </w:r>
      <w:r w:rsidRPr="00851B6C">
        <w:rPr>
          <w:rFonts w:eastAsia="Arial"/>
          <w:color w:val="000000"/>
          <w:sz w:val="20"/>
          <w:vertAlign w:val="superscript"/>
          <w:lang w:eastAsia="ar-SA"/>
        </w:rPr>
        <w:footnoteReference w:id="1"/>
      </w:r>
      <w:r w:rsidRPr="00851B6C">
        <w:rPr>
          <w:rFonts w:eastAsia="Arial"/>
          <w:color w:val="000000"/>
          <w:sz w:val="20"/>
          <w:lang w:eastAsia="ar-SA"/>
        </w:rPr>
        <w:t xml:space="preserve"> by which the conferences of the parties made recommendations on follow-up to the review of the synergies arrangements </w:t>
      </w:r>
      <w:r>
        <w:rPr>
          <w:rFonts w:eastAsia="Arial"/>
          <w:color w:val="000000"/>
          <w:sz w:val="20"/>
          <w:lang w:eastAsia="ar-SA"/>
        </w:rPr>
        <w:t>which</w:t>
      </w:r>
      <w:r w:rsidRPr="00851B6C">
        <w:rPr>
          <w:rFonts w:eastAsia="Arial"/>
          <w:color w:val="000000"/>
          <w:sz w:val="20"/>
          <w:lang w:eastAsia="ar-SA"/>
        </w:rPr>
        <w:t>, among others, underline that synergies should be enhanced at the national and regional levels, with particular attention to reinforcing cooperation</w:t>
      </w:r>
      <w:r>
        <w:rPr>
          <w:rFonts w:eastAsia="Arial"/>
          <w:color w:val="000000"/>
          <w:sz w:val="20"/>
          <w:lang w:eastAsia="ar-SA"/>
        </w:rPr>
        <w:t xml:space="preserve"> and</w:t>
      </w:r>
      <w:r w:rsidRPr="00851B6C">
        <w:rPr>
          <w:rFonts w:eastAsia="Arial"/>
          <w:color w:val="000000"/>
          <w:sz w:val="20"/>
          <w:lang w:eastAsia="ar-SA"/>
        </w:rPr>
        <w:t xml:space="preserve"> coordination and rationalization of the Stockholm Convention and Basel Convention regional centres;</w:t>
      </w:r>
      <w:r>
        <w:rPr>
          <w:rFonts w:eastAsia="Arial"/>
          <w:color w:val="000000"/>
          <w:sz w:val="20"/>
          <w:lang w:eastAsia="ar-SA"/>
        </w:rPr>
        <w:t xml:space="preserve"> </w:t>
      </w:r>
    </w:p>
    <w:p w:rsidR="004F5952" w:rsidRPr="00D95B72" w:rsidRDefault="004F5952" w:rsidP="004F5952">
      <w:pPr>
        <w:numPr>
          <w:ilvl w:val="0"/>
          <w:numId w:val="2"/>
        </w:numPr>
        <w:tabs>
          <w:tab w:val="left" w:pos="624"/>
        </w:tabs>
        <w:spacing w:after="120"/>
        <w:ind w:firstLine="624"/>
        <w:rPr>
          <w:rFonts w:eastAsia="Arial"/>
          <w:color w:val="000000"/>
          <w:sz w:val="20"/>
          <w:lang w:eastAsia="ar-SA"/>
        </w:rPr>
      </w:pPr>
      <w:r w:rsidRPr="00851B6C">
        <w:rPr>
          <w:rFonts w:eastAsia="Arial"/>
          <w:i/>
          <w:color w:val="000000"/>
          <w:sz w:val="20"/>
          <w:lang w:eastAsia="ar-SA"/>
        </w:rPr>
        <w:t>Welcom</w:t>
      </w:r>
      <w:r w:rsidRPr="00D95B72">
        <w:rPr>
          <w:rFonts w:eastAsia="Arial"/>
          <w:i/>
          <w:color w:val="000000"/>
          <w:sz w:val="20"/>
          <w:lang w:eastAsia="ar-SA"/>
        </w:rPr>
        <w:t>es</w:t>
      </w:r>
      <w:r w:rsidRPr="00D95B72">
        <w:rPr>
          <w:rFonts w:eastAsia="Arial"/>
          <w:color w:val="000000"/>
          <w:sz w:val="20"/>
          <w:lang w:eastAsia="ar-SA"/>
        </w:rPr>
        <w:t xml:space="preserve"> United Nations Environment Assembly resolution 1/5, on chemicals and waste, by which the Assembly acknowledged the role of the Basel and Stockholm convention regional centres to support the implementation of those conventions;</w:t>
      </w:r>
      <w:r w:rsidRPr="00D95B72">
        <w:rPr>
          <w:rFonts w:eastAsia="Arial"/>
          <w:b/>
          <w:color w:val="000000"/>
          <w:sz w:val="20"/>
          <w:lang w:eastAsia="ar-SA"/>
        </w:rPr>
        <w:t xml:space="preserve">  </w:t>
      </w:r>
    </w:p>
    <w:p w:rsidR="004F5952" w:rsidRPr="00851B6C" w:rsidRDefault="004F5952" w:rsidP="004F5952">
      <w:pPr>
        <w:numPr>
          <w:ilvl w:val="0"/>
          <w:numId w:val="2"/>
        </w:numPr>
        <w:tabs>
          <w:tab w:val="left" w:pos="624"/>
        </w:tabs>
        <w:spacing w:after="120"/>
        <w:ind w:firstLine="624"/>
        <w:rPr>
          <w:rFonts w:eastAsia="Arial"/>
          <w:color w:val="000000"/>
          <w:sz w:val="20"/>
          <w:lang w:eastAsia="ar-SA"/>
        </w:rPr>
      </w:pPr>
      <w:r w:rsidRPr="00D95B72">
        <w:rPr>
          <w:i/>
          <w:iCs/>
          <w:color w:val="000000"/>
          <w:sz w:val="20"/>
        </w:rPr>
        <w:t xml:space="preserve">Takes into </w:t>
      </w:r>
      <w:r w:rsidRPr="00D95B72">
        <w:rPr>
          <w:rFonts w:eastAsia="Arial"/>
          <w:i/>
          <w:color w:val="000000"/>
          <w:sz w:val="20"/>
          <w:lang w:eastAsia="ar-SA"/>
        </w:rPr>
        <w:t>account</w:t>
      </w:r>
      <w:r w:rsidRPr="00D95B72">
        <w:rPr>
          <w:rFonts w:eastAsia="Arial"/>
          <w:color w:val="000000"/>
          <w:sz w:val="20"/>
          <w:lang w:eastAsia="ar-SA"/>
        </w:rPr>
        <w:t xml:space="preserve"> the outcome document of the United Nations Conference on Sustainable Development, “The future we want”, that</w:t>
      </w:r>
      <w:r w:rsidRPr="00851B6C">
        <w:rPr>
          <w:rFonts w:eastAsia="Arial"/>
          <w:color w:val="000000"/>
          <w:sz w:val="20"/>
          <w:lang w:eastAsia="ar-SA"/>
        </w:rPr>
        <w:t xml:space="preserve"> highlights the critical role that the sound management of chemicals and waste can play in promoting sustainable development and emphasizes its great relevance to the post-2015 development agenda</w:t>
      </w:r>
      <w:r w:rsidRPr="00851B6C">
        <w:rPr>
          <w:iCs/>
          <w:color w:val="000000"/>
          <w:sz w:val="20"/>
        </w:rPr>
        <w:t>;</w:t>
      </w:r>
      <w:r>
        <w:rPr>
          <w:iCs/>
          <w:color w:val="000000"/>
          <w:sz w:val="20"/>
        </w:rPr>
        <w:t xml:space="preserve"> </w:t>
      </w:r>
    </w:p>
    <w:p w:rsidR="004F5952" w:rsidRPr="00851B6C" w:rsidRDefault="004F5952" w:rsidP="004F5952">
      <w:pPr>
        <w:numPr>
          <w:ilvl w:val="0"/>
          <w:numId w:val="2"/>
        </w:numPr>
        <w:tabs>
          <w:tab w:val="left" w:pos="624"/>
        </w:tabs>
        <w:spacing w:after="120"/>
        <w:ind w:firstLine="624"/>
        <w:jc w:val="both"/>
        <w:rPr>
          <w:rFonts w:eastAsia="Calibri"/>
          <w:b/>
          <w:color w:val="000000"/>
          <w:sz w:val="20"/>
        </w:rPr>
      </w:pPr>
      <w:r w:rsidRPr="00851B6C">
        <w:rPr>
          <w:rFonts w:eastAsia="Arial"/>
          <w:i/>
          <w:color w:val="000000"/>
          <w:sz w:val="20"/>
          <w:lang w:eastAsia="ar-SA"/>
        </w:rPr>
        <w:t xml:space="preserve">Takes </w:t>
      </w:r>
      <w:r w:rsidRPr="00851B6C">
        <w:rPr>
          <w:i/>
          <w:iCs/>
          <w:color w:val="000000"/>
          <w:sz w:val="20"/>
        </w:rPr>
        <w:t>note</w:t>
      </w:r>
      <w:r>
        <w:rPr>
          <w:i/>
          <w:iCs/>
          <w:color w:val="000000"/>
          <w:sz w:val="20"/>
        </w:rPr>
        <w:t xml:space="preserve"> of</w:t>
      </w:r>
      <w:r w:rsidRPr="00851B6C">
        <w:rPr>
          <w:rFonts w:eastAsia="Arial"/>
          <w:color w:val="000000"/>
          <w:sz w:val="20"/>
          <w:lang w:eastAsia="ar-SA"/>
        </w:rPr>
        <w:t>:</w:t>
      </w:r>
    </w:p>
    <w:p w:rsidR="004F5952" w:rsidRPr="00851B6C" w:rsidRDefault="004F5952" w:rsidP="004F5952">
      <w:pPr>
        <w:keepNext/>
        <w:keepLines/>
        <w:tabs>
          <w:tab w:val="left" w:pos="624"/>
        </w:tabs>
        <w:spacing w:after="120"/>
        <w:ind w:left="1247" w:firstLine="624"/>
        <w:rPr>
          <w:color w:val="000000"/>
          <w:sz w:val="20"/>
        </w:rPr>
      </w:pPr>
      <w:r w:rsidRPr="00851B6C">
        <w:rPr>
          <w:color w:val="000000"/>
          <w:sz w:val="20"/>
        </w:rPr>
        <w:t>(a)</w:t>
      </w:r>
      <w:r w:rsidRPr="00851B6C">
        <w:rPr>
          <w:color w:val="000000"/>
          <w:sz w:val="20"/>
        </w:rPr>
        <w:tab/>
      </w:r>
      <w:r>
        <w:rPr>
          <w:color w:val="000000"/>
          <w:sz w:val="20"/>
        </w:rPr>
        <w:t>T</w:t>
      </w:r>
      <w:r w:rsidRPr="00851B6C">
        <w:rPr>
          <w:color w:val="000000"/>
          <w:sz w:val="20"/>
        </w:rPr>
        <w:t xml:space="preserve">he information provided in the note by the Secretariat on Stockholm Convention regional and </w:t>
      </w:r>
      <w:proofErr w:type="spellStart"/>
      <w:r w:rsidRPr="00851B6C">
        <w:rPr>
          <w:color w:val="000000"/>
          <w:sz w:val="20"/>
        </w:rPr>
        <w:t>subregional</w:t>
      </w:r>
      <w:proofErr w:type="spellEnd"/>
      <w:r w:rsidRPr="00851B6C">
        <w:rPr>
          <w:color w:val="000000"/>
          <w:sz w:val="20"/>
        </w:rPr>
        <w:t xml:space="preserve"> centres for capacity-building and the transfer of technology;</w:t>
      </w:r>
      <w:r w:rsidRPr="00851B6C">
        <w:rPr>
          <w:color w:val="000000"/>
          <w:sz w:val="20"/>
          <w:szCs w:val="18"/>
          <w:vertAlign w:val="superscript"/>
        </w:rPr>
        <w:footnoteReference w:id="2"/>
      </w:r>
    </w:p>
    <w:p w:rsidR="004F5952" w:rsidRPr="00851B6C" w:rsidRDefault="004F5952" w:rsidP="004F5952">
      <w:pPr>
        <w:tabs>
          <w:tab w:val="left" w:pos="624"/>
        </w:tabs>
        <w:spacing w:after="120"/>
        <w:ind w:left="1247" w:firstLine="624"/>
        <w:rPr>
          <w:color w:val="000000"/>
          <w:sz w:val="20"/>
        </w:rPr>
      </w:pPr>
      <w:r w:rsidRPr="00851B6C">
        <w:rPr>
          <w:color w:val="000000"/>
          <w:sz w:val="20"/>
        </w:rPr>
        <w:t>(b)</w:t>
      </w:r>
      <w:r w:rsidRPr="00851B6C">
        <w:rPr>
          <w:color w:val="000000"/>
          <w:sz w:val="20"/>
        </w:rPr>
        <w:tab/>
      </w:r>
      <w:r>
        <w:rPr>
          <w:color w:val="000000"/>
          <w:sz w:val="20"/>
        </w:rPr>
        <w:t>T</w:t>
      </w:r>
      <w:r w:rsidRPr="00851B6C">
        <w:rPr>
          <w:color w:val="000000"/>
          <w:sz w:val="20"/>
        </w:rPr>
        <w:t xml:space="preserve">he </w:t>
      </w:r>
      <w:proofErr w:type="spellStart"/>
      <w:r w:rsidRPr="00851B6C">
        <w:rPr>
          <w:color w:val="000000"/>
          <w:sz w:val="20"/>
        </w:rPr>
        <w:t>workplans</w:t>
      </w:r>
      <w:proofErr w:type="spellEnd"/>
      <w:r w:rsidRPr="00851B6C">
        <w:rPr>
          <w:color w:val="000000"/>
          <w:sz w:val="20"/>
        </w:rPr>
        <w:t xml:space="preserve"> for the biennium 2014–2015</w:t>
      </w:r>
      <w:r w:rsidRPr="00851B6C">
        <w:rPr>
          <w:color w:val="000000"/>
          <w:sz w:val="20"/>
          <w:vertAlign w:val="superscript"/>
        </w:rPr>
        <w:footnoteReference w:id="3"/>
      </w:r>
      <w:r w:rsidRPr="00851B6C">
        <w:rPr>
          <w:color w:val="000000"/>
          <w:sz w:val="20"/>
        </w:rPr>
        <w:t xml:space="preserve"> and activity reports for the period 2013</w:t>
      </w:r>
      <w:r>
        <w:rPr>
          <w:color w:val="000000"/>
          <w:sz w:val="20"/>
        </w:rPr>
        <w:noBreakHyphen/>
      </w:r>
      <w:r w:rsidRPr="00851B6C">
        <w:rPr>
          <w:color w:val="000000"/>
          <w:sz w:val="20"/>
        </w:rPr>
        <w:t>2014</w:t>
      </w:r>
      <w:r w:rsidRPr="00851B6C">
        <w:rPr>
          <w:color w:val="000000"/>
          <w:sz w:val="20"/>
          <w:vertAlign w:val="superscript"/>
        </w:rPr>
        <w:footnoteReference w:id="4"/>
      </w:r>
      <w:r w:rsidRPr="00851B6C">
        <w:rPr>
          <w:color w:val="000000"/>
          <w:sz w:val="20"/>
          <w:vertAlign w:val="superscript"/>
        </w:rPr>
        <w:t xml:space="preserve"> </w:t>
      </w:r>
      <w:r w:rsidRPr="00851B6C">
        <w:rPr>
          <w:color w:val="000000"/>
          <w:sz w:val="20"/>
        </w:rPr>
        <w:t xml:space="preserve">submitted by the Stockholm Convention regional and </w:t>
      </w:r>
      <w:proofErr w:type="spellStart"/>
      <w:r w:rsidRPr="00851B6C">
        <w:rPr>
          <w:color w:val="000000"/>
          <w:sz w:val="20"/>
        </w:rPr>
        <w:t>subregional</w:t>
      </w:r>
      <w:proofErr w:type="spellEnd"/>
      <w:r w:rsidRPr="00851B6C">
        <w:rPr>
          <w:color w:val="000000"/>
          <w:sz w:val="20"/>
        </w:rPr>
        <w:t xml:space="preserve"> centres;</w:t>
      </w:r>
    </w:p>
    <w:p w:rsidR="004F5952" w:rsidRPr="00851B6C" w:rsidRDefault="004F5952" w:rsidP="004F5952">
      <w:pPr>
        <w:tabs>
          <w:tab w:val="left" w:pos="624"/>
        </w:tabs>
        <w:spacing w:after="120"/>
        <w:ind w:left="1247" w:firstLine="624"/>
        <w:rPr>
          <w:iCs/>
          <w:color w:val="000000"/>
          <w:sz w:val="20"/>
        </w:rPr>
      </w:pPr>
      <w:r w:rsidRPr="00851B6C">
        <w:rPr>
          <w:color w:val="000000"/>
          <w:sz w:val="20"/>
        </w:rPr>
        <w:t>(c)</w:t>
      </w:r>
      <w:r w:rsidRPr="00851B6C">
        <w:rPr>
          <w:color w:val="000000"/>
          <w:sz w:val="20"/>
        </w:rPr>
        <w:tab/>
      </w:r>
      <w:r>
        <w:rPr>
          <w:color w:val="000000"/>
          <w:sz w:val="20"/>
        </w:rPr>
        <w:t>T</w:t>
      </w:r>
      <w:r w:rsidRPr="00851B6C">
        <w:rPr>
          <w:iCs/>
          <w:color w:val="000000"/>
          <w:sz w:val="20"/>
        </w:rPr>
        <w:t>he full draft evaluation report on the performance and sustainability of the 16</w:t>
      </w:r>
      <w:r>
        <w:rPr>
          <w:iCs/>
          <w:color w:val="000000"/>
          <w:sz w:val="20"/>
        </w:rPr>
        <w:t> </w:t>
      </w:r>
      <w:r w:rsidRPr="00851B6C">
        <w:rPr>
          <w:iCs/>
          <w:color w:val="000000"/>
          <w:sz w:val="20"/>
        </w:rPr>
        <w:t xml:space="preserve">Stockholm Convention regional and </w:t>
      </w:r>
      <w:proofErr w:type="spellStart"/>
      <w:r w:rsidRPr="00851B6C">
        <w:rPr>
          <w:iCs/>
          <w:color w:val="000000"/>
          <w:sz w:val="20"/>
        </w:rPr>
        <w:t>subregional</w:t>
      </w:r>
      <w:proofErr w:type="spellEnd"/>
      <w:r w:rsidRPr="00851B6C">
        <w:rPr>
          <w:iCs/>
          <w:color w:val="000000"/>
          <w:sz w:val="20"/>
        </w:rPr>
        <w:t xml:space="preserve"> centres prepared by the Secretariat</w:t>
      </w:r>
      <w:r w:rsidRPr="00851B6C">
        <w:rPr>
          <w:iCs/>
          <w:color w:val="000000"/>
          <w:sz w:val="20"/>
          <w:vertAlign w:val="superscript"/>
        </w:rPr>
        <w:footnoteReference w:id="5"/>
      </w:r>
      <w:r w:rsidRPr="00851B6C">
        <w:rPr>
          <w:iCs/>
          <w:color w:val="000000"/>
          <w:sz w:val="20"/>
        </w:rPr>
        <w:t xml:space="preserve"> and the summary of the draft evaluation report;</w:t>
      </w:r>
      <w:r w:rsidRPr="00851B6C">
        <w:rPr>
          <w:color w:val="000000"/>
          <w:sz w:val="20"/>
          <w:vertAlign w:val="superscript"/>
        </w:rPr>
        <w:footnoteReference w:id="6"/>
      </w:r>
    </w:p>
    <w:p w:rsidR="004F5952" w:rsidRPr="00887EB1" w:rsidRDefault="004F5952" w:rsidP="004F5952">
      <w:pPr>
        <w:tabs>
          <w:tab w:val="left" w:pos="624"/>
        </w:tabs>
        <w:spacing w:after="120"/>
        <w:ind w:left="1247" w:firstLine="624"/>
        <w:rPr>
          <w:b/>
          <w:iCs/>
          <w:color w:val="000000"/>
          <w:sz w:val="20"/>
        </w:rPr>
      </w:pPr>
      <w:r w:rsidRPr="00851B6C">
        <w:rPr>
          <w:iCs/>
          <w:color w:val="000000"/>
          <w:sz w:val="20"/>
        </w:rPr>
        <w:t xml:space="preserve">(d) </w:t>
      </w:r>
      <w:r w:rsidRPr="00851B6C">
        <w:rPr>
          <w:iCs/>
          <w:color w:val="000000"/>
          <w:sz w:val="20"/>
        </w:rPr>
        <w:tab/>
      </w:r>
      <w:r>
        <w:rPr>
          <w:iCs/>
          <w:color w:val="000000"/>
          <w:sz w:val="20"/>
        </w:rPr>
        <w:t>T</w:t>
      </w:r>
      <w:r w:rsidRPr="00851B6C">
        <w:rPr>
          <w:iCs/>
          <w:color w:val="000000"/>
          <w:sz w:val="20"/>
        </w:rPr>
        <w:t xml:space="preserve">he report on the activities of the regional and </w:t>
      </w:r>
      <w:proofErr w:type="spellStart"/>
      <w:r w:rsidRPr="00851B6C">
        <w:rPr>
          <w:iCs/>
          <w:color w:val="000000"/>
          <w:sz w:val="20"/>
        </w:rPr>
        <w:t>subregional</w:t>
      </w:r>
      <w:proofErr w:type="spellEnd"/>
      <w:r w:rsidRPr="00851B6C">
        <w:rPr>
          <w:iCs/>
          <w:color w:val="000000"/>
          <w:sz w:val="20"/>
        </w:rPr>
        <w:t xml:space="preserve"> centres;</w:t>
      </w:r>
      <w:r w:rsidRPr="00851B6C">
        <w:rPr>
          <w:iCs/>
          <w:color w:val="000000"/>
          <w:sz w:val="20"/>
          <w:vertAlign w:val="superscript"/>
        </w:rPr>
        <w:footnoteReference w:id="7"/>
      </w:r>
      <w:r>
        <w:rPr>
          <w:iCs/>
          <w:color w:val="000000"/>
          <w:sz w:val="20"/>
        </w:rPr>
        <w:t xml:space="preserve"> </w:t>
      </w:r>
    </w:p>
    <w:p w:rsidR="004F5952" w:rsidRPr="007D50DC" w:rsidRDefault="004F5952" w:rsidP="004F5952">
      <w:pPr>
        <w:numPr>
          <w:ilvl w:val="0"/>
          <w:numId w:val="2"/>
        </w:numPr>
        <w:spacing w:after="120"/>
        <w:ind w:firstLine="624"/>
        <w:jc w:val="both"/>
        <w:rPr>
          <w:iCs/>
          <w:color w:val="000000"/>
          <w:sz w:val="20"/>
        </w:rPr>
      </w:pPr>
      <w:r>
        <w:rPr>
          <w:rFonts w:eastAsia="Arial"/>
          <w:i/>
          <w:color w:val="000000"/>
          <w:sz w:val="20"/>
          <w:lang w:eastAsia="ar-SA"/>
        </w:rPr>
        <w:t xml:space="preserve">Notes </w:t>
      </w:r>
      <w:r w:rsidRPr="00851B6C">
        <w:rPr>
          <w:rFonts w:eastAsia="Arial"/>
          <w:color w:val="000000"/>
          <w:sz w:val="20"/>
          <w:lang w:eastAsia="ar-SA"/>
        </w:rPr>
        <w:t>that it has evaluated, in accordance with the criteria set out in annex</w:t>
      </w:r>
      <w:r>
        <w:rPr>
          <w:rFonts w:eastAsia="Arial"/>
          <w:color w:val="000000"/>
          <w:sz w:val="20"/>
          <w:lang w:eastAsia="ar-SA"/>
        </w:rPr>
        <w:t> </w:t>
      </w:r>
      <w:r w:rsidRPr="00851B6C">
        <w:rPr>
          <w:rFonts w:eastAsia="Arial"/>
          <w:color w:val="000000"/>
          <w:sz w:val="20"/>
          <w:lang w:eastAsia="ar-SA"/>
        </w:rPr>
        <w:t xml:space="preserve">II to decision SC-2/9, the performance and sustainability of the Stockholm </w:t>
      </w:r>
      <w:r w:rsidRPr="00C15C4F">
        <w:rPr>
          <w:rFonts w:eastAsia="Arial"/>
          <w:color w:val="000000"/>
          <w:sz w:val="20"/>
          <w:lang w:eastAsia="ar-SA"/>
        </w:rPr>
        <w:t xml:space="preserve">Convention regional and </w:t>
      </w:r>
      <w:proofErr w:type="spellStart"/>
      <w:r w:rsidRPr="00C15C4F">
        <w:rPr>
          <w:rFonts w:eastAsia="Arial"/>
          <w:color w:val="000000"/>
          <w:sz w:val="20"/>
          <w:lang w:eastAsia="ar-SA"/>
        </w:rPr>
        <w:t>subregional</w:t>
      </w:r>
      <w:proofErr w:type="spellEnd"/>
      <w:r w:rsidRPr="00C15C4F">
        <w:rPr>
          <w:rFonts w:eastAsia="Arial"/>
          <w:color w:val="000000"/>
          <w:sz w:val="20"/>
          <w:lang w:eastAsia="ar-SA"/>
        </w:rPr>
        <w:t xml:space="preserve"> centres endorsed by the Conference of the Parties;</w:t>
      </w:r>
      <w:r w:rsidRPr="00C15C4F">
        <w:rPr>
          <w:rFonts w:eastAsia="Arial"/>
          <w:color w:val="000000"/>
          <w:sz w:val="20"/>
          <w:vertAlign w:val="superscript"/>
          <w:lang w:eastAsia="ar-SA"/>
        </w:rPr>
        <w:footnoteReference w:id="8"/>
      </w:r>
      <w:r>
        <w:rPr>
          <w:rFonts w:eastAsia="Arial"/>
          <w:color w:val="000000"/>
          <w:sz w:val="20"/>
          <w:lang w:eastAsia="ar-SA"/>
        </w:rPr>
        <w:t xml:space="preserve"> </w:t>
      </w:r>
    </w:p>
    <w:p w:rsidR="004F5952" w:rsidRPr="007D50DC" w:rsidRDefault="004F5952" w:rsidP="004F5952">
      <w:pPr>
        <w:numPr>
          <w:ilvl w:val="0"/>
          <w:numId w:val="2"/>
        </w:numPr>
        <w:spacing w:after="120"/>
        <w:ind w:firstLine="624"/>
        <w:jc w:val="both"/>
        <w:rPr>
          <w:iCs/>
          <w:color w:val="000000"/>
          <w:sz w:val="20"/>
        </w:rPr>
      </w:pPr>
      <w:r>
        <w:rPr>
          <w:i/>
          <w:iCs/>
          <w:color w:val="000000"/>
          <w:sz w:val="20"/>
        </w:rPr>
        <w:t xml:space="preserve">Notes </w:t>
      </w:r>
      <w:r w:rsidRPr="00C15C4F">
        <w:rPr>
          <w:iCs/>
          <w:color w:val="000000"/>
          <w:sz w:val="20"/>
        </w:rPr>
        <w:t xml:space="preserve">the performance of the regional </w:t>
      </w:r>
      <w:r w:rsidRPr="00C352C6">
        <w:rPr>
          <w:iCs/>
          <w:color w:val="000000"/>
          <w:sz w:val="20"/>
        </w:rPr>
        <w:t>centres</w:t>
      </w:r>
      <w:r w:rsidRPr="00C15C4F">
        <w:rPr>
          <w:iCs/>
          <w:color w:val="000000"/>
          <w:sz w:val="20"/>
        </w:rPr>
        <w:t xml:space="preserve"> </w:t>
      </w:r>
      <w:r w:rsidRPr="00C352C6">
        <w:rPr>
          <w:iCs/>
          <w:color w:val="000000"/>
          <w:sz w:val="20"/>
        </w:rPr>
        <w:t>and calls for sustained efforts to enhance their p</w:t>
      </w:r>
      <w:r w:rsidRPr="00C15C4F">
        <w:rPr>
          <w:iCs/>
          <w:color w:val="000000"/>
          <w:sz w:val="20"/>
        </w:rPr>
        <w:t>erformance and actions in supporting developing-country parties;</w:t>
      </w:r>
      <w:r>
        <w:rPr>
          <w:iCs/>
          <w:color w:val="000000"/>
          <w:sz w:val="20"/>
        </w:rPr>
        <w:t xml:space="preserve"> </w:t>
      </w:r>
    </w:p>
    <w:p w:rsidR="004F5952" w:rsidRPr="007D50DC" w:rsidRDefault="004F5952" w:rsidP="004F5952">
      <w:pPr>
        <w:numPr>
          <w:ilvl w:val="0"/>
          <w:numId w:val="2"/>
        </w:numPr>
        <w:spacing w:after="120"/>
        <w:ind w:firstLine="624"/>
        <w:jc w:val="both"/>
        <w:rPr>
          <w:iCs/>
          <w:color w:val="000000"/>
          <w:sz w:val="20"/>
        </w:rPr>
      </w:pPr>
      <w:r w:rsidRPr="00C15C4F">
        <w:rPr>
          <w:i/>
          <w:iCs/>
          <w:color w:val="000000"/>
          <w:sz w:val="20"/>
        </w:rPr>
        <w:t>Endorses</w:t>
      </w:r>
      <w:r w:rsidRPr="00C15C4F">
        <w:rPr>
          <w:iCs/>
          <w:color w:val="000000"/>
          <w:sz w:val="20"/>
        </w:rPr>
        <w:t xml:space="preserve"> for an</w:t>
      </w:r>
      <w:r>
        <w:rPr>
          <w:iCs/>
          <w:color w:val="000000"/>
          <w:sz w:val="20"/>
        </w:rPr>
        <w:t>other</w:t>
      </w:r>
      <w:r w:rsidRPr="00C15C4F">
        <w:rPr>
          <w:iCs/>
          <w:color w:val="000000"/>
          <w:sz w:val="20"/>
        </w:rPr>
        <w:t xml:space="preserve"> period of four years the Stockholm Convention regional and </w:t>
      </w:r>
      <w:proofErr w:type="spellStart"/>
      <w:r w:rsidRPr="00C15C4F">
        <w:rPr>
          <w:iCs/>
          <w:color w:val="000000"/>
          <w:sz w:val="20"/>
        </w:rPr>
        <w:t>subregional</w:t>
      </w:r>
      <w:proofErr w:type="spellEnd"/>
      <w:r w:rsidRPr="00C15C4F">
        <w:rPr>
          <w:iCs/>
          <w:color w:val="000000"/>
          <w:sz w:val="20"/>
        </w:rPr>
        <w:t xml:space="preserve"> centres listed in the annex to the present decision;</w:t>
      </w:r>
      <w:r>
        <w:rPr>
          <w:iCs/>
          <w:color w:val="000000"/>
          <w:sz w:val="20"/>
        </w:rPr>
        <w:t xml:space="preserve"> </w:t>
      </w:r>
    </w:p>
    <w:p w:rsidR="004F5952" w:rsidRPr="00851B6C" w:rsidRDefault="004F5952" w:rsidP="004F5952">
      <w:pPr>
        <w:numPr>
          <w:ilvl w:val="0"/>
          <w:numId w:val="2"/>
        </w:numPr>
        <w:spacing w:after="120"/>
        <w:ind w:firstLine="624"/>
        <w:rPr>
          <w:iCs/>
          <w:color w:val="000000"/>
          <w:sz w:val="20"/>
        </w:rPr>
      </w:pPr>
      <w:r w:rsidRPr="00C15C4F">
        <w:rPr>
          <w:i/>
          <w:color w:val="000000"/>
          <w:sz w:val="20"/>
        </w:rPr>
        <w:lastRenderedPageBreak/>
        <w:t>Underlines</w:t>
      </w:r>
      <w:r w:rsidRPr="00C15C4F">
        <w:rPr>
          <w:color w:val="000000"/>
          <w:sz w:val="20"/>
        </w:rPr>
        <w:t xml:space="preserve"> the need to have an efficient and effective </w:t>
      </w:r>
      <w:r w:rsidRPr="001C41A0">
        <w:rPr>
          <w:color w:val="000000"/>
          <w:sz w:val="20"/>
        </w:rPr>
        <w:t xml:space="preserve">network of </w:t>
      </w:r>
      <w:r w:rsidRPr="00C352C6">
        <w:rPr>
          <w:color w:val="000000"/>
          <w:sz w:val="20"/>
        </w:rPr>
        <w:t>centres</w:t>
      </w:r>
      <w:r w:rsidRPr="00C15C4F">
        <w:rPr>
          <w:color w:val="000000"/>
          <w:sz w:val="20"/>
        </w:rPr>
        <w:t xml:space="preserve"> through</w:t>
      </w:r>
      <w:r w:rsidRPr="00851B6C">
        <w:rPr>
          <w:color w:val="000000"/>
          <w:sz w:val="20"/>
        </w:rPr>
        <w:t xml:space="preserve"> greater institutional coordination and the promotion of the exchange of information, lessons learned and cooperation among them on areas of expertise in which they provide assistance, through regular communication, including meetings of the centres and increased use of other means of communication;</w:t>
      </w:r>
      <w:r>
        <w:rPr>
          <w:color w:val="000000"/>
          <w:sz w:val="20"/>
        </w:rPr>
        <w:t xml:space="preserve"> </w:t>
      </w:r>
    </w:p>
    <w:p w:rsidR="004F5952" w:rsidRPr="00851B6C" w:rsidRDefault="004F5952" w:rsidP="004F5952">
      <w:pPr>
        <w:numPr>
          <w:ilvl w:val="0"/>
          <w:numId w:val="2"/>
        </w:numPr>
        <w:spacing w:after="120"/>
        <w:ind w:firstLine="624"/>
        <w:rPr>
          <w:iCs/>
          <w:color w:val="000000"/>
          <w:sz w:val="20"/>
        </w:rPr>
      </w:pPr>
      <w:r w:rsidRPr="00851B6C">
        <w:rPr>
          <w:rFonts w:eastAsia="Arial"/>
          <w:i/>
          <w:color w:val="000000"/>
          <w:sz w:val="20"/>
          <w:lang w:eastAsia="ar-SA"/>
        </w:rPr>
        <w:t xml:space="preserve">Requests </w:t>
      </w:r>
      <w:r w:rsidRPr="00851B6C">
        <w:rPr>
          <w:rFonts w:eastAsia="Arial"/>
          <w:color w:val="000000"/>
          <w:sz w:val="20"/>
          <w:lang w:eastAsia="ar-SA"/>
        </w:rPr>
        <w:t xml:space="preserve">the Stockholm Convention regional and </w:t>
      </w:r>
      <w:proofErr w:type="spellStart"/>
      <w:r w:rsidRPr="00851B6C">
        <w:rPr>
          <w:rFonts w:eastAsia="Arial"/>
          <w:color w:val="000000"/>
          <w:sz w:val="20"/>
          <w:lang w:eastAsia="ar-SA"/>
        </w:rPr>
        <w:t>subregional</w:t>
      </w:r>
      <w:proofErr w:type="spellEnd"/>
      <w:r w:rsidRPr="00851B6C">
        <w:rPr>
          <w:rFonts w:eastAsia="Arial"/>
          <w:color w:val="000000"/>
          <w:sz w:val="20"/>
          <w:lang w:eastAsia="ar-SA"/>
        </w:rPr>
        <w:t xml:space="preserve"> centres to submit to the Secretariat:</w:t>
      </w:r>
    </w:p>
    <w:p w:rsidR="004F5952" w:rsidRPr="00851B6C" w:rsidRDefault="004F5952" w:rsidP="004F5952">
      <w:pPr>
        <w:tabs>
          <w:tab w:val="left" w:pos="624"/>
          <w:tab w:val="left" w:pos="1247"/>
          <w:tab w:val="left" w:pos="2410"/>
        </w:tabs>
        <w:spacing w:after="120"/>
        <w:ind w:left="1247" w:firstLine="596"/>
        <w:rPr>
          <w:color w:val="000000"/>
          <w:sz w:val="20"/>
        </w:rPr>
      </w:pPr>
      <w:r w:rsidRPr="006E7C06">
        <w:rPr>
          <w:color w:val="000000"/>
          <w:sz w:val="20"/>
        </w:rPr>
        <w:t>(a)</w:t>
      </w:r>
      <w:r w:rsidRPr="006E7C06">
        <w:rPr>
          <w:color w:val="000000"/>
          <w:sz w:val="20"/>
        </w:rPr>
        <w:tab/>
        <w:t xml:space="preserve">Their </w:t>
      </w:r>
      <w:proofErr w:type="spellStart"/>
      <w:r w:rsidRPr="006E7C06">
        <w:rPr>
          <w:color w:val="000000"/>
          <w:sz w:val="20"/>
        </w:rPr>
        <w:t>workplans</w:t>
      </w:r>
      <w:proofErr w:type="spellEnd"/>
      <w:r w:rsidRPr="006E7C06">
        <w:rPr>
          <w:color w:val="000000"/>
          <w:sz w:val="20"/>
        </w:rPr>
        <w:t xml:space="preserve"> for the period</w:t>
      </w:r>
      <w:r>
        <w:rPr>
          <w:color w:val="000000"/>
          <w:sz w:val="20"/>
        </w:rPr>
        <w:t xml:space="preserve"> </w:t>
      </w:r>
      <w:r w:rsidRPr="00851B6C">
        <w:rPr>
          <w:color w:val="000000"/>
          <w:sz w:val="20"/>
        </w:rPr>
        <w:t>1 January 2016</w:t>
      </w:r>
      <w:r>
        <w:rPr>
          <w:color w:val="000000"/>
          <w:sz w:val="20"/>
        </w:rPr>
        <w:t xml:space="preserve"> to </w:t>
      </w:r>
      <w:r w:rsidRPr="00851B6C">
        <w:rPr>
          <w:color w:val="000000"/>
          <w:sz w:val="20"/>
        </w:rPr>
        <w:t>31 December 2019 by 30 September 2015;</w:t>
      </w:r>
    </w:p>
    <w:p w:rsidR="004F5952" w:rsidRPr="00887EB1" w:rsidRDefault="004F5952" w:rsidP="004F5952">
      <w:pPr>
        <w:tabs>
          <w:tab w:val="left" w:pos="624"/>
          <w:tab w:val="left" w:pos="1247"/>
          <w:tab w:val="left" w:pos="2410"/>
        </w:tabs>
        <w:spacing w:after="120"/>
        <w:ind w:left="1247" w:firstLine="596"/>
        <w:rPr>
          <w:b/>
          <w:color w:val="000000"/>
          <w:sz w:val="20"/>
        </w:rPr>
      </w:pPr>
      <w:r w:rsidRPr="00851B6C">
        <w:rPr>
          <w:iCs/>
          <w:color w:val="000000"/>
          <w:sz w:val="20"/>
        </w:rPr>
        <w:t>(</w:t>
      </w:r>
      <w:r w:rsidRPr="00851B6C">
        <w:rPr>
          <w:color w:val="000000"/>
          <w:sz w:val="20"/>
        </w:rPr>
        <w:t>b)</w:t>
      </w:r>
      <w:r w:rsidRPr="00851B6C">
        <w:rPr>
          <w:color w:val="000000"/>
          <w:sz w:val="20"/>
        </w:rPr>
        <w:tab/>
      </w:r>
      <w:r w:rsidRPr="00C9167D">
        <w:rPr>
          <w:color w:val="000000"/>
          <w:sz w:val="20"/>
        </w:rPr>
        <w:t>Their activity reports for the period 1 January 2015</w:t>
      </w:r>
      <w:r>
        <w:rPr>
          <w:color w:val="000000"/>
          <w:sz w:val="20"/>
        </w:rPr>
        <w:t xml:space="preserve"> to </w:t>
      </w:r>
      <w:r w:rsidRPr="00C9167D">
        <w:rPr>
          <w:color w:val="000000"/>
          <w:sz w:val="20"/>
        </w:rPr>
        <w:t>31 December 2016 by 31 December 2016, for consideration by the Conference of the Parties at its eighth meeting;</w:t>
      </w:r>
      <w:r>
        <w:rPr>
          <w:b/>
          <w:color w:val="000000"/>
          <w:sz w:val="20"/>
        </w:rPr>
        <w:t xml:space="preserve"> </w:t>
      </w:r>
    </w:p>
    <w:p w:rsidR="004F5952" w:rsidRPr="00851B6C" w:rsidRDefault="004F5952" w:rsidP="004F5952">
      <w:pPr>
        <w:numPr>
          <w:ilvl w:val="0"/>
          <w:numId w:val="2"/>
        </w:numPr>
        <w:spacing w:after="120"/>
        <w:ind w:firstLine="624"/>
        <w:rPr>
          <w:rFonts w:eastAsia="Arial"/>
          <w:color w:val="000000"/>
          <w:sz w:val="20"/>
          <w:lang w:eastAsia="ar-SA"/>
        </w:rPr>
      </w:pPr>
      <w:r w:rsidRPr="00851B6C">
        <w:rPr>
          <w:rFonts w:eastAsia="Arial"/>
          <w:i/>
          <w:color w:val="000000"/>
          <w:sz w:val="20"/>
          <w:lang w:eastAsia="ar-SA"/>
        </w:rPr>
        <w:t xml:space="preserve">Requests </w:t>
      </w:r>
      <w:r w:rsidRPr="00851B6C">
        <w:rPr>
          <w:rFonts w:eastAsia="Arial"/>
          <w:color w:val="000000"/>
          <w:sz w:val="20"/>
          <w:lang w:eastAsia="ar-SA"/>
        </w:rPr>
        <w:t xml:space="preserve">the Secretariat: </w:t>
      </w:r>
    </w:p>
    <w:p w:rsidR="004F5952" w:rsidRPr="00851B6C" w:rsidRDefault="004F5952" w:rsidP="004F5952">
      <w:pPr>
        <w:tabs>
          <w:tab w:val="left" w:pos="624"/>
          <w:tab w:val="left" w:pos="1247"/>
          <w:tab w:val="left" w:pos="2410"/>
        </w:tabs>
        <w:spacing w:after="120"/>
        <w:ind w:left="1247" w:firstLine="596"/>
        <w:rPr>
          <w:color w:val="000000"/>
          <w:sz w:val="20"/>
        </w:rPr>
      </w:pPr>
      <w:r w:rsidRPr="00851B6C">
        <w:rPr>
          <w:color w:val="000000"/>
          <w:sz w:val="20"/>
        </w:rPr>
        <w:t>(a)</w:t>
      </w:r>
      <w:r w:rsidRPr="00851B6C">
        <w:rPr>
          <w:color w:val="000000"/>
          <w:sz w:val="20"/>
        </w:rPr>
        <w:tab/>
      </w:r>
      <w:r>
        <w:rPr>
          <w:color w:val="000000"/>
          <w:sz w:val="20"/>
        </w:rPr>
        <w:t>To p</w:t>
      </w:r>
      <w:r w:rsidRPr="00851B6C">
        <w:rPr>
          <w:color w:val="000000"/>
          <w:sz w:val="20"/>
        </w:rPr>
        <w:t xml:space="preserve">repare a report on the evaluation of the Stockholm Convention regional and </w:t>
      </w:r>
      <w:proofErr w:type="spellStart"/>
      <w:r w:rsidRPr="00851B6C">
        <w:rPr>
          <w:color w:val="000000"/>
          <w:sz w:val="20"/>
        </w:rPr>
        <w:t>subregional</w:t>
      </w:r>
      <w:proofErr w:type="spellEnd"/>
      <w:r w:rsidRPr="00851B6C">
        <w:rPr>
          <w:color w:val="000000"/>
          <w:sz w:val="20"/>
        </w:rPr>
        <w:t xml:space="preserve"> centres listed in the annex to the present decision, based on the performance evaluation methodology adopted by</w:t>
      </w:r>
      <w:r>
        <w:rPr>
          <w:color w:val="000000"/>
          <w:sz w:val="20"/>
        </w:rPr>
        <w:t xml:space="preserve"> the Conference of the Parties in</w:t>
      </w:r>
      <w:r w:rsidRPr="00851B6C">
        <w:rPr>
          <w:color w:val="000000"/>
          <w:sz w:val="20"/>
        </w:rPr>
        <w:t xml:space="preserve"> decision SC-6/16, for consideration by the Conference of the Parties at its ninth meeting;</w:t>
      </w:r>
      <w:r>
        <w:rPr>
          <w:color w:val="000000"/>
          <w:sz w:val="20"/>
        </w:rPr>
        <w:t xml:space="preserve"> </w:t>
      </w:r>
    </w:p>
    <w:p w:rsidR="004F5952" w:rsidRPr="00851B6C" w:rsidRDefault="004F5952" w:rsidP="004F5952">
      <w:pPr>
        <w:tabs>
          <w:tab w:val="left" w:pos="624"/>
          <w:tab w:val="left" w:pos="1247"/>
          <w:tab w:val="left" w:pos="2410"/>
        </w:tabs>
        <w:spacing w:after="120"/>
        <w:ind w:left="1247" w:firstLine="596"/>
        <w:rPr>
          <w:color w:val="000000"/>
          <w:sz w:val="20"/>
        </w:rPr>
      </w:pPr>
      <w:r w:rsidRPr="00851B6C">
        <w:rPr>
          <w:color w:val="000000"/>
          <w:sz w:val="20"/>
        </w:rPr>
        <w:t>(b)</w:t>
      </w:r>
      <w:r w:rsidRPr="00851B6C">
        <w:rPr>
          <w:color w:val="000000"/>
          <w:sz w:val="20"/>
        </w:rPr>
        <w:tab/>
      </w:r>
      <w:r>
        <w:rPr>
          <w:color w:val="000000"/>
          <w:sz w:val="20"/>
        </w:rPr>
        <w:t>To p</w:t>
      </w:r>
      <w:r w:rsidRPr="00851B6C">
        <w:rPr>
          <w:color w:val="000000"/>
          <w:sz w:val="20"/>
        </w:rPr>
        <w:t xml:space="preserve">repare a report on the activities of the Stockholm Convention regional and </w:t>
      </w:r>
      <w:proofErr w:type="spellStart"/>
      <w:r w:rsidRPr="00851B6C">
        <w:rPr>
          <w:color w:val="000000"/>
          <w:sz w:val="20"/>
        </w:rPr>
        <w:t>subregional</w:t>
      </w:r>
      <w:proofErr w:type="spellEnd"/>
      <w:r w:rsidRPr="00851B6C">
        <w:rPr>
          <w:color w:val="000000"/>
          <w:sz w:val="20"/>
        </w:rPr>
        <w:t xml:space="preserve"> centres, for consideration by the Conference of the Parties at its eighth meeting, including an assessment o</w:t>
      </w:r>
      <w:r>
        <w:rPr>
          <w:color w:val="000000"/>
          <w:sz w:val="20"/>
        </w:rPr>
        <w:t>f</w:t>
      </w:r>
      <w:r w:rsidRPr="00851B6C">
        <w:rPr>
          <w:color w:val="000000"/>
          <w:sz w:val="20"/>
        </w:rPr>
        <w:t xml:space="preserve"> how to improve the efficiency and effectiveness of the network of centres;</w:t>
      </w:r>
    </w:p>
    <w:p w:rsidR="004F5952" w:rsidRPr="00851B6C" w:rsidRDefault="004F5952" w:rsidP="004F5952">
      <w:pPr>
        <w:tabs>
          <w:tab w:val="left" w:pos="624"/>
          <w:tab w:val="left" w:pos="1247"/>
          <w:tab w:val="left" w:pos="2410"/>
        </w:tabs>
        <w:spacing w:after="120"/>
        <w:ind w:left="1247" w:firstLine="596"/>
        <w:rPr>
          <w:color w:val="000000"/>
          <w:sz w:val="20"/>
        </w:rPr>
      </w:pPr>
      <w:r w:rsidRPr="00851B6C">
        <w:rPr>
          <w:color w:val="000000"/>
          <w:sz w:val="20"/>
        </w:rPr>
        <w:t xml:space="preserve">(c) </w:t>
      </w:r>
      <w:r w:rsidRPr="00851B6C">
        <w:rPr>
          <w:color w:val="000000"/>
          <w:sz w:val="20"/>
        </w:rPr>
        <w:tab/>
      </w:r>
      <w:r>
        <w:rPr>
          <w:color w:val="000000"/>
          <w:sz w:val="20"/>
        </w:rPr>
        <w:t>To c</w:t>
      </w:r>
      <w:r w:rsidRPr="00851B6C">
        <w:rPr>
          <w:color w:val="000000"/>
          <w:sz w:val="20"/>
        </w:rPr>
        <w:t>onsider possible adjustments to the methodology for evaluating regional centres, taking into account lessons learned, the views of the centres</w:t>
      </w:r>
      <w:r>
        <w:rPr>
          <w:color w:val="000000"/>
          <w:sz w:val="20"/>
        </w:rPr>
        <w:t>, as well as</w:t>
      </w:r>
      <w:r w:rsidRPr="00851B6C">
        <w:rPr>
          <w:color w:val="000000"/>
          <w:sz w:val="20"/>
        </w:rPr>
        <w:t xml:space="preserve"> the views of parties, for </w:t>
      </w:r>
      <w:r w:rsidRPr="00D8569B">
        <w:rPr>
          <w:color w:val="000000"/>
          <w:sz w:val="20"/>
        </w:rPr>
        <w:t xml:space="preserve">consideration by the Conference of the Parties at its eighth meeting, and invites the centres and parties to provide their views on </w:t>
      </w:r>
      <w:r>
        <w:rPr>
          <w:color w:val="000000"/>
          <w:sz w:val="20"/>
        </w:rPr>
        <w:t xml:space="preserve">these </w:t>
      </w:r>
      <w:r w:rsidRPr="00851B6C">
        <w:rPr>
          <w:color w:val="000000"/>
          <w:sz w:val="20"/>
        </w:rPr>
        <w:t>by 30 June 2016;</w:t>
      </w:r>
      <w:r>
        <w:rPr>
          <w:color w:val="000000"/>
          <w:sz w:val="20"/>
        </w:rPr>
        <w:t xml:space="preserve"> </w:t>
      </w:r>
    </w:p>
    <w:p w:rsidR="004F5952" w:rsidRPr="00851B6C" w:rsidRDefault="004F5952" w:rsidP="004F5952">
      <w:pPr>
        <w:numPr>
          <w:ilvl w:val="0"/>
          <w:numId w:val="2"/>
        </w:numPr>
        <w:spacing w:after="120"/>
        <w:ind w:firstLine="624"/>
        <w:rPr>
          <w:rFonts w:eastAsia="Arial"/>
          <w:color w:val="000000"/>
          <w:sz w:val="20"/>
          <w:lang w:eastAsia="ar-SA"/>
        </w:rPr>
      </w:pPr>
      <w:r w:rsidRPr="00851B6C">
        <w:rPr>
          <w:rFonts w:eastAsia="Arial"/>
          <w:i/>
          <w:color w:val="000000"/>
          <w:sz w:val="20"/>
          <w:lang w:eastAsia="ar-SA"/>
        </w:rPr>
        <w:t xml:space="preserve">Decides </w:t>
      </w:r>
      <w:r w:rsidRPr="00851B6C">
        <w:rPr>
          <w:rFonts w:eastAsia="Arial"/>
          <w:color w:val="000000"/>
          <w:sz w:val="20"/>
          <w:lang w:eastAsia="ar-SA"/>
        </w:rPr>
        <w:t>to evaluate, in accordance with the criteria set out in annex II to decision SC</w:t>
      </w:r>
      <w:r>
        <w:rPr>
          <w:rFonts w:eastAsia="Arial"/>
          <w:color w:val="000000"/>
          <w:sz w:val="20"/>
          <w:lang w:eastAsia="ar-SA"/>
        </w:rPr>
        <w:noBreakHyphen/>
      </w:r>
      <w:r w:rsidRPr="00851B6C">
        <w:rPr>
          <w:rFonts w:eastAsia="Arial"/>
          <w:color w:val="000000"/>
          <w:sz w:val="20"/>
          <w:lang w:eastAsia="ar-SA"/>
        </w:rPr>
        <w:t xml:space="preserve">2/9, taking into account the possible adjustments referred to in paragraph 12 (c) above, the performance and sustainability of the Stockholm Convention regional and </w:t>
      </w:r>
      <w:proofErr w:type="spellStart"/>
      <w:r w:rsidRPr="00851B6C">
        <w:rPr>
          <w:rFonts w:eastAsia="Arial"/>
          <w:color w:val="000000"/>
          <w:sz w:val="20"/>
          <w:lang w:eastAsia="ar-SA"/>
        </w:rPr>
        <w:t>subregional</w:t>
      </w:r>
      <w:proofErr w:type="spellEnd"/>
      <w:r w:rsidRPr="00851B6C">
        <w:rPr>
          <w:rFonts w:eastAsia="Arial"/>
          <w:color w:val="000000"/>
          <w:sz w:val="20"/>
          <w:lang w:eastAsia="ar-SA"/>
        </w:rPr>
        <w:t xml:space="preserve"> centres listed in the annex to the present decision and to reconsider, pursuant to decision SC-3/12, their status as regional and </w:t>
      </w:r>
      <w:proofErr w:type="spellStart"/>
      <w:r w:rsidRPr="00851B6C">
        <w:rPr>
          <w:rFonts w:eastAsia="Arial"/>
          <w:color w:val="000000"/>
          <w:sz w:val="20"/>
          <w:lang w:eastAsia="ar-SA"/>
        </w:rPr>
        <w:t>subregional</w:t>
      </w:r>
      <w:proofErr w:type="spellEnd"/>
      <w:r w:rsidRPr="00851B6C">
        <w:rPr>
          <w:rFonts w:eastAsia="Arial"/>
          <w:color w:val="000000"/>
          <w:sz w:val="20"/>
          <w:lang w:eastAsia="ar-SA"/>
        </w:rPr>
        <w:t xml:space="preserve"> centres under the Convention at its ninth meeting and every four years thereafter;</w:t>
      </w:r>
    </w:p>
    <w:p w:rsidR="004F5952" w:rsidRPr="00851B6C" w:rsidRDefault="004F5952" w:rsidP="004F5952">
      <w:pPr>
        <w:numPr>
          <w:ilvl w:val="0"/>
          <w:numId w:val="2"/>
        </w:numPr>
        <w:spacing w:after="120"/>
        <w:ind w:firstLine="624"/>
        <w:rPr>
          <w:rFonts w:eastAsia="Arial"/>
          <w:color w:val="000000"/>
          <w:sz w:val="20"/>
          <w:lang w:eastAsia="ar-SA"/>
        </w:rPr>
      </w:pPr>
      <w:r w:rsidRPr="00851B6C">
        <w:rPr>
          <w:i/>
          <w:color w:val="000000"/>
          <w:sz w:val="20"/>
        </w:rPr>
        <w:t xml:space="preserve">Invites </w:t>
      </w:r>
      <w:r w:rsidRPr="00851B6C">
        <w:rPr>
          <w:color w:val="000000"/>
          <w:sz w:val="20"/>
        </w:rPr>
        <w:t>developed-country parties and other parties</w:t>
      </w:r>
      <w:r>
        <w:rPr>
          <w:color w:val="000000"/>
          <w:sz w:val="20"/>
        </w:rPr>
        <w:t>,</w:t>
      </w:r>
      <w:r w:rsidRPr="00851B6C">
        <w:rPr>
          <w:color w:val="000000"/>
          <w:sz w:val="20"/>
        </w:rPr>
        <w:t xml:space="preserve"> in accordance with their capabilities</w:t>
      </w:r>
      <w:r>
        <w:rPr>
          <w:color w:val="000000"/>
          <w:sz w:val="20"/>
        </w:rPr>
        <w:t>,</w:t>
      </w:r>
      <w:r w:rsidRPr="00851B6C">
        <w:rPr>
          <w:color w:val="000000"/>
          <w:sz w:val="20"/>
        </w:rPr>
        <w:t xml:space="preserve"> to consider ways to strengthen the regional delivery of technical assistance and the promotion of technology transfer under the Convention to promote the sound management of chemicals and wastes, sustainable development and the protection of human health and the environment</w:t>
      </w:r>
      <w:r>
        <w:rPr>
          <w:color w:val="000000"/>
          <w:sz w:val="20"/>
        </w:rPr>
        <w:t xml:space="preserve"> and further invites them to consider</w:t>
      </w:r>
      <w:r w:rsidRPr="00851B6C">
        <w:rPr>
          <w:color w:val="000000"/>
          <w:sz w:val="20"/>
        </w:rPr>
        <w:t xml:space="preserve"> opportunities for effective and efficient cooperation with the regional centres in implementing </w:t>
      </w:r>
      <w:r>
        <w:rPr>
          <w:color w:val="000000"/>
          <w:sz w:val="20"/>
        </w:rPr>
        <w:t xml:space="preserve">the </w:t>
      </w:r>
      <w:r w:rsidRPr="00851B6C">
        <w:rPr>
          <w:color w:val="000000"/>
          <w:sz w:val="20"/>
        </w:rPr>
        <w:t>regional sound management of chemicals and wastes</w:t>
      </w:r>
      <w:r>
        <w:rPr>
          <w:color w:val="000000"/>
          <w:sz w:val="20"/>
        </w:rPr>
        <w:t xml:space="preserve"> projects</w:t>
      </w:r>
      <w:r w:rsidRPr="00851B6C">
        <w:rPr>
          <w:color w:val="000000"/>
          <w:sz w:val="20"/>
        </w:rPr>
        <w:t>;</w:t>
      </w:r>
      <w:r>
        <w:rPr>
          <w:color w:val="000000"/>
          <w:sz w:val="20"/>
        </w:rPr>
        <w:t xml:space="preserve"> </w:t>
      </w:r>
    </w:p>
    <w:p w:rsidR="004F5952" w:rsidRPr="00851B6C" w:rsidRDefault="004F5952" w:rsidP="004F5952">
      <w:pPr>
        <w:numPr>
          <w:ilvl w:val="0"/>
          <w:numId w:val="2"/>
        </w:numPr>
        <w:spacing w:after="120"/>
        <w:ind w:firstLine="624"/>
        <w:rPr>
          <w:rFonts w:eastAsia="Arial"/>
          <w:color w:val="000000"/>
          <w:sz w:val="20"/>
          <w:lang w:eastAsia="ar-SA"/>
        </w:rPr>
      </w:pPr>
      <w:r w:rsidRPr="00851B6C">
        <w:rPr>
          <w:i/>
          <w:color w:val="000000"/>
          <w:sz w:val="20"/>
        </w:rPr>
        <w:t>Takes note</w:t>
      </w:r>
      <w:r w:rsidRPr="00851B6C">
        <w:rPr>
          <w:color w:val="000000"/>
          <w:sz w:val="20"/>
        </w:rPr>
        <w:t xml:space="preserve"> of the challenges faced by some centres and invites parties, as well as </w:t>
      </w:r>
      <w:r>
        <w:rPr>
          <w:color w:val="000000"/>
          <w:sz w:val="20"/>
        </w:rPr>
        <w:t xml:space="preserve">other </w:t>
      </w:r>
      <w:r w:rsidRPr="00851B6C">
        <w:rPr>
          <w:color w:val="000000"/>
          <w:sz w:val="20"/>
        </w:rPr>
        <w:t>regional centres in a position to do so, to cooperate with and support those regional centres through the exchange of best practices</w:t>
      </w:r>
      <w:r>
        <w:rPr>
          <w:color w:val="000000"/>
          <w:sz w:val="20"/>
        </w:rPr>
        <w:t>,</w:t>
      </w:r>
      <w:r w:rsidRPr="00851B6C">
        <w:rPr>
          <w:color w:val="000000"/>
          <w:sz w:val="20"/>
        </w:rPr>
        <w:t xml:space="preserve"> the provision of technical assistance and the promotion of technology transfer;</w:t>
      </w:r>
      <w:r>
        <w:rPr>
          <w:color w:val="000000"/>
          <w:sz w:val="20"/>
        </w:rPr>
        <w:t xml:space="preserve"> </w:t>
      </w:r>
    </w:p>
    <w:p w:rsidR="004F5952" w:rsidRPr="00851B6C" w:rsidRDefault="004F5952" w:rsidP="004F5952">
      <w:pPr>
        <w:numPr>
          <w:ilvl w:val="0"/>
          <w:numId w:val="2"/>
        </w:numPr>
        <w:spacing w:after="120"/>
        <w:ind w:firstLine="624"/>
        <w:rPr>
          <w:rFonts w:eastAsia="Arial"/>
          <w:color w:val="000000"/>
          <w:sz w:val="20"/>
          <w:lang w:eastAsia="ar-SA"/>
        </w:rPr>
      </w:pPr>
      <w:r w:rsidRPr="00851B6C">
        <w:rPr>
          <w:i/>
          <w:color w:val="000000"/>
          <w:sz w:val="20"/>
        </w:rPr>
        <w:t xml:space="preserve">Recalls </w:t>
      </w:r>
      <w:r w:rsidRPr="00851B6C">
        <w:rPr>
          <w:color w:val="000000"/>
          <w:sz w:val="20"/>
        </w:rPr>
        <w:t>that sustainable financial and technical resources are necessary for the centres to succeed in their work under the Convention and invites parties, observers and other</w:t>
      </w:r>
      <w:r w:rsidRPr="00887EB1">
        <w:rPr>
          <w:color w:val="000000"/>
          <w:sz w:val="20"/>
        </w:rPr>
        <w:t>s</w:t>
      </w:r>
      <w:r w:rsidRPr="00851B6C">
        <w:rPr>
          <w:color w:val="000000"/>
          <w:sz w:val="20"/>
        </w:rPr>
        <w:t xml:space="preserve"> in a position to do so</w:t>
      </w:r>
      <w:r w:rsidRPr="00887EB1">
        <w:rPr>
          <w:color w:val="000000"/>
          <w:sz w:val="20"/>
        </w:rPr>
        <w:t xml:space="preserve">, </w:t>
      </w:r>
      <w:r w:rsidRPr="00851B6C">
        <w:rPr>
          <w:rFonts w:eastAsia="Arial"/>
          <w:color w:val="000000"/>
          <w:sz w:val="20"/>
          <w:lang w:eastAsia="ar-SA"/>
        </w:rPr>
        <w:t xml:space="preserve">including industry and the wider private sector as well as relevant financial institutions, to provide financial support to enable Stockholm Convention regional and </w:t>
      </w:r>
      <w:proofErr w:type="spellStart"/>
      <w:r w:rsidRPr="00851B6C">
        <w:rPr>
          <w:rFonts w:eastAsia="Arial"/>
          <w:color w:val="000000"/>
          <w:sz w:val="20"/>
          <w:lang w:eastAsia="ar-SA"/>
        </w:rPr>
        <w:t>subregional</w:t>
      </w:r>
      <w:proofErr w:type="spellEnd"/>
      <w:r w:rsidRPr="00851B6C">
        <w:rPr>
          <w:rFonts w:eastAsia="Arial"/>
          <w:color w:val="000000"/>
          <w:sz w:val="20"/>
          <w:lang w:eastAsia="ar-SA"/>
        </w:rPr>
        <w:t xml:space="preserve"> centres to implement their </w:t>
      </w:r>
      <w:proofErr w:type="spellStart"/>
      <w:r w:rsidRPr="00851B6C">
        <w:rPr>
          <w:rFonts w:eastAsia="Arial"/>
          <w:color w:val="000000"/>
          <w:sz w:val="20"/>
          <w:lang w:eastAsia="ar-SA"/>
        </w:rPr>
        <w:t>workplans</w:t>
      </w:r>
      <w:proofErr w:type="spellEnd"/>
      <w:r w:rsidRPr="00851B6C">
        <w:rPr>
          <w:rFonts w:eastAsia="Arial"/>
          <w:color w:val="000000"/>
          <w:sz w:val="20"/>
          <w:lang w:eastAsia="ar-SA"/>
        </w:rPr>
        <w:t xml:space="preserve"> aimed at supporting parties in implementing their obligations under the Convention;</w:t>
      </w:r>
    </w:p>
    <w:p w:rsidR="004F5952" w:rsidRPr="0066020B" w:rsidRDefault="004F5952" w:rsidP="004F5952">
      <w:pPr>
        <w:numPr>
          <w:ilvl w:val="0"/>
          <w:numId w:val="2"/>
        </w:numPr>
        <w:spacing w:after="120"/>
        <w:ind w:firstLine="624"/>
        <w:rPr>
          <w:rFonts w:eastAsia="Arial"/>
          <w:color w:val="000000"/>
          <w:sz w:val="20"/>
          <w:lang w:eastAsia="ar-SA"/>
        </w:rPr>
      </w:pPr>
      <w:r w:rsidRPr="00C15C4F">
        <w:rPr>
          <w:i/>
          <w:color w:val="000000"/>
          <w:sz w:val="20"/>
        </w:rPr>
        <w:t xml:space="preserve">Invites </w:t>
      </w:r>
      <w:r w:rsidRPr="00C15C4F">
        <w:rPr>
          <w:color w:val="000000"/>
          <w:sz w:val="20"/>
        </w:rPr>
        <w:t xml:space="preserve">all regional and </w:t>
      </w:r>
      <w:proofErr w:type="spellStart"/>
      <w:r w:rsidRPr="00C15C4F">
        <w:rPr>
          <w:color w:val="000000"/>
          <w:sz w:val="20"/>
        </w:rPr>
        <w:t>subregional</w:t>
      </w:r>
      <w:proofErr w:type="spellEnd"/>
      <w:r w:rsidRPr="00C15C4F">
        <w:rPr>
          <w:color w:val="000000"/>
          <w:sz w:val="20"/>
        </w:rPr>
        <w:t xml:space="preserve"> centres undertaking activities on mercury-related issues </w:t>
      </w:r>
      <w:r w:rsidRPr="00D8569B">
        <w:rPr>
          <w:color w:val="000000"/>
          <w:sz w:val="20"/>
        </w:rPr>
        <w:t>under the Convention, including projects and activities about the dissemination of information, capacity-building and technology transfer, to provide the relevant information, which will be taken into account by the Secretariat for the evaluation, in accordance with the applicable synergy criterion, and requests</w:t>
      </w:r>
      <w:r w:rsidRPr="00C15C4F">
        <w:rPr>
          <w:color w:val="000000"/>
          <w:sz w:val="20"/>
        </w:rPr>
        <w:t xml:space="preserve"> the Secretariat to forward that information to the interim secretariat of the </w:t>
      </w:r>
      <w:proofErr w:type="spellStart"/>
      <w:r w:rsidRPr="00C15C4F">
        <w:rPr>
          <w:color w:val="000000"/>
          <w:sz w:val="20"/>
        </w:rPr>
        <w:t>Minamata</w:t>
      </w:r>
      <w:proofErr w:type="spellEnd"/>
      <w:r w:rsidRPr="00C15C4F">
        <w:rPr>
          <w:color w:val="000000"/>
          <w:sz w:val="20"/>
        </w:rPr>
        <w:t xml:space="preserve"> Convention on Mercury for possible consideration by the </w:t>
      </w:r>
      <w:r w:rsidRPr="000467B2">
        <w:rPr>
          <w:color w:val="000000"/>
          <w:sz w:val="20"/>
        </w:rPr>
        <w:t xml:space="preserve">intergovernmental negotiating committee </w:t>
      </w:r>
      <w:r w:rsidRPr="00C15C4F">
        <w:rPr>
          <w:color w:val="000000"/>
          <w:sz w:val="20"/>
        </w:rPr>
        <w:t xml:space="preserve">to prepare a global legally binding instrument on mercury </w:t>
      </w:r>
      <w:r w:rsidRPr="00C75D05">
        <w:rPr>
          <w:color w:val="000000"/>
          <w:sz w:val="20"/>
        </w:rPr>
        <w:t>at its seve</w:t>
      </w:r>
      <w:r w:rsidRPr="00C15C4F">
        <w:rPr>
          <w:color w:val="000000"/>
          <w:sz w:val="20"/>
        </w:rPr>
        <w:t>nth session;</w:t>
      </w:r>
      <w:r>
        <w:rPr>
          <w:color w:val="000000"/>
          <w:sz w:val="20"/>
        </w:rPr>
        <w:t xml:space="preserve"> </w:t>
      </w:r>
    </w:p>
    <w:p w:rsidR="004F5952" w:rsidRPr="00851B6C" w:rsidRDefault="004F5952" w:rsidP="004F5952">
      <w:pPr>
        <w:keepNext/>
        <w:numPr>
          <w:ilvl w:val="0"/>
          <w:numId w:val="2"/>
        </w:numPr>
        <w:spacing w:after="120"/>
        <w:ind w:firstLine="624"/>
        <w:rPr>
          <w:color w:val="000000"/>
          <w:sz w:val="20"/>
        </w:rPr>
      </w:pPr>
      <w:r w:rsidRPr="00851B6C">
        <w:rPr>
          <w:i/>
          <w:color w:val="000000"/>
          <w:sz w:val="20"/>
        </w:rPr>
        <w:lastRenderedPageBreak/>
        <w:t xml:space="preserve">Requests </w:t>
      </w:r>
      <w:r w:rsidRPr="00851B6C">
        <w:rPr>
          <w:color w:val="000000"/>
          <w:sz w:val="20"/>
        </w:rPr>
        <w:t>the Secretariat:</w:t>
      </w:r>
    </w:p>
    <w:p w:rsidR="004F5952" w:rsidRPr="00851B6C" w:rsidRDefault="004F5952" w:rsidP="004F5952">
      <w:pPr>
        <w:tabs>
          <w:tab w:val="left" w:pos="624"/>
          <w:tab w:val="left" w:pos="1247"/>
          <w:tab w:val="left" w:pos="2410"/>
        </w:tabs>
        <w:spacing w:after="120"/>
        <w:ind w:left="1247" w:firstLine="596"/>
        <w:rPr>
          <w:color w:val="000000"/>
          <w:sz w:val="20"/>
        </w:rPr>
      </w:pPr>
      <w:r w:rsidRPr="00851B6C">
        <w:rPr>
          <w:color w:val="000000"/>
          <w:sz w:val="20"/>
        </w:rPr>
        <w:t>(a)</w:t>
      </w:r>
      <w:r w:rsidRPr="00851B6C">
        <w:rPr>
          <w:color w:val="000000"/>
          <w:sz w:val="20"/>
        </w:rPr>
        <w:tab/>
        <w:t>To continue to recommend concrete activities on synergies between the regional centres of the Basel and Stockholm conventions</w:t>
      </w:r>
      <w:r>
        <w:rPr>
          <w:color w:val="000000"/>
          <w:sz w:val="20"/>
        </w:rPr>
        <w:t xml:space="preserve"> and</w:t>
      </w:r>
      <w:r w:rsidRPr="00851B6C">
        <w:rPr>
          <w:color w:val="000000"/>
          <w:sz w:val="20"/>
        </w:rPr>
        <w:t xml:space="preserve"> the regional offices of the United Nations Environment Programme and the Food and Agriculture Organization of the United Nations and other related centres to the Conference of the Parties for possible decision; </w:t>
      </w:r>
      <w:r>
        <w:rPr>
          <w:color w:val="000000"/>
          <w:sz w:val="20"/>
        </w:rPr>
        <w:t xml:space="preserve"> </w:t>
      </w:r>
    </w:p>
    <w:p w:rsidR="004F5952" w:rsidRPr="00851B6C" w:rsidRDefault="004F5952" w:rsidP="004F5952">
      <w:pPr>
        <w:tabs>
          <w:tab w:val="left" w:pos="624"/>
          <w:tab w:val="left" w:pos="1247"/>
          <w:tab w:val="left" w:pos="2410"/>
        </w:tabs>
        <w:spacing w:after="120"/>
        <w:ind w:left="1247" w:firstLine="596"/>
        <w:rPr>
          <w:color w:val="000000"/>
          <w:sz w:val="20"/>
        </w:rPr>
      </w:pPr>
      <w:r w:rsidRPr="00851B6C">
        <w:rPr>
          <w:color w:val="000000"/>
          <w:sz w:val="20"/>
        </w:rPr>
        <w:t>(b)</w:t>
      </w:r>
      <w:r w:rsidRPr="00851B6C">
        <w:rPr>
          <w:color w:val="000000"/>
          <w:sz w:val="20"/>
        </w:rPr>
        <w:tab/>
        <w:t>To continue to foster a synergistic approach in its relations with the regional centres of the Basel and Stockholm conventions and the regional offices of the United Nations Environment Programme and the Food and Agriculture Organization of the United Nations and other related centres, while recognizing the specificities and mandate of each centre;</w:t>
      </w:r>
      <w:r>
        <w:rPr>
          <w:color w:val="000000"/>
          <w:sz w:val="20"/>
        </w:rPr>
        <w:t xml:space="preserve"> </w:t>
      </w:r>
    </w:p>
    <w:p w:rsidR="004F5952" w:rsidRPr="00851B6C" w:rsidRDefault="004F5952" w:rsidP="004F5952">
      <w:pPr>
        <w:tabs>
          <w:tab w:val="left" w:pos="624"/>
          <w:tab w:val="left" w:pos="1247"/>
          <w:tab w:val="left" w:pos="2410"/>
        </w:tabs>
        <w:spacing w:after="120"/>
        <w:ind w:left="1247" w:firstLine="596"/>
        <w:rPr>
          <w:color w:val="000000"/>
          <w:sz w:val="20"/>
        </w:rPr>
      </w:pPr>
      <w:r w:rsidRPr="00851B6C">
        <w:rPr>
          <w:color w:val="000000"/>
          <w:sz w:val="20"/>
        </w:rPr>
        <w:t>(c)</w:t>
      </w:r>
      <w:r w:rsidRPr="00851B6C">
        <w:rPr>
          <w:color w:val="000000"/>
          <w:sz w:val="20"/>
        </w:rPr>
        <w:tab/>
        <w:t xml:space="preserve">To continue to organize meetings every two years between the directors of regional centres and the Secretariat, including possible observers as appropriate, and if possible to consider additional meetings, subject to the availability of resources; </w:t>
      </w:r>
    </w:p>
    <w:p w:rsidR="004F5952" w:rsidRPr="00851B6C" w:rsidRDefault="004F5952" w:rsidP="004F5952">
      <w:pPr>
        <w:tabs>
          <w:tab w:val="left" w:pos="624"/>
          <w:tab w:val="left" w:pos="1247"/>
          <w:tab w:val="left" w:pos="2410"/>
        </w:tabs>
        <w:spacing w:after="120"/>
        <w:ind w:left="1247" w:firstLine="596"/>
        <w:rPr>
          <w:color w:val="000000"/>
          <w:sz w:val="20"/>
        </w:rPr>
      </w:pPr>
      <w:r w:rsidRPr="00851B6C">
        <w:rPr>
          <w:color w:val="000000"/>
          <w:sz w:val="20"/>
        </w:rPr>
        <w:t>(d)</w:t>
      </w:r>
      <w:r w:rsidRPr="00851B6C">
        <w:rPr>
          <w:color w:val="000000"/>
          <w:sz w:val="20"/>
        </w:rPr>
        <w:tab/>
        <w:t>To submit a report on progress</w:t>
      </w:r>
      <w:r>
        <w:rPr>
          <w:color w:val="000000"/>
          <w:sz w:val="20"/>
        </w:rPr>
        <w:t xml:space="preserve"> made</w:t>
      </w:r>
      <w:r w:rsidRPr="00851B6C">
        <w:rPr>
          <w:color w:val="000000"/>
          <w:sz w:val="20"/>
        </w:rPr>
        <w:t xml:space="preserve"> in the implementation of the present decision for consideration by the Conference of the Parties at its </w:t>
      </w:r>
      <w:r>
        <w:rPr>
          <w:color w:val="000000"/>
          <w:sz w:val="20"/>
        </w:rPr>
        <w:t>next</w:t>
      </w:r>
      <w:r w:rsidRPr="00851B6C">
        <w:rPr>
          <w:color w:val="000000"/>
          <w:sz w:val="20"/>
        </w:rPr>
        <w:t xml:space="preserve"> meeting. </w:t>
      </w:r>
    </w:p>
    <w:p w:rsidR="004F5952" w:rsidRPr="00851B6C" w:rsidRDefault="004F5952" w:rsidP="004F5952">
      <w:pPr>
        <w:widowControl w:val="0"/>
        <w:spacing w:after="120"/>
        <w:ind w:left="1276"/>
        <w:rPr>
          <w:rFonts w:eastAsia="Calibri"/>
          <w:b/>
          <w:bCs/>
          <w:sz w:val="28"/>
          <w:szCs w:val="22"/>
          <w:lang w:eastAsia="de-DE"/>
        </w:rPr>
      </w:pPr>
      <w:r w:rsidRPr="00851B6C">
        <w:rPr>
          <w:rFonts w:eastAsia="Calibri"/>
          <w:b/>
          <w:bCs/>
          <w:color w:val="000000"/>
          <w:sz w:val="28"/>
          <w:szCs w:val="22"/>
        </w:rPr>
        <w:br w:type="page"/>
      </w:r>
      <w:r w:rsidRPr="00851B6C">
        <w:rPr>
          <w:rFonts w:eastAsia="Calibri"/>
          <w:b/>
          <w:bCs/>
          <w:sz w:val="28"/>
          <w:szCs w:val="22"/>
          <w:lang w:eastAsia="de-DE"/>
        </w:rPr>
        <w:lastRenderedPageBreak/>
        <w:t>Annex to decision SC-7/17</w:t>
      </w:r>
    </w:p>
    <w:p w:rsidR="004F5952" w:rsidRPr="00851B6C" w:rsidRDefault="004F5952" w:rsidP="004F5952">
      <w:pPr>
        <w:widowControl w:val="0"/>
        <w:spacing w:after="120"/>
        <w:ind w:left="1276"/>
        <w:rPr>
          <w:bCs/>
          <w:sz w:val="28"/>
          <w:szCs w:val="26"/>
        </w:rPr>
      </w:pPr>
      <w:r w:rsidRPr="00851B6C">
        <w:rPr>
          <w:b/>
          <w:sz w:val="28"/>
          <w:szCs w:val="26"/>
        </w:rPr>
        <w:t xml:space="preserve">List of Stockholm Convention regional and </w:t>
      </w:r>
      <w:proofErr w:type="spellStart"/>
      <w:r w:rsidRPr="00851B6C">
        <w:rPr>
          <w:b/>
          <w:sz w:val="28"/>
          <w:szCs w:val="26"/>
        </w:rPr>
        <w:t>subregional</w:t>
      </w:r>
      <w:proofErr w:type="spellEnd"/>
      <w:r w:rsidRPr="00851B6C">
        <w:rPr>
          <w:b/>
          <w:sz w:val="28"/>
          <w:szCs w:val="26"/>
        </w:rPr>
        <w:t xml:space="preserve"> centres endorsed for an</w:t>
      </w:r>
      <w:r>
        <w:rPr>
          <w:b/>
          <w:sz w:val="28"/>
          <w:szCs w:val="26"/>
        </w:rPr>
        <w:t xml:space="preserve">other </w:t>
      </w:r>
      <w:r w:rsidRPr="00851B6C">
        <w:rPr>
          <w:b/>
          <w:sz w:val="28"/>
          <w:szCs w:val="26"/>
        </w:rPr>
        <w:t>four-year period by the Conference of the Parties at its seventh meeting</w:t>
      </w:r>
    </w:p>
    <w:tbl>
      <w:tblPr>
        <w:tblW w:w="8363" w:type="dxa"/>
        <w:tblInd w:w="1384" w:type="dxa"/>
        <w:tblBorders>
          <w:top w:val="single" w:sz="4" w:space="0" w:color="000000"/>
          <w:left w:val="single" w:sz="4" w:space="0" w:color="000000"/>
          <w:bottom w:val="single" w:sz="4" w:space="0" w:color="000000"/>
          <w:right w:val="single" w:sz="4" w:space="0" w:color="000000"/>
        </w:tblBorders>
        <w:tblLayout w:type="fixed"/>
        <w:tblLook w:val="0000"/>
      </w:tblPr>
      <w:tblGrid>
        <w:gridCol w:w="1418"/>
        <w:gridCol w:w="6945"/>
      </w:tblGrid>
      <w:tr w:rsidR="004F5952" w:rsidRPr="00851B6C" w:rsidTr="00D738FE">
        <w:trPr>
          <w:trHeight w:val="529"/>
        </w:trPr>
        <w:tc>
          <w:tcPr>
            <w:tcW w:w="1418" w:type="dxa"/>
            <w:tcBorders>
              <w:top w:val="single" w:sz="4" w:space="0" w:color="000000"/>
              <w:bottom w:val="single" w:sz="4" w:space="0" w:color="000000"/>
              <w:right w:val="single" w:sz="4" w:space="0" w:color="000000"/>
            </w:tcBorders>
            <w:vAlign w:val="bottom"/>
          </w:tcPr>
          <w:p w:rsidR="004F5952" w:rsidRPr="00851B6C" w:rsidRDefault="004F5952" w:rsidP="00D738FE">
            <w:pPr>
              <w:keepNext/>
              <w:keepLines/>
              <w:spacing w:before="40" w:after="40" w:line="276" w:lineRule="auto"/>
              <w:jc w:val="center"/>
              <w:rPr>
                <w:rFonts w:eastAsia="Calibri"/>
                <w:b/>
                <w:bCs/>
                <w:iCs/>
                <w:sz w:val="20"/>
                <w:lang w:val="fr-CH"/>
              </w:rPr>
            </w:pPr>
            <w:proofErr w:type="spellStart"/>
            <w:r w:rsidRPr="00851B6C">
              <w:rPr>
                <w:rFonts w:eastAsia="Calibri"/>
                <w:b/>
                <w:bCs/>
                <w:iCs/>
                <w:sz w:val="20"/>
                <w:lang w:val="fr-CH"/>
              </w:rPr>
              <w:t>Region</w:t>
            </w:r>
            <w:proofErr w:type="spellEnd"/>
          </w:p>
        </w:tc>
        <w:tc>
          <w:tcPr>
            <w:tcW w:w="6945" w:type="dxa"/>
            <w:tcBorders>
              <w:top w:val="single" w:sz="4" w:space="0" w:color="000000"/>
              <w:left w:val="single" w:sz="4" w:space="0" w:color="000000"/>
              <w:bottom w:val="single" w:sz="4" w:space="0" w:color="000000"/>
              <w:right w:val="single" w:sz="4" w:space="0" w:color="000000"/>
            </w:tcBorders>
            <w:vAlign w:val="bottom"/>
          </w:tcPr>
          <w:p w:rsidR="004F5952" w:rsidRPr="00851B6C" w:rsidRDefault="004F5952" w:rsidP="00D738FE">
            <w:pPr>
              <w:keepNext/>
              <w:keepLines/>
              <w:spacing w:before="40" w:after="40" w:line="276" w:lineRule="auto"/>
              <w:jc w:val="center"/>
              <w:rPr>
                <w:rFonts w:eastAsia="Calibri"/>
                <w:b/>
                <w:bCs/>
                <w:iCs/>
                <w:sz w:val="20"/>
                <w:lang w:val="fr-CH"/>
              </w:rPr>
            </w:pPr>
            <w:proofErr w:type="spellStart"/>
            <w:r w:rsidRPr="00851B6C">
              <w:rPr>
                <w:rFonts w:eastAsia="Calibri"/>
                <w:b/>
                <w:bCs/>
                <w:iCs/>
                <w:sz w:val="20"/>
                <w:lang w:val="fr-CH"/>
              </w:rPr>
              <w:t>Regional</w:t>
            </w:r>
            <w:proofErr w:type="spellEnd"/>
            <w:r w:rsidRPr="00851B6C">
              <w:rPr>
                <w:rFonts w:eastAsia="Calibri"/>
                <w:b/>
                <w:bCs/>
                <w:iCs/>
                <w:sz w:val="20"/>
                <w:lang w:val="fr-CH"/>
              </w:rPr>
              <w:t xml:space="preserve"> centres</w:t>
            </w:r>
          </w:p>
        </w:tc>
      </w:tr>
      <w:tr w:rsidR="004F5952" w:rsidRPr="00887EB1" w:rsidTr="00D738FE">
        <w:trPr>
          <w:trHeight w:val="275"/>
        </w:trPr>
        <w:tc>
          <w:tcPr>
            <w:tcW w:w="1418" w:type="dxa"/>
            <w:vMerge w:val="restart"/>
            <w:tcBorders>
              <w:top w:val="single" w:sz="4" w:space="0" w:color="000000"/>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lang w:val="fr-CH"/>
              </w:rPr>
            </w:pPr>
            <w:proofErr w:type="spellStart"/>
            <w:r w:rsidRPr="00851B6C">
              <w:rPr>
                <w:rFonts w:eastAsia="Calibri"/>
                <w:b/>
                <w:sz w:val="20"/>
                <w:lang w:val="fr-CH"/>
              </w:rPr>
              <w:t>Africa</w:t>
            </w:r>
            <w:proofErr w:type="spellEnd"/>
          </w:p>
        </w:tc>
        <w:tc>
          <w:tcPr>
            <w:tcW w:w="6945" w:type="dxa"/>
            <w:tcBorders>
              <w:top w:val="single" w:sz="4" w:space="0" w:color="000000"/>
              <w:left w:val="single" w:sz="4" w:space="0" w:color="000000"/>
              <w:bottom w:val="single" w:sz="4" w:space="0" w:color="auto"/>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sz w:val="20"/>
                <w:lang w:val="en-US"/>
              </w:rPr>
              <w:t xml:space="preserve">Stockholm Convention Regional Centre for Capacity-building and the Transfer of Technology, Algeria (SCRC Algeria) </w:t>
            </w:r>
          </w:p>
        </w:tc>
      </w:tr>
      <w:tr w:rsidR="004F5952" w:rsidRPr="00887EB1" w:rsidTr="00D738FE">
        <w:trPr>
          <w:trHeight w:val="338"/>
        </w:trPr>
        <w:tc>
          <w:tcPr>
            <w:tcW w:w="1418" w:type="dxa"/>
            <w:vMerge/>
            <w:tcBorders>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rPr>
            </w:pPr>
          </w:p>
        </w:tc>
        <w:tc>
          <w:tcPr>
            <w:tcW w:w="6945" w:type="dxa"/>
            <w:tcBorders>
              <w:top w:val="single" w:sz="4" w:space="0" w:color="auto"/>
              <w:left w:val="single" w:sz="4" w:space="0" w:color="000000"/>
              <w:bottom w:val="single" w:sz="4" w:space="0" w:color="auto"/>
              <w:right w:val="single" w:sz="4" w:space="0" w:color="000000"/>
            </w:tcBorders>
            <w:vAlign w:val="center"/>
          </w:tcPr>
          <w:p w:rsidR="004F5952" w:rsidRPr="00851B6C" w:rsidRDefault="004F5952" w:rsidP="00D738FE">
            <w:pPr>
              <w:keepNext/>
              <w:keepLines/>
              <w:spacing w:before="120" w:after="120"/>
              <w:rPr>
                <w:rFonts w:eastAsia="Calibri"/>
                <w:bCs/>
                <w:sz w:val="20"/>
              </w:rPr>
            </w:pPr>
            <w:r w:rsidRPr="00851B6C">
              <w:rPr>
                <w:rFonts w:eastAsia="Calibri"/>
                <w:sz w:val="20"/>
                <w:lang w:val="en-US"/>
              </w:rPr>
              <w:t xml:space="preserve">Stockholm Convention Regional Centre for Capacity-building and the Transfer of Technology, Kenya (SCRC Kenya) </w:t>
            </w:r>
          </w:p>
        </w:tc>
      </w:tr>
      <w:tr w:rsidR="004F5952" w:rsidRPr="00887EB1" w:rsidTr="00D738FE">
        <w:trPr>
          <w:trHeight w:val="250"/>
        </w:trPr>
        <w:tc>
          <w:tcPr>
            <w:tcW w:w="1418" w:type="dxa"/>
            <w:vMerge/>
            <w:tcBorders>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rPr>
            </w:pPr>
          </w:p>
        </w:tc>
        <w:tc>
          <w:tcPr>
            <w:tcW w:w="6945" w:type="dxa"/>
            <w:tcBorders>
              <w:top w:val="single" w:sz="4" w:space="0" w:color="auto"/>
              <w:left w:val="single" w:sz="4" w:space="0" w:color="000000"/>
              <w:bottom w:val="single" w:sz="4" w:space="0" w:color="auto"/>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sz w:val="20"/>
                <w:lang w:val="en-US"/>
              </w:rPr>
              <w:t xml:space="preserve">Stockholm Convention Regional Centre for Capacity-building and the Transfer of Technology, Senegal (SCRC Senegal) </w:t>
            </w:r>
          </w:p>
        </w:tc>
      </w:tr>
      <w:tr w:rsidR="004F5952" w:rsidRPr="00887EB1" w:rsidTr="00D738FE">
        <w:trPr>
          <w:trHeight w:val="534"/>
        </w:trPr>
        <w:tc>
          <w:tcPr>
            <w:tcW w:w="1418" w:type="dxa"/>
            <w:vMerge/>
            <w:tcBorders>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rPr>
            </w:pPr>
          </w:p>
        </w:tc>
        <w:tc>
          <w:tcPr>
            <w:tcW w:w="6945" w:type="dxa"/>
            <w:tcBorders>
              <w:top w:val="single" w:sz="4" w:space="0" w:color="auto"/>
              <w:left w:val="single" w:sz="4" w:space="0" w:color="000000"/>
              <w:bottom w:val="single" w:sz="4" w:space="0" w:color="000000"/>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sz w:val="20"/>
                <w:lang w:val="en-US"/>
              </w:rPr>
              <w:t>Stockholm Convention Regional Centre for Capacity-building and the Transfer of Technology, South Africa (SCRC South Africa)</w:t>
            </w:r>
          </w:p>
        </w:tc>
      </w:tr>
      <w:tr w:rsidR="004F5952" w:rsidRPr="00887EB1" w:rsidTr="00D738FE">
        <w:tc>
          <w:tcPr>
            <w:tcW w:w="1418" w:type="dxa"/>
            <w:vMerge w:val="restart"/>
            <w:tcBorders>
              <w:top w:val="single" w:sz="4" w:space="0" w:color="000000"/>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lang w:val="fr-CH"/>
              </w:rPr>
            </w:pPr>
            <w:proofErr w:type="spellStart"/>
            <w:r w:rsidRPr="00851B6C">
              <w:rPr>
                <w:rFonts w:eastAsia="Calibri"/>
                <w:b/>
                <w:sz w:val="20"/>
                <w:lang w:val="fr-CH"/>
              </w:rPr>
              <w:t>Asia</w:t>
            </w:r>
            <w:proofErr w:type="spellEnd"/>
            <w:r w:rsidRPr="00851B6C">
              <w:rPr>
                <w:rFonts w:eastAsia="Calibri"/>
                <w:b/>
                <w:sz w:val="20"/>
                <w:lang w:val="fr-CH"/>
              </w:rPr>
              <w:t xml:space="preserve"> and the Pacific</w:t>
            </w: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color w:val="000000"/>
                <w:sz w:val="20"/>
              </w:rPr>
              <w:t xml:space="preserve">Stockholm Convention Regional Centre for Capacity-building and the Transfer of Technology, China (SCRC China) </w:t>
            </w:r>
          </w:p>
        </w:tc>
      </w:tr>
      <w:tr w:rsidR="004F5952" w:rsidRPr="00887EB1" w:rsidTr="00D738FE">
        <w:tc>
          <w:tcPr>
            <w:tcW w:w="1418" w:type="dxa"/>
            <w:vMerge/>
            <w:tcBorders>
              <w:top w:val="single" w:sz="4" w:space="0" w:color="000000"/>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rPr>
            </w:pP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color w:val="000000"/>
                <w:sz w:val="20"/>
              </w:rPr>
              <w:t>Stockholm Convention Regional Centre for Capacity-building and the Transfer of Technology, India (SCRC India)</w:t>
            </w:r>
          </w:p>
        </w:tc>
      </w:tr>
      <w:tr w:rsidR="004F5952" w:rsidRPr="00887EB1" w:rsidTr="00D738FE">
        <w:tc>
          <w:tcPr>
            <w:tcW w:w="1418" w:type="dxa"/>
            <w:vMerge/>
            <w:tcBorders>
              <w:top w:val="single" w:sz="4" w:space="0" w:color="000000"/>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rPr>
            </w:pP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color w:val="000000"/>
                <w:sz w:val="20"/>
              </w:rPr>
              <w:t>Stockholm Convention Regional Centre for Capacity-building and the Transfer of Technology, Indonesia (SCRC Indonesia)</w:t>
            </w:r>
          </w:p>
        </w:tc>
      </w:tr>
      <w:tr w:rsidR="004F5952" w:rsidRPr="00887EB1" w:rsidTr="00D738FE">
        <w:tc>
          <w:tcPr>
            <w:tcW w:w="1418" w:type="dxa"/>
            <w:vMerge/>
            <w:tcBorders>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rPr>
            </w:pP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color w:val="000000"/>
                <w:sz w:val="20"/>
              </w:rPr>
              <w:t>Stockholm Convention Regional Centre for Capacity-building and the Transfer of Technology, Islamic Republic of Iran (SCRC Iran)</w:t>
            </w:r>
          </w:p>
        </w:tc>
      </w:tr>
      <w:tr w:rsidR="004F5952" w:rsidRPr="00887EB1" w:rsidTr="00D738FE">
        <w:trPr>
          <w:trHeight w:val="516"/>
        </w:trPr>
        <w:tc>
          <w:tcPr>
            <w:tcW w:w="1418" w:type="dxa"/>
            <w:vMerge/>
            <w:tcBorders>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rPr>
            </w:pP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color w:val="000000"/>
                <w:sz w:val="20"/>
              </w:rPr>
              <w:t>Stockholm Convention Regional Centre for Capacity-building and the Transfer of Technology, Kuwait (SCRC Kuwait)</w:t>
            </w:r>
          </w:p>
        </w:tc>
      </w:tr>
      <w:tr w:rsidR="004F5952" w:rsidRPr="00887EB1" w:rsidTr="00D738FE">
        <w:trPr>
          <w:cantSplit/>
          <w:trHeight w:val="626"/>
        </w:trPr>
        <w:tc>
          <w:tcPr>
            <w:tcW w:w="1418" w:type="dxa"/>
            <w:vMerge w:val="restart"/>
            <w:tcBorders>
              <w:top w:val="single" w:sz="4" w:space="0" w:color="000000"/>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lang w:val="fr-CH"/>
              </w:rPr>
            </w:pPr>
            <w:r w:rsidRPr="00851B6C">
              <w:rPr>
                <w:rFonts w:eastAsia="Calibri"/>
                <w:b/>
                <w:sz w:val="20"/>
                <w:lang w:val="fr-CH"/>
              </w:rPr>
              <w:t xml:space="preserve">Central and </w:t>
            </w:r>
            <w:proofErr w:type="spellStart"/>
            <w:r w:rsidRPr="00851B6C">
              <w:rPr>
                <w:rFonts w:eastAsia="Calibri"/>
                <w:b/>
                <w:sz w:val="20"/>
                <w:lang w:val="fr-CH"/>
              </w:rPr>
              <w:t>Eastern</w:t>
            </w:r>
            <w:proofErr w:type="spellEnd"/>
            <w:r w:rsidRPr="00851B6C">
              <w:rPr>
                <w:rFonts w:eastAsia="Calibri"/>
                <w:b/>
                <w:sz w:val="20"/>
                <w:lang w:val="fr-CH"/>
              </w:rPr>
              <w:t xml:space="preserve"> Europe</w:t>
            </w: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color w:val="000000"/>
                <w:sz w:val="20"/>
              </w:rPr>
              <w:t>Stockholm Convention Regional Centre for Capacity-building and the Transfer of Technology, Czech Republic (SCRC Czech Republic)</w:t>
            </w:r>
          </w:p>
        </w:tc>
      </w:tr>
      <w:tr w:rsidR="004F5952" w:rsidRPr="00887EB1" w:rsidTr="00D738FE">
        <w:trPr>
          <w:cantSplit/>
          <w:trHeight w:val="453"/>
        </w:trPr>
        <w:tc>
          <w:tcPr>
            <w:tcW w:w="1418" w:type="dxa"/>
            <w:vMerge/>
            <w:tcBorders>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rPr>
            </w:pP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sz w:val="20"/>
                <w:lang w:val="en-US"/>
              </w:rPr>
              <w:t>Stockholm Convention Regional Centre for Capacity-building and the Transfer of Technology, Russian Federation (SCRC Russian Federation)</w:t>
            </w:r>
          </w:p>
        </w:tc>
      </w:tr>
      <w:tr w:rsidR="004F5952" w:rsidRPr="00887EB1" w:rsidTr="00D738FE">
        <w:tc>
          <w:tcPr>
            <w:tcW w:w="1418" w:type="dxa"/>
            <w:vMerge w:val="restart"/>
            <w:tcBorders>
              <w:top w:val="single" w:sz="4" w:space="0" w:color="000000"/>
              <w:bottom w:val="single" w:sz="4" w:space="0" w:color="000000"/>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rPr>
            </w:pPr>
            <w:r w:rsidRPr="00851B6C">
              <w:rPr>
                <w:rFonts w:eastAsia="Calibri"/>
                <w:b/>
                <w:sz w:val="20"/>
              </w:rPr>
              <w:t>Latin America and the Caribbean</w:t>
            </w: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keepNext/>
              <w:keepLines/>
              <w:spacing w:before="120" w:after="120"/>
              <w:rPr>
                <w:rFonts w:eastAsia="Calibri"/>
                <w:color w:val="000000"/>
                <w:sz w:val="20"/>
                <w:lang w:val="en-US"/>
              </w:rPr>
            </w:pPr>
            <w:r w:rsidRPr="00851B6C">
              <w:rPr>
                <w:rFonts w:eastAsia="Calibri"/>
                <w:sz w:val="20"/>
                <w:lang w:val="en-US"/>
              </w:rPr>
              <w:t>Stockholm Convention Regional Centre for Capacity-building and the Transfer of Technology, Brazil (SCRC Brazil)</w:t>
            </w:r>
          </w:p>
        </w:tc>
      </w:tr>
      <w:tr w:rsidR="004F5952" w:rsidRPr="00887EB1" w:rsidTr="00D738FE">
        <w:trPr>
          <w:trHeight w:val="295"/>
        </w:trPr>
        <w:tc>
          <w:tcPr>
            <w:tcW w:w="1418" w:type="dxa"/>
            <w:vMerge/>
            <w:tcBorders>
              <w:top w:val="single" w:sz="4" w:space="0" w:color="000000"/>
              <w:bottom w:val="single" w:sz="4" w:space="0" w:color="000000"/>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lang w:val="en-US"/>
              </w:rPr>
            </w:pP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keepNext/>
              <w:keepLines/>
              <w:spacing w:before="120" w:after="120"/>
              <w:rPr>
                <w:rFonts w:eastAsia="Calibri"/>
                <w:color w:val="000000"/>
                <w:sz w:val="20"/>
              </w:rPr>
            </w:pPr>
            <w:r w:rsidRPr="00851B6C">
              <w:rPr>
                <w:rFonts w:eastAsia="Calibri"/>
                <w:sz w:val="20"/>
                <w:lang w:val="en-US"/>
              </w:rPr>
              <w:t>Stockholm Convention Regional Centre for Capacity-building and the Transfer of Technology, Mexico (SCRC Mexico)</w:t>
            </w:r>
          </w:p>
        </w:tc>
      </w:tr>
      <w:tr w:rsidR="004F5952" w:rsidRPr="00887EB1" w:rsidTr="00D738FE">
        <w:tc>
          <w:tcPr>
            <w:tcW w:w="1418" w:type="dxa"/>
            <w:vMerge/>
            <w:tcBorders>
              <w:top w:val="single" w:sz="4" w:space="0" w:color="000000"/>
              <w:bottom w:val="single" w:sz="4" w:space="0" w:color="000000"/>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lang w:val="en-US"/>
              </w:rPr>
            </w:pP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spacing w:before="120" w:after="120"/>
              <w:rPr>
                <w:rFonts w:eastAsia="Calibri"/>
                <w:color w:val="000000"/>
                <w:sz w:val="20"/>
              </w:rPr>
            </w:pPr>
            <w:r w:rsidRPr="00851B6C">
              <w:rPr>
                <w:rFonts w:eastAsia="Calibri"/>
                <w:sz w:val="20"/>
                <w:lang w:val="en-US"/>
              </w:rPr>
              <w:t>Stockholm Convention Regional Centre for Capacity-building and the Transfer of Technology, Panama (SCRC Panama)</w:t>
            </w:r>
          </w:p>
        </w:tc>
      </w:tr>
      <w:tr w:rsidR="004F5952" w:rsidRPr="00887EB1" w:rsidTr="00D738FE">
        <w:trPr>
          <w:trHeight w:val="465"/>
        </w:trPr>
        <w:tc>
          <w:tcPr>
            <w:tcW w:w="1418" w:type="dxa"/>
            <w:vMerge/>
            <w:tcBorders>
              <w:top w:val="single" w:sz="4" w:space="0" w:color="000000"/>
              <w:bottom w:val="single" w:sz="4" w:space="0" w:color="000000"/>
              <w:right w:val="single" w:sz="4" w:space="0" w:color="000000"/>
            </w:tcBorders>
            <w:textDirection w:val="btLr"/>
            <w:vAlign w:val="center"/>
          </w:tcPr>
          <w:p w:rsidR="004F5952" w:rsidRPr="00851B6C" w:rsidRDefault="004F5952" w:rsidP="00D738FE">
            <w:pPr>
              <w:keepLines/>
              <w:spacing w:after="200" w:line="276" w:lineRule="auto"/>
              <w:ind w:left="113" w:right="113"/>
              <w:jc w:val="center"/>
              <w:rPr>
                <w:rFonts w:eastAsia="Calibri"/>
                <w:b/>
                <w:sz w:val="20"/>
                <w:lang w:val="en-US"/>
              </w:rPr>
            </w:pPr>
          </w:p>
        </w:tc>
        <w:tc>
          <w:tcPr>
            <w:tcW w:w="6945" w:type="dxa"/>
            <w:tcBorders>
              <w:top w:val="single" w:sz="4" w:space="0" w:color="000000"/>
              <w:left w:val="single" w:sz="4" w:space="0" w:color="000000"/>
              <w:bottom w:val="single" w:sz="4" w:space="0" w:color="000000"/>
              <w:right w:val="single" w:sz="4" w:space="0" w:color="000000"/>
            </w:tcBorders>
            <w:vAlign w:val="center"/>
          </w:tcPr>
          <w:p w:rsidR="004F5952" w:rsidRPr="00851B6C" w:rsidRDefault="004F5952" w:rsidP="00D738FE">
            <w:pPr>
              <w:spacing w:before="120" w:after="120"/>
              <w:rPr>
                <w:rFonts w:eastAsia="Calibri"/>
                <w:color w:val="000000"/>
                <w:sz w:val="20"/>
              </w:rPr>
            </w:pPr>
            <w:r w:rsidRPr="00851B6C">
              <w:rPr>
                <w:rFonts w:eastAsia="Calibri"/>
                <w:color w:val="000000"/>
                <w:sz w:val="20"/>
              </w:rPr>
              <w:t>Stockholm Convention Regional Centre for Capacity-building and Transfer of Technology, Uruguay (SCRC Uruguay)</w:t>
            </w:r>
          </w:p>
        </w:tc>
      </w:tr>
      <w:tr w:rsidR="004F5952" w:rsidRPr="00887EB1" w:rsidTr="00D738FE">
        <w:trPr>
          <w:cantSplit/>
          <w:trHeight w:val="985"/>
        </w:trPr>
        <w:tc>
          <w:tcPr>
            <w:tcW w:w="1418" w:type="dxa"/>
            <w:tcBorders>
              <w:top w:val="single" w:sz="4" w:space="0" w:color="000000"/>
              <w:bottom w:val="single" w:sz="4" w:space="0" w:color="000000"/>
              <w:right w:val="single" w:sz="4" w:space="0" w:color="000000"/>
            </w:tcBorders>
            <w:textDirection w:val="btLr"/>
            <w:vAlign w:val="center"/>
          </w:tcPr>
          <w:p w:rsidR="004F5952" w:rsidRPr="00851B6C" w:rsidRDefault="004F5952" w:rsidP="00D738FE">
            <w:pPr>
              <w:keepNext/>
              <w:keepLines/>
              <w:spacing w:after="200" w:line="276" w:lineRule="auto"/>
              <w:ind w:left="113" w:right="113"/>
              <w:jc w:val="center"/>
              <w:rPr>
                <w:rFonts w:eastAsia="Calibri"/>
                <w:b/>
                <w:sz w:val="20"/>
                <w:lang w:val="fr-CH"/>
              </w:rPr>
            </w:pPr>
            <w:r w:rsidRPr="00757382">
              <w:rPr>
                <w:rFonts w:eastAsia="Calibri"/>
                <w:b/>
                <w:sz w:val="20"/>
                <w:lang w:val="fr-CH"/>
              </w:rPr>
              <w:t xml:space="preserve">Western Europe and </w:t>
            </w:r>
            <w:proofErr w:type="spellStart"/>
            <w:r w:rsidRPr="00757382">
              <w:rPr>
                <w:rFonts w:eastAsia="Calibri"/>
                <w:b/>
                <w:sz w:val="20"/>
                <w:lang w:val="fr-CH"/>
              </w:rPr>
              <w:t>others</w:t>
            </w:r>
            <w:proofErr w:type="spellEnd"/>
          </w:p>
        </w:tc>
        <w:tc>
          <w:tcPr>
            <w:tcW w:w="6945" w:type="dxa"/>
            <w:tcBorders>
              <w:top w:val="single" w:sz="4" w:space="0" w:color="000000"/>
              <w:left w:val="single" w:sz="4" w:space="0" w:color="000000"/>
              <w:bottom w:val="single" w:sz="4" w:space="0" w:color="000000"/>
              <w:right w:val="single" w:sz="4" w:space="0" w:color="000000"/>
            </w:tcBorders>
          </w:tcPr>
          <w:p w:rsidR="004F5952" w:rsidRPr="00851B6C" w:rsidRDefault="004F5952" w:rsidP="00D738FE">
            <w:pPr>
              <w:spacing w:before="120" w:after="120"/>
              <w:rPr>
                <w:rFonts w:eastAsia="Calibri"/>
                <w:color w:val="000000"/>
                <w:sz w:val="20"/>
              </w:rPr>
            </w:pPr>
            <w:r w:rsidRPr="00851B6C">
              <w:rPr>
                <w:rFonts w:eastAsia="Calibri"/>
                <w:sz w:val="20"/>
                <w:lang w:val="en-US"/>
              </w:rPr>
              <w:t>Stockholm Convention Regional Centre for Capacity-building and the Transfer of Technology, Spain (SCRC Spain)</w:t>
            </w:r>
          </w:p>
        </w:tc>
      </w:tr>
    </w:tbl>
    <w:p w:rsidR="000B18ED" w:rsidRDefault="000B18ED"/>
    <w:sectPr w:rsidR="000B18ED" w:rsidSect="004F5952">
      <w:pgSz w:w="11906" w:h="16838"/>
      <w:pgMar w:top="1134" w:right="1440"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3C6" w:rsidRDefault="003413C6" w:rsidP="004F5952">
      <w:r>
        <w:separator/>
      </w:r>
    </w:p>
  </w:endnote>
  <w:endnote w:type="continuationSeparator" w:id="0">
    <w:p w:rsidR="003413C6" w:rsidRDefault="003413C6" w:rsidP="004F59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3C6" w:rsidRDefault="003413C6" w:rsidP="004F5952">
      <w:r>
        <w:separator/>
      </w:r>
    </w:p>
  </w:footnote>
  <w:footnote w:type="continuationSeparator" w:id="0">
    <w:p w:rsidR="003413C6" w:rsidRDefault="003413C6" w:rsidP="004F5952">
      <w:r>
        <w:continuationSeparator/>
      </w:r>
    </w:p>
  </w:footnote>
  <w:footnote w:id="1">
    <w:p w:rsidR="004F5952" w:rsidRPr="00A40600" w:rsidRDefault="004F5952" w:rsidP="004F5952">
      <w:pPr>
        <w:pStyle w:val="FootnoteText"/>
        <w:rPr>
          <w:szCs w:val="18"/>
          <w:lang w:val="en-US"/>
        </w:rPr>
      </w:pPr>
      <w:r w:rsidRPr="00D06358">
        <w:rPr>
          <w:rStyle w:val="FootnoteReference"/>
        </w:rPr>
        <w:footnoteRef/>
      </w:r>
      <w:r w:rsidRPr="00A40600">
        <w:rPr>
          <w:szCs w:val="18"/>
          <w:lang w:val="en-US"/>
        </w:rPr>
        <w:t xml:space="preserve"> Decisions BC.Ex-2/1, RC.Ex-2/1 and SC.Ex-2/1, annex I.</w:t>
      </w:r>
    </w:p>
  </w:footnote>
  <w:footnote w:id="2">
    <w:p w:rsidR="004F5952" w:rsidRPr="00A40600" w:rsidRDefault="004F5952" w:rsidP="004F5952">
      <w:pPr>
        <w:pStyle w:val="FootnoteText"/>
        <w:rPr>
          <w:szCs w:val="18"/>
          <w:lang w:val="en-US"/>
        </w:rPr>
      </w:pPr>
      <w:r w:rsidRPr="00D06358">
        <w:rPr>
          <w:rStyle w:val="FootnoteReference"/>
        </w:rPr>
        <w:footnoteRef/>
      </w:r>
      <w:r w:rsidRPr="008A51CB">
        <w:rPr>
          <w:rStyle w:val="FootnoteReference"/>
          <w:lang w:val="en-GB"/>
        </w:rPr>
        <w:t xml:space="preserve"> </w:t>
      </w:r>
      <w:r w:rsidRPr="00A40600">
        <w:rPr>
          <w:szCs w:val="18"/>
          <w:lang w:val="en-US"/>
        </w:rPr>
        <w:t>UNEP/POPS/COP.7/11.</w:t>
      </w:r>
    </w:p>
  </w:footnote>
  <w:footnote w:id="3">
    <w:p w:rsidR="004F5952" w:rsidRPr="00A40600" w:rsidRDefault="004F5952" w:rsidP="004F5952">
      <w:pPr>
        <w:pStyle w:val="FootnoteText"/>
        <w:rPr>
          <w:szCs w:val="18"/>
          <w:lang w:val="en-GB"/>
        </w:rPr>
      </w:pPr>
      <w:r w:rsidRPr="00D06358">
        <w:rPr>
          <w:rStyle w:val="FootnoteReference"/>
        </w:rPr>
        <w:footnoteRef/>
      </w:r>
      <w:r w:rsidRPr="00A40600">
        <w:rPr>
          <w:szCs w:val="18"/>
          <w:lang w:val="en-GB"/>
        </w:rPr>
        <w:t xml:space="preserve"> </w:t>
      </w:r>
      <w:proofErr w:type="gramStart"/>
      <w:r w:rsidRPr="00A40600">
        <w:rPr>
          <w:szCs w:val="18"/>
          <w:lang w:val="en-GB"/>
        </w:rPr>
        <w:t xml:space="preserve">Available at </w:t>
      </w:r>
      <w:hyperlink r:id="rId1" w:history="1">
        <w:r w:rsidRPr="00A40600">
          <w:rPr>
            <w:rStyle w:val="Hyperlink"/>
            <w:szCs w:val="18"/>
            <w:lang w:val="en-GB"/>
          </w:rPr>
          <w:t>http://chm.pops.int/Partners/RegionalCentres/Workplans/tabid/482/Default.aspx</w:t>
        </w:r>
      </w:hyperlink>
      <w:r w:rsidRPr="00A40600">
        <w:rPr>
          <w:szCs w:val="18"/>
          <w:lang w:val="en-GB"/>
        </w:rPr>
        <w:t>.</w:t>
      </w:r>
      <w:proofErr w:type="gramEnd"/>
      <w:r w:rsidRPr="00A40600">
        <w:rPr>
          <w:szCs w:val="18"/>
          <w:lang w:val="en-GB"/>
        </w:rPr>
        <w:t xml:space="preserve"> </w:t>
      </w:r>
    </w:p>
  </w:footnote>
  <w:footnote w:id="4">
    <w:p w:rsidR="004F5952" w:rsidRPr="00A40600" w:rsidRDefault="004F5952" w:rsidP="004F5952">
      <w:pPr>
        <w:pStyle w:val="FootnoteText"/>
        <w:rPr>
          <w:szCs w:val="18"/>
          <w:lang w:val="en-GB"/>
        </w:rPr>
      </w:pPr>
      <w:r w:rsidRPr="00D06358">
        <w:rPr>
          <w:rStyle w:val="FootnoteReference"/>
        </w:rPr>
        <w:footnoteRef/>
      </w:r>
      <w:r w:rsidRPr="00A40600">
        <w:rPr>
          <w:szCs w:val="18"/>
          <w:lang w:val="en-GB"/>
        </w:rPr>
        <w:t xml:space="preserve"> </w:t>
      </w:r>
      <w:proofErr w:type="gramStart"/>
      <w:r w:rsidRPr="00A40600">
        <w:rPr>
          <w:szCs w:val="18"/>
          <w:lang w:val="en-GB"/>
        </w:rPr>
        <w:t xml:space="preserve">Available at </w:t>
      </w:r>
      <w:hyperlink r:id="rId2" w:history="1">
        <w:r w:rsidRPr="00A40600">
          <w:rPr>
            <w:rStyle w:val="Hyperlink"/>
            <w:szCs w:val="18"/>
            <w:lang w:val="en-GB"/>
          </w:rPr>
          <w:t>http://chm.pops.int/Partners/RegionalCentres/ActivitiesReport/tabid/4112/Default.aspx</w:t>
        </w:r>
      </w:hyperlink>
      <w:r w:rsidRPr="00A40600">
        <w:rPr>
          <w:szCs w:val="18"/>
          <w:lang w:val="en-GB"/>
        </w:rPr>
        <w:t>.</w:t>
      </w:r>
      <w:proofErr w:type="gramEnd"/>
    </w:p>
  </w:footnote>
  <w:footnote w:id="5">
    <w:p w:rsidR="004F5952" w:rsidRPr="00A40600" w:rsidRDefault="004F5952" w:rsidP="004F5952">
      <w:pPr>
        <w:pStyle w:val="FootnoteText"/>
        <w:rPr>
          <w:szCs w:val="18"/>
          <w:lang w:val="en-GB"/>
        </w:rPr>
      </w:pPr>
      <w:r w:rsidRPr="00D06358">
        <w:rPr>
          <w:rStyle w:val="FootnoteReference"/>
        </w:rPr>
        <w:footnoteRef/>
      </w:r>
      <w:r w:rsidRPr="00A40600">
        <w:rPr>
          <w:szCs w:val="18"/>
          <w:lang w:val="en-GB"/>
        </w:rPr>
        <w:t xml:space="preserve"> See UNEP/CHW.12/INF/21-UNEP/POPS/COP.7/INF/13.</w:t>
      </w:r>
    </w:p>
  </w:footnote>
  <w:footnote w:id="6">
    <w:p w:rsidR="004F5952" w:rsidRPr="00A40600" w:rsidRDefault="004F5952" w:rsidP="004F5952">
      <w:pPr>
        <w:pStyle w:val="FootnoteText"/>
        <w:rPr>
          <w:szCs w:val="18"/>
          <w:lang w:val="en-GB"/>
        </w:rPr>
      </w:pPr>
      <w:r w:rsidRPr="00D06358">
        <w:rPr>
          <w:rStyle w:val="FootnoteReference"/>
        </w:rPr>
        <w:footnoteRef/>
      </w:r>
      <w:r w:rsidRPr="008A51CB">
        <w:rPr>
          <w:rStyle w:val="FootnoteReference"/>
          <w:lang w:val="en-GB"/>
        </w:rPr>
        <w:t xml:space="preserve"> </w:t>
      </w:r>
      <w:r w:rsidRPr="00A40600">
        <w:rPr>
          <w:szCs w:val="18"/>
          <w:lang w:val="en-GB"/>
        </w:rPr>
        <w:t>UNEP/ POPS/COP.7/11, annex II.</w:t>
      </w:r>
    </w:p>
  </w:footnote>
  <w:footnote w:id="7">
    <w:p w:rsidR="004F5952" w:rsidRPr="00A40600" w:rsidRDefault="004F5952" w:rsidP="004F5952">
      <w:pPr>
        <w:pStyle w:val="FootnoteText"/>
        <w:rPr>
          <w:szCs w:val="18"/>
          <w:lang w:val="en-GB"/>
        </w:rPr>
      </w:pPr>
      <w:r w:rsidRPr="00D06358">
        <w:rPr>
          <w:rStyle w:val="FootnoteReference"/>
        </w:rPr>
        <w:footnoteRef/>
      </w:r>
      <w:r w:rsidRPr="00A40600">
        <w:rPr>
          <w:szCs w:val="18"/>
          <w:lang w:val="en-GB"/>
        </w:rPr>
        <w:t xml:space="preserve"> See UNEP/CHW.12/INF/20-UNEP/POPS/COP.7/INF/14.</w:t>
      </w:r>
    </w:p>
  </w:footnote>
  <w:footnote w:id="8">
    <w:p w:rsidR="004F5952" w:rsidRPr="00A40600" w:rsidRDefault="004F5952" w:rsidP="004F5952">
      <w:pPr>
        <w:pStyle w:val="FootnoteText"/>
        <w:rPr>
          <w:szCs w:val="18"/>
          <w:lang w:val="en-GB"/>
        </w:rPr>
      </w:pPr>
      <w:r w:rsidRPr="00D06358">
        <w:rPr>
          <w:rStyle w:val="FootnoteReference"/>
        </w:rPr>
        <w:footnoteRef/>
      </w:r>
      <w:r w:rsidRPr="00A40600">
        <w:rPr>
          <w:szCs w:val="18"/>
          <w:lang w:val="en-GB"/>
        </w:rPr>
        <w:t xml:space="preserve"> </w:t>
      </w:r>
      <w:proofErr w:type="gramStart"/>
      <w:r w:rsidRPr="00A40600">
        <w:rPr>
          <w:szCs w:val="18"/>
          <w:lang w:val="en-GB"/>
        </w:rPr>
        <w:t>Decisions SC-4/23, SC-5/21 and SC-6/16.</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113A7"/>
    <w:multiLevelType w:val="multilevel"/>
    <w:tmpl w:val="6C32478A"/>
    <w:styleLink w:val="Normallist4"/>
    <w:lvl w:ilvl="0">
      <w:start w:val="1"/>
      <w:numFmt w:val="decimal"/>
      <w:lvlText w:val="%1."/>
      <w:lvlJc w:val="left"/>
      <w:pPr>
        <w:tabs>
          <w:tab w:val="num" w:pos="567"/>
        </w:tabs>
        <w:ind w:left="1247"/>
      </w:pPr>
      <w:rPr>
        <w:rFonts w:cs="Times New Roman" w:hint="default"/>
      </w:rPr>
    </w:lvl>
    <w:lvl w:ilvl="1">
      <w:start w:val="1"/>
      <w:numFmt w:val="lowerLetter"/>
      <w:lvlText w:val="(%2)"/>
      <w:lvlJc w:val="left"/>
      <w:pPr>
        <w:tabs>
          <w:tab w:val="num" w:pos="567"/>
        </w:tabs>
        <w:ind w:left="1247" w:firstLine="567"/>
      </w:pPr>
      <w:rPr>
        <w:rFonts w:cs="Times New Roman" w:hint="default"/>
      </w:rPr>
    </w:lvl>
    <w:lvl w:ilvl="2">
      <w:start w:val="1"/>
      <w:numFmt w:val="lowerRoman"/>
      <w:lvlText w:val="(%3)"/>
      <w:lvlJc w:val="left"/>
      <w:pPr>
        <w:tabs>
          <w:tab w:val="num" w:pos="567"/>
        </w:tabs>
        <w:ind w:left="2948" w:hanging="567"/>
      </w:pPr>
      <w:rPr>
        <w:rFonts w:cs="Times New Roman" w:hint="default"/>
      </w:rPr>
    </w:lvl>
    <w:lvl w:ilvl="3">
      <w:start w:val="1"/>
      <w:numFmt w:val="lowerLetter"/>
      <w:lvlText w:val="%4."/>
      <w:lvlJc w:val="left"/>
      <w:pPr>
        <w:tabs>
          <w:tab w:val="num" w:pos="567"/>
        </w:tabs>
        <w:ind w:left="3515" w:hanging="567"/>
      </w:pPr>
      <w:rPr>
        <w:rFonts w:cs="Times New Roman" w:hint="default"/>
      </w:rPr>
    </w:lvl>
    <w:lvl w:ilvl="4">
      <w:start w:val="1"/>
      <w:numFmt w:val="lowerLetter"/>
      <w:lvlText w:val="%5."/>
      <w:lvlJc w:val="left"/>
      <w:pPr>
        <w:tabs>
          <w:tab w:val="num" w:pos="6548"/>
        </w:tabs>
        <w:ind w:left="6548" w:hanging="360"/>
      </w:pPr>
      <w:rPr>
        <w:rFonts w:cs="Times New Roman" w:hint="default"/>
      </w:rPr>
    </w:lvl>
    <w:lvl w:ilvl="5">
      <w:start w:val="1"/>
      <w:numFmt w:val="lowerRoman"/>
      <w:lvlText w:val="%6."/>
      <w:lvlJc w:val="right"/>
      <w:pPr>
        <w:tabs>
          <w:tab w:val="num" w:pos="7268"/>
        </w:tabs>
        <w:ind w:left="7268" w:hanging="180"/>
      </w:pPr>
      <w:rPr>
        <w:rFonts w:cs="Times New Roman" w:hint="default"/>
      </w:rPr>
    </w:lvl>
    <w:lvl w:ilvl="6">
      <w:start w:val="1"/>
      <w:numFmt w:val="decimal"/>
      <w:lvlText w:val="%7."/>
      <w:lvlJc w:val="left"/>
      <w:pPr>
        <w:tabs>
          <w:tab w:val="num" w:pos="7988"/>
        </w:tabs>
        <w:ind w:left="7988" w:hanging="360"/>
      </w:pPr>
      <w:rPr>
        <w:rFonts w:cs="Times New Roman" w:hint="default"/>
      </w:rPr>
    </w:lvl>
    <w:lvl w:ilvl="7">
      <w:start w:val="1"/>
      <w:numFmt w:val="lowerLetter"/>
      <w:lvlText w:val="%8."/>
      <w:lvlJc w:val="left"/>
      <w:pPr>
        <w:tabs>
          <w:tab w:val="num" w:pos="8708"/>
        </w:tabs>
        <w:ind w:left="8708" w:hanging="360"/>
      </w:pPr>
      <w:rPr>
        <w:rFonts w:cs="Times New Roman" w:hint="default"/>
      </w:rPr>
    </w:lvl>
    <w:lvl w:ilvl="8">
      <w:start w:val="1"/>
      <w:numFmt w:val="lowerRoman"/>
      <w:lvlText w:val="%9."/>
      <w:lvlJc w:val="right"/>
      <w:pPr>
        <w:tabs>
          <w:tab w:val="num" w:pos="9428"/>
        </w:tabs>
        <w:ind w:left="9428" w:hanging="180"/>
      </w:pPr>
      <w:rPr>
        <w:rFonts w:cs="Times New Roman" w:hint="default"/>
      </w:rPr>
    </w:lvl>
  </w:abstractNum>
  <w:num w:numId="1">
    <w:abstractNumId w:val="0"/>
  </w:num>
  <w:num w:numId="2">
    <w:abstractNumId w:val="0"/>
    <w:lvlOverride w:ilvl="0">
      <w:startOverride w:val="1"/>
      <w:lvl w:ilvl="0">
        <w:start w:val="1"/>
        <w:numFmt w:val="decimal"/>
        <w:lvlText w:val="%1."/>
        <w:lvlJc w:val="left"/>
        <w:pPr>
          <w:tabs>
            <w:tab w:val="num" w:pos="567"/>
          </w:tabs>
          <w:ind w:left="1247" w:firstLine="0"/>
        </w:pPr>
        <w:rPr>
          <w:b w:val="0"/>
        </w:rPr>
      </w:lvl>
    </w:lvlOverride>
    <w:lvlOverride w:ilvl="1">
      <w:startOverride w:val="1"/>
      <w:lvl w:ilvl="1">
        <w:start w:val="1"/>
        <w:numFmt w:val="lowerLetter"/>
        <w:lvlText w:val="(%2)"/>
        <w:lvlJc w:val="left"/>
        <w:pPr>
          <w:tabs>
            <w:tab w:val="num" w:pos="567"/>
          </w:tabs>
          <w:ind w:left="1247" w:firstLine="567"/>
        </w:pPr>
        <w:rPr>
          <w:rFonts w:hint="default"/>
        </w:rPr>
      </w:lvl>
    </w:lvlOverride>
    <w:lvlOverride w:ilvl="2">
      <w:startOverride w:val="1"/>
      <w:lvl w:ilvl="2">
        <w:start w:val="1"/>
        <w:numFmt w:val="lowerRoman"/>
        <w:lvlText w:val="(%3)"/>
        <w:lvlJc w:val="left"/>
        <w:pPr>
          <w:tabs>
            <w:tab w:val="num" w:pos="567"/>
          </w:tabs>
          <w:ind w:left="2948" w:hanging="567"/>
        </w:pPr>
        <w:rPr>
          <w:rFonts w:hint="default"/>
        </w:rPr>
      </w:lvl>
    </w:lvlOverride>
    <w:lvlOverride w:ilvl="3">
      <w:startOverride w:val="1"/>
      <w:lvl w:ilvl="3">
        <w:start w:val="1"/>
        <w:numFmt w:val="lowerLetter"/>
        <w:lvlText w:val="%4."/>
        <w:lvlJc w:val="left"/>
        <w:pPr>
          <w:tabs>
            <w:tab w:val="num" w:pos="567"/>
          </w:tabs>
          <w:ind w:left="3515" w:hanging="567"/>
        </w:pPr>
        <w:rPr>
          <w:rFonts w:hint="default"/>
        </w:rPr>
      </w:lvl>
    </w:lvlOverride>
    <w:lvlOverride w:ilvl="4">
      <w:startOverride w:val="1"/>
      <w:lvl w:ilvl="4">
        <w:start w:val="1"/>
        <w:numFmt w:val="lowerLetter"/>
        <w:lvlText w:val="%5."/>
        <w:lvlJc w:val="left"/>
        <w:pPr>
          <w:tabs>
            <w:tab w:val="num" w:pos="6548"/>
          </w:tabs>
          <w:ind w:left="6548" w:hanging="360"/>
        </w:pPr>
        <w:rPr>
          <w:rFonts w:hint="default"/>
        </w:rPr>
      </w:lvl>
    </w:lvlOverride>
    <w:lvlOverride w:ilvl="5">
      <w:startOverride w:val="1"/>
      <w:lvl w:ilvl="5">
        <w:start w:val="1"/>
        <w:numFmt w:val="lowerRoman"/>
        <w:lvlText w:val="%6."/>
        <w:lvlJc w:val="right"/>
        <w:pPr>
          <w:tabs>
            <w:tab w:val="num" w:pos="7268"/>
          </w:tabs>
          <w:ind w:left="7268" w:hanging="180"/>
        </w:pPr>
        <w:rPr>
          <w:rFonts w:hint="default"/>
        </w:rPr>
      </w:lvl>
    </w:lvlOverride>
    <w:lvlOverride w:ilvl="6">
      <w:startOverride w:val="1"/>
      <w:lvl w:ilvl="6">
        <w:start w:val="1"/>
        <w:numFmt w:val="decimal"/>
        <w:lvlText w:val="%7."/>
        <w:lvlJc w:val="left"/>
        <w:pPr>
          <w:tabs>
            <w:tab w:val="num" w:pos="7988"/>
          </w:tabs>
          <w:ind w:left="7988" w:hanging="360"/>
        </w:pPr>
        <w:rPr>
          <w:rFonts w:hint="default"/>
        </w:rPr>
      </w:lvl>
    </w:lvlOverride>
    <w:lvlOverride w:ilvl="7">
      <w:startOverride w:val="1"/>
      <w:lvl w:ilvl="7">
        <w:start w:val="1"/>
        <w:numFmt w:val="lowerLetter"/>
        <w:lvlText w:val="%8."/>
        <w:lvlJc w:val="left"/>
        <w:pPr>
          <w:tabs>
            <w:tab w:val="num" w:pos="8708"/>
          </w:tabs>
          <w:ind w:left="8708" w:hanging="360"/>
        </w:pPr>
        <w:rPr>
          <w:rFonts w:hint="default"/>
        </w:rPr>
      </w:lvl>
    </w:lvlOverride>
    <w:lvlOverride w:ilvl="8">
      <w:startOverride w:val="1"/>
      <w:lvl w:ilvl="8">
        <w:start w:val="1"/>
        <w:numFmt w:val="lowerRoman"/>
        <w:lvlText w:val="%9."/>
        <w:lvlJc w:val="right"/>
        <w:pPr>
          <w:tabs>
            <w:tab w:val="num" w:pos="9428"/>
          </w:tabs>
          <w:ind w:left="9428" w:hanging="18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4F5952"/>
    <w:rsid w:val="00045F3B"/>
    <w:rsid w:val="0009039B"/>
    <w:rsid w:val="000B18ED"/>
    <w:rsid w:val="002508C0"/>
    <w:rsid w:val="002E3F11"/>
    <w:rsid w:val="003413C6"/>
    <w:rsid w:val="003F0B7D"/>
    <w:rsid w:val="00475D4E"/>
    <w:rsid w:val="004B7AA0"/>
    <w:rsid w:val="004F5952"/>
    <w:rsid w:val="0055191B"/>
    <w:rsid w:val="00771173"/>
    <w:rsid w:val="00B33BA9"/>
    <w:rsid w:val="00BA076F"/>
    <w:rsid w:val="00BE6CAD"/>
    <w:rsid w:val="00C214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952"/>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4F5952"/>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
    <w:basedOn w:val="Normal"/>
    <w:link w:val="FootnoteTextChar2"/>
    <w:uiPriority w:val="99"/>
    <w:rsid w:val="004F5952"/>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basedOn w:val="DefaultParagraphFont"/>
    <w:link w:val="FootnoteText"/>
    <w:uiPriority w:val="99"/>
    <w:semiHidden/>
    <w:rsid w:val="004F5952"/>
    <w:rPr>
      <w:rFonts w:ascii="Times New Roman" w:eastAsia="Times New Roman" w:hAnsi="Times New Roman" w:cs="Times New Roman"/>
      <w:sz w:val="20"/>
      <w:szCs w:val="20"/>
      <w:lang w:eastAsia="en-US"/>
    </w:rPr>
  </w:style>
  <w:style w:type="character" w:styleId="Hyperlink">
    <w:name w:val="Hyperlink"/>
    <w:uiPriority w:val="99"/>
    <w:semiHidden/>
    <w:rsid w:val="004F5952"/>
    <w:rPr>
      <w:rFonts w:ascii="Times New Roman" w:hAnsi="Times New Roman" w:cs="Times New Roman"/>
      <w:color w:val="auto"/>
      <w:sz w:val="20"/>
      <w:u w:val="none"/>
      <w:lang w:val="fr-FR"/>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uiPriority w:val="99"/>
    <w:locked/>
    <w:rsid w:val="004F5952"/>
    <w:rPr>
      <w:rFonts w:ascii="Times New Roman" w:eastAsia="Times New Roman" w:hAnsi="Times New Roman" w:cs="Times New Roman"/>
      <w:sz w:val="18"/>
      <w:szCs w:val="20"/>
      <w:lang w:val="fr-FR" w:eastAsia="en-US"/>
    </w:rPr>
  </w:style>
  <w:style w:type="numbering" w:customStyle="1" w:styleId="Normallist4">
    <w:name w:val="Normal_list4"/>
    <w:rsid w:val="004F5952"/>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chm.pops.int/Partners/RegionalCentres/ActivitiesReport/tabid/4112/Default.aspx" TargetMode="External"/><Relationship Id="rId1" Type="http://schemas.openxmlformats.org/officeDocument/2006/relationships/hyperlink" Target="http://chm.pops.int/Partners/RegionalCentres/Workplans/tabid/482/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1637</Words>
  <Characters>9337</Characters>
  <Application>Microsoft Office Word</Application>
  <DocSecurity>0</DocSecurity>
  <Lines>77</Lines>
  <Paragraphs>21</Paragraphs>
  <ScaleCrop>false</ScaleCrop>
  <Company/>
  <LinksUpToDate>false</LinksUpToDate>
  <CharactersWithSpaces>10953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2015-12-28T13:26:00Z</dcterms:created>
  <dcterms:modified xsi:type="dcterms:W3CDTF">2015-12-28T13:27:00Z</dcterms:modified>
</cp:coreProperties>
</file>