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DC" w:rsidRPr="00933B3E" w:rsidRDefault="009B6DDC" w:rsidP="009B6DDC">
      <w:pPr>
        <w:pStyle w:val="CH2"/>
        <w:spacing w:before="240"/>
        <w:ind w:left="1248" w:hanging="624"/>
      </w:pPr>
      <w:r w:rsidRPr="00933B3E">
        <w:rPr>
          <w:rFonts w:cs="Arial"/>
        </w:rPr>
        <w:t xml:space="preserve">IV/5: </w:t>
      </w:r>
      <w:bookmarkStart w:id="0" w:name="_GoBack"/>
      <w:r w:rsidRPr="00933B3E">
        <w:rPr>
          <w:rFonts w:cs="Arial"/>
        </w:rPr>
        <w:t>A</w:t>
      </w:r>
      <w:r w:rsidRPr="00933B3E">
        <w:t>ctivities of the secretariat and budget</w:t>
      </w:r>
      <w:bookmarkEnd w:id="0"/>
    </w:p>
    <w:p w:rsidR="009B6DDC" w:rsidRPr="00933B3E" w:rsidRDefault="009B6DDC" w:rsidP="009B6DDC">
      <w:pPr>
        <w:tabs>
          <w:tab w:val="left" w:pos="624"/>
        </w:tabs>
        <w:spacing w:after="120"/>
        <w:ind w:left="1247" w:firstLine="624"/>
        <w:rPr>
          <w:i/>
        </w:rPr>
      </w:pPr>
      <w:r w:rsidRPr="00933B3E">
        <w:rPr>
          <w:i/>
        </w:rPr>
        <w:t>The Conference,</w:t>
      </w:r>
    </w:p>
    <w:p w:rsidR="009B6DDC" w:rsidRPr="00933B3E" w:rsidRDefault="009B6DDC" w:rsidP="009B6DDC">
      <w:pPr>
        <w:tabs>
          <w:tab w:val="left" w:pos="624"/>
        </w:tabs>
        <w:spacing w:after="120"/>
        <w:ind w:left="1247" w:firstLine="624"/>
      </w:pPr>
      <w:r w:rsidRPr="00933B3E">
        <w:rPr>
          <w:i/>
          <w:iCs/>
        </w:rPr>
        <w:t>Taking note</w:t>
      </w:r>
      <w:r w:rsidRPr="00933B3E">
        <w:rPr>
          <w:iCs/>
        </w:rPr>
        <w:t xml:space="preserve"> of</w:t>
      </w:r>
      <w:r w:rsidRPr="00933B3E">
        <w:rPr>
          <w:i/>
        </w:rPr>
        <w:t xml:space="preserve"> </w:t>
      </w:r>
      <w:r w:rsidRPr="00933B3E">
        <w:t>the secretariat activities and budget document for 2016–2018 and 2019–2020,</w:t>
      </w:r>
      <w:r w:rsidRPr="00933B3E">
        <w:rPr>
          <w:rStyle w:val="FootnoteReference"/>
        </w:rPr>
        <w:footnoteReference w:id="1"/>
      </w:r>
      <w:r w:rsidRPr="00933B3E">
        <w:t xml:space="preserve"> </w:t>
      </w:r>
    </w:p>
    <w:p w:rsidR="009B6DDC" w:rsidRPr="00933B3E" w:rsidRDefault="009B6DDC" w:rsidP="009B6DDC">
      <w:pPr>
        <w:tabs>
          <w:tab w:val="left" w:pos="624"/>
        </w:tabs>
        <w:spacing w:after="120"/>
        <w:ind w:left="1247" w:firstLine="624"/>
      </w:pPr>
      <w:r w:rsidRPr="00933B3E">
        <w:rPr>
          <w:i/>
        </w:rPr>
        <w:t>Recalling</w:t>
      </w:r>
      <w:r w:rsidRPr="00933B3E">
        <w:t xml:space="preserve"> that funding for the secretariat is provided on a voluntary basis,</w:t>
      </w:r>
    </w:p>
    <w:p w:rsidR="009B6DDC" w:rsidRPr="00933B3E" w:rsidRDefault="009B6DDC" w:rsidP="009B6DDC">
      <w:pPr>
        <w:tabs>
          <w:tab w:val="left" w:pos="624"/>
        </w:tabs>
        <w:spacing w:after="120"/>
        <w:ind w:left="1247" w:firstLine="624"/>
      </w:pPr>
      <w:r w:rsidRPr="00933B3E">
        <w:rPr>
          <w:i/>
        </w:rPr>
        <w:t xml:space="preserve">Welcoming </w:t>
      </w:r>
      <w:r w:rsidRPr="00933B3E">
        <w:t>the growing number of Governments providing cash support for the work of the secretariat and the support from other stakeholders,</w:t>
      </w:r>
    </w:p>
    <w:p w:rsidR="009B6DDC" w:rsidRPr="00933B3E" w:rsidRDefault="009B6DDC" w:rsidP="009B6DDC">
      <w:pPr>
        <w:tabs>
          <w:tab w:val="left" w:pos="624"/>
        </w:tabs>
        <w:spacing w:after="120"/>
        <w:ind w:left="1247" w:firstLine="624"/>
      </w:pPr>
      <w:r w:rsidRPr="00933B3E">
        <w:rPr>
          <w:i/>
        </w:rPr>
        <w:t>Recalling</w:t>
      </w:r>
      <w:r w:rsidRPr="00933B3E">
        <w:t xml:space="preserve"> its resolution I/1, which invites the United Nations Environment Programme and the World Health Organization to provide staff to enable their organizations to take lead roles in the secretariat in their respective areas of expertise, </w:t>
      </w:r>
    </w:p>
    <w:p w:rsidR="009B6DDC" w:rsidRPr="00933B3E" w:rsidRDefault="009B6DDC" w:rsidP="009B6DDC">
      <w:pPr>
        <w:tabs>
          <w:tab w:val="left" w:pos="624"/>
        </w:tabs>
        <w:spacing w:after="120"/>
        <w:ind w:left="1247" w:firstLine="624"/>
      </w:pPr>
      <w:r w:rsidRPr="00933B3E">
        <w:rPr>
          <w:i/>
        </w:rPr>
        <w:t xml:space="preserve"> Recalling also </w:t>
      </w:r>
      <w:r w:rsidRPr="00933B3E">
        <w:t>resolution 1/5 of the United Nations Environment Assembly of the United Nations Environment Programme, in which the Environment Assembly invites the Director General of the World Health Organization to assume a leading role in the Strategic Approach and to provide appropriate staff and other resources to its secretariat,</w:t>
      </w:r>
    </w:p>
    <w:p w:rsidR="009B6DDC" w:rsidRPr="00933B3E" w:rsidRDefault="009B6DDC" w:rsidP="009B6DDC">
      <w:pPr>
        <w:tabs>
          <w:tab w:val="left" w:pos="624"/>
        </w:tabs>
        <w:spacing w:after="120"/>
        <w:ind w:left="1247" w:firstLine="624"/>
        <w:rPr>
          <w:iCs/>
        </w:rPr>
      </w:pPr>
      <w:r w:rsidRPr="00933B3E">
        <w:rPr>
          <w:i/>
        </w:rPr>
        <w:t xml:space="preserve">Noting with urgency </w:t>
      </w:r>
      <w:r w:rsidRPr="00933B3E">
        <w:rPr>
          <w:iCs/>
        </w:rPr>
        <w:t>the limited time remaining in which to achieve the 2020 goal,</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pPr>
      <w:r w:rsidRPr="00933B3E">
        <w:rPr>
          <w:i/>
        </w:rPr>
        <w:t>Welcomes</w:t>
      </w:r>
      <w:r w:rsidRPr="00933B3E">
        <w:t xml:space="preserve"> the support of the United Nations Environment Programme in continuing to strengthen the Strategic Approach in the lead-up to 2020 including by strengthening staffing for the secretariat and contributing financially towards the organization of the fourth session of the Conference;</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rPr>
          <w:i/>
          <w:iCs/>
        </w:rPr>
      </w:pPr>
      <w:r w:rsidRPr="00933B3E">
        <w:rPr>
          <w:i/>
        </w:rPr>
        <w:t>Notes with appreciation</w:t>
      </w:r>
      <w:r w:rsidRPr="00933B3E">
        <w:t xml:space="preserve"> the work undertaken by the secretariat and the successes achieved since the adoption of the Strategic Approach; </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pPr>
      <w:r w:rsidRPr="00933B3E">
        <w:rPr>
          <w:i/>
        </w:rPr>
        <w:t>Calls</w:t>
      </w:r>
      <w:r w:rsidRPr="00933B3E">
        <w:t xml:space="preserve"> </w:t>
      </w:r>
      <w:r w:rsidRPr="00933B3E">
        <w:rPr>
          <w:i/>
        </w:rPr>
        <w:t>upon</w:t>
      </w:r>
      <w:r w:rsidRPr="00933B3E">
        <w:t xml:space="preserve"> the World Health Organization to continue supporting the work of the secretariat in its areas of expertise by reassigning a staff member to the secretariat at the earliest date possible in the light of its lead role in the Strategic Approach and notes the prominence given in the 2030 Agenda for Sustainable Development to the Strategic Approach goal and to substantially reducing the number of deaths and illnesses from hazardous chemicals and air, water and soil pollution and contamination;</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pPr>
      <w:r w:rsidRPr="00933B3E">
        <w:rPr>
          <w:i/>
        </w:rPr>
        <w:t>Requests</w:t>
      </w:r>
      <w:r w:rsidRPr="00933B3E">
        <w:t xml:space="preserve"> the Executive Director of the United Nations Environment Programme to forward the call to the World Health Organization to the next meeting of the Executive Board of the World Health Organization and to suggest that it be addressed by the World Health Assembly;</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pPr>
      <w:r w:rsidRPr="00933B3E">
        <w:rPr>
          <w:i/>
          <w:iCs/>
        </w:rPr>
        <w:t>Encourages</w:t>
      </w:r>
      <w:r w:rsidRPr="00933B3E">
        <w:t xml:space="preserve"> all Governments and other stakeholders in a position to do so to contribute financial and other resources to enable the secretariat to perform its mandated functions as set out in paragraph 28 of the Overarching Policy Strategy and in resolutions of the Conference and invites the Executive Director of the United Nations Environment Programme to make information on the financial needs and contributions of the Strategic Approach available to the Committee of Permanent Representatives to the United Nations Environment Programme; </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pPr>
      <w:r w:rsidRPr="00933B3E">
        <w:rPr>
          <w:i/>
          <w:iCs/>
        </w:rPr>
        <w:t>Approves</w:t>
      </w:r>
      <w:r w:rsidRPr="00933B3E">
        <w:t xml:space="preserve"> the indicative budget, staffing structure and programme of work for the secretariat for the period 2016–2020, as set out in tables 1–3 of the present resolution; </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rPr>
          <w:i/>
          <w:iCs/>
        </w:rPr>
      </w:pPr>
      <w:r w:rsidRPr="00933B3E">
        <w:rPr>
          <w:i/>
          <w:iCs/>
        </w:rPr>
        <w:t xml:space="preserve">Approves </w:t>
      </w:r>
      <w:r w:rsidRPr="00933B3E">
        <w:t>the upgrade of the P-2 Strategic Approach General Associate Programme Officer to P-3 Programme Officer</w:t>
      </w:r>
      <w:r w:rsidRPr="00933B3E">
        <w:rPr>
          <w:iCs/>
        </w:rPr>
        <w:t>;</w:t>
      </w:r>
      <w:r w:rsidRPr="00933B3E">
        <w:t xml:space="preserve"> </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rPr>
          <w:i/>
          <w:iCs/>
        </w:rPr>
      </w:pPr>
      <w:r w:rsidRPr="00933B3E">
        <w:rPr>
          <w:i/>
          <w:iCs/>
        </w:rPr>
        <w:t>Approves</w:t>
      </w:r>
      <w:r w:rsidRPr="00933B3E">
        <w:t xml:space="preserve"> a budget allocation for the P-3 Knowledge Management Programme Officer;</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pPr>
      <w:r w:rsidRPr="00933B3E">
        <w:rPr>
          <w:i/>
        </w:rPr>
        <w:t xml:space="preserve">Notes </w:t>
      </w:r>
      <w:r w:rsidRPr="00933B3E">
        <w:t xml:space="preserve">that the full and final closure of the Quick Start Programme Trust Fund will take place before the fifth session of the International Conference on Chemicals Management and delegates to the Executive Board of the Quick Start Programme, acting on a recommendation from the secretariat, the making of the decision on the appropriate date for closure, taking into account that the Executive Director of the United Nations Environment Programme should be informed at least six months in advance of the closure; </w:t>
      </w:r>
    </w:p>
    <w:p w:rsidR="009B6DDC" w:rsidRPr="00933B3E" w:rsidRDefault="009B6DDC" w:rsidP="009B6DDC">
      <w:pPr>
        <w:numPr>
          <w:ilvl w:val="0"/>
          <w:numId w:val="12"/>
        </w:numPr>
        <w:tabs>
          <w:tab w:val="clear" w:pos="1247"/>
          <w:tab w:val="clear" w:pos="1814"/>
          <w:tab w:val="clear" w:pos="2381"/>
          <w:tab w:val="clear" w:pos="2948"/>
          <w:tab w:val="clear" w:pos="3142"/>
          <w:tab w:val="clear" w:pos="3515"/>
          <w:tab w:val="left" w:pos="624"/>
        </w:tabs>
        <w:spacing w:after="120"/>
        <w:ind w:left="1247" w:firstLine="624"/>
      </w:pPr>
      <w:r w:rsidRPr="00933B3E">
        <w:rPr>
          <w:i/>
          <w:iCs/>
        </w:rPr>
        <w:t xml:space="preserve">Decides </w:t>
      </w:r>
      <w:r w:rsidRPr="00933B3E">
        <w:rPr>
          <w:iCs/>
        </w:rPr>
        <w:t>to hold a third meeting of the Open-ended Working Group in advance of the fifth session of the Conference</w:t>
      </w:r>
      <w:r w:rsidRPr="00933B3E">
        <w:rPr>
          <w:i/>
          <w:iCs/>
        </w:rPr>
        <w:t xml:space="preserve"> </w:t>
      </w:r>
      <w:r w:rsidRPr="00933B3E">
        <w:rPr>
          <w:iCs/>
        </w:rPr>
        <w:t>and</w:t>
      </w:r>
      <w:r w:rsidRPr="00933B3E">
        <w:rPr>
          <w:i/>
          <w:iCs/>
        </w:rPr>
        <w:t xml:space="preserve"> </w:t>
      </w:r>
      <w:r w:rsidRPr="00933B3E">
        <w:rPr>
          <w:iCs/>
        </w:rPr>
        <w:t>decides</w:t>
      </w:r>
      <w:r w:rsidRPr="00933B3E">
        <w:rPr>
          <w:i/>
          <w:iCs/>
        </w:rPr>
        <w:t xml:space="preserve"> </w:t>
      </w:r>
      <w:r w:rsidRPr="00933B3E">
        <w:rPr>
          <w:iCs/>
        </w:rPr>
        <w:t>that it may be held in 2018 or early 2019;</w:t>
      </w:r>
      <w:r w:rsidRPr="00933B3E">
        <w:t xml:space="preserve"> </w:t>
      </w:r>
    </w:p>
    <w:p w:rsidR="009B6DDC" w:rsidRPr="00933B3E" w:rsidRDefault="009B6DDC" w:rsidP="009B6DDC">
      <w:pPr>
        <w:keepNext/>
        <w:keepLines/>
        <w:numPr>
          <w:ilvl w:val="0"/>
          <w:numId w:val="12"/>
        </w:numPr>
        <w:tabs>
          <w:tab w:val="clear" w:pos="1247"/>
          <w:tab w:val="clear" w:pos="1814"/>
          <w:tab w:val="clear" w:pos="2381"/>
          <w:tab w:val="clear" w:pos="2948"/>
          <w:tab w:val="clear" w:pos="3142"/>
          <w:tab w:val="clear" w:pos="3515"/>
        </w:tabs>
        <w:spacing w:after="120"/>
        <w:ind w:left="1247" w:firstLine="624"/>
      </w:pPr>
      <w:r w:rsidRPr="00933B3E">
        <w:rPr>
          <w:i/>
        </w:rPr>
        <w:lastRenderedPageBreak/>
        <w:t xml:space="preserve">Invites </w:t>
      </w:r>
      <w:r w:rsidRPr="00933B3E">
        <w:t xml:space="preserve">the Strategic Approach secretariat to further increase cooperation and coordination with relevant stakeholders, such as the secretariat of the Basel Convention on the Control of Transboundary Movements of Hazardous Wastes and Their Disposal, the Rotterdam Convention on the Prior Informed Consent Procedure for Certain Hazardous Chemicals and Pesticides in International Trade and the Stockholm Convention on Persistent Organic Pollutants, the interim secretariat of the </w:t>
      </w:r>
      <w:proofErr w:type="spellStart"/>
      <w:r w:rsidRPr="00933B3E">
        <w:t>Minamata</w:t>
      </w:r>
      <w:proofErr w:type="spellEnd"/>
      <w:r w:rsidRPr="00933B3E">
        <w:t xml:space="preserve"> Convention on Mercury, the secretariat of the Global Environment Facility, the participating organizations of the Inter-Organization Programme for the Sound Management of Chemicals and other intergovernmental organizations, and to enhance synergies with the medium-term strategy on chemicals and waste of the United Nations Environment Programme on issues of common relevance;</w:t>
      </w:r>
    </w:p>
    <w:p w:rsidR="009B6DDC" w:rsidRPr="00933B3E" w:rsidRDefault="009B6DDC" w:rsidP="009B6DDC">
      <w:pPr>
        <w:keepNext/>
        <w:keepLines/>
        <w:numPr>
          <w:ilvl w:val="0"/>
          <w:numId w:val="12"/>
        </w:numPr>
        <w:tabs>
          <w:tab w:val="clear" w:pos="1247"/>
          <w:tab w:val="clear" w:pos="1814"/>
          <w:tab w:val="clear" w:pos="2381"/>
          <w:tab w:val="clear" w:pos="2948"/>
          <w:tab w:val="clear" w:pos="3142"/>
          <w:tab w:val="clear" w:pos="3515"/>
        </w:tabs>
        <w:spacing w:after="120"/>
        <w:ind w:left="1247" w:firstLine="624"/>
      </w:pPr>
      <w:r w:rsidRPr="00933B3E">
        <w:rPr>
          <w:i/>
        </w:rPr>
        <w:t xml:space="preserve">Directs </w:t>
      </w:r>
      <w:r w:rsidRPr="00933B3E">
        <w:t>the Open-ended Working Group to consider changes in budget priorities and if absolutely necessary an increase in the overall size of the budget until 2020 and delegates authority to the Open-ended Working Group to take a decision on the matter</w:t>
      </w:r>
      <w:r w:rsidRPr="00933B3E">
        <w:rPr>
          <w:i/>
        </w:rPr>
        <w:t>;</w:t>
      </w:r>
    </w:p>
    <w:p w:rsidR="009B6DDC" w:rsidRPr="00933B3E" w:rsidRDefault="009B6DDC" w:rsidP="009B6DDC">
      <w:pPr>
        <w:keepNext/>
        <w:keepLines/>
        <w:numPr>
          <w:ilvl w:val="0"/>
          <w:numId w:val="12"/>
        </w:numPr>
        <w:tabs>
          <w:tab w:val="clear" w:pos="1247"/>
          <w:tab w:val="clear" w:pos="1814"/>
          <w:tab w:val="clear" w:pos="2381"/>
          <w:tab w:val="clear" w:pos="2948"/>
          <w:tab w:val="clear" w:pos="3142"/>
          <w:tab w:val="clear" w:pos="3515"/>
        </w:tabs>
        <w:spacing w:after="120"/>
        <w:ind w:left="1247" w:firstLine="624"/>
        <w:sectPr w:rsidR="009B6DDC" w:rsidRPr="00933B3E" w:rsidSect="009B6DDC">
          <w:footnotePr>
            <w:numRestart w:val="eachSect"/>
          </w:footnotePr>
          <w:pgSz w:w="11906" w:h="16838" w:code="9"/>
          <w:pgMar w:top="907" w:right="992" w:bottom="1418" w:left="1418" w:header="539" w:footer="975" w:gutter="0"/>
          <w:cols w:space="539"/>
          <w:titlePg/>
          <w:docGrid w:linePitch="360"/>
        </w:sectPr>
      </w:pPr>
      <w:r w:rsidRPr="00933B3E">
        <w:rPr>
          <w:i/>
        </w:rPr>
        <w:t>Requests</w:t>
      </w:r>
      <w:r w:rsidRPr="00933B3E">
        <w:t xml:space="preserve"> the secretariat to report to the Conference on its activities, staffing and budget at its fifth session and to provide interim information to the Open-ended Working Group at its third meeting.</w:t>
      </w:r>
    </w:p>
    <w:p w:rsidR="009B6DDC" w:rsidRPr="00933B3E" w:rsidRDefault="009B6DDC" w:rsidP="009B6DDC">
      <w:pPr>
        <w:pStyle w:val="Normal-pool"/>
        <w:keepNext/>
        <w:keepLines/>
        <w:ind w:left="1247"/>
        <w:rPr>
          <w:rStyle w:val="TitlefigureChar"/>
          <w:rFonts w:eastAsia="MS Mincho"/>
          <w:lang w:val="en-US"/>
        </w:rPr>
      </w:pPr>
      <w:r w:rsidRPr="00933B3E">
        <w:rPr>
          <w:rStyle w:val="TitlefigureChar"/>
          <w:rFonts w:eastAsia="MS Mincho"/>
          <w:lang w:val="en-US"/>
        </w:rPr>
        <w:lastRenderedPageBreak/>
        <w:t>Table 1</w:t>
      </w:r>
    </w:p>
    <w:p w:rsidR="009B6DDC" w:rsidRPr="00933B3E" w:rsidRDefault="009B6DDC" w:rsidP="009B6DDC">
      <w:pPr>
        <w:pStyle w:val="Normal-pool"/>
        <w:keepNext/>
        <w:keepLines/>
        <w:spacing w:after="120"/>
        <w:ind w:left="1247"/>
        <w:rPr>
          <w:lang w:val="en-US"/>
        </w:rPr>
      </w:pPr>
      <w:r w:rsidRPr="00933B3E">
        <w:rPr>
          <w:b/>
          <w:lang w:val="en-US"/>
        </w:rPr>
        <w:t xml:space="preserve">Indicative budget for the Strategic Approach secretariat for the period 2016–2020 </w:t>
      </w:r>
    </w:p>
    <w:p w:rsidR="009B6DDC" w:rsidRPr="00933B3E" w:rsidRDefault="009B6DDC" w:rsidP="009B6DDC">
      <w:pPr>
        <w:pStyle w:val="Normal-pool"/>
        <w:keepNext/>
        <w:keepLines/>
        <w:ind w:left="1247"/>
        <w:rPr>
          <w:b/>
          <w:sz w:val="17"/>
          <w:szCs w:val="17"/>
        </w:rPr>
      </w:pPr>
      <w:r w:rsidRPr="00933B3E">
        <w:rPr>
          <w:color w:val="000000"/>
          <w:sz w:val="17"/>
          <w:szCs w:val="17"/>
          <w:lang w:eastAsia="fr-CH"/>
        </w:rPr>
        <w:t>(United States dollars)</w:t>
      </w:r>
    </w:p>
    <w:tbl>
      <w:tblPr>
        <w:tblW w:w="13140" w:type="dxa"/>
        <w:tblInd w:w="1248" w:type="dxa"/>
        <w:tblLayout w:type="fixed"/>
        <w:tblCellMar>
          <w:left w:w="70" w:type="dxa"/>
          <w:right w:w="70" w:type="dxa"/>
        </w:tblCellMar>
        <w:tblLook w:val="04A0" w:firstRow="1" w:lastRow="0" w:firstColumn="1" w:lastColumn="0" w:noHBand="0" w:noVBand="1"/>
      </w:tblPr>
      <w:tblGrid>
        <w:gridCol w:w="426"/>
        <w:gridCol w:w="567"/>
        <w:gridCol w:w="846"/>
        <w:gridCol w:w="4257"/>
        <w:gridCol w:w="1174"/>
        <w:gridCol w:w="1174"/>
        <w:gridCol w:w="1174"/>
        <w:gridCol w:w="1174"/>
        <w:gridCol w:w="1174"/>
        <w:gridCol w:w="1174"/>
      </w:tblGrid>
      <w:tr w:rsidR="009B6DDC" w:rsidRPr="00933B3E" w:rsidTr="00F75BD5">
        <w:trPr>
          <w:trHeight w:val="255"/>
          <w:tblHeader/>
        </w:trPr>
        <w:tc>
          <w:tcPr>
            <w:tcW w:w="426" w:type="dxa"/>
            <w:tcBorders>
              <w:top w:val="single" w:sz="4" w:space="0" w:color="auto"/>
              <w:left w:val="nil"/>
              <w:bottom w:val="single" w:sz="12" w:space="0" w:color="auto"/>
              <w:right w:val="nil"/>
            </w:tcBorders>
            <w:noWrap/>
            <w:vAlign w:val="center"/>
          </w:tcPr>
          <w:p w:rsidR="009B6DDC" w:rsidRPr="00933B3E" w:rsidRDefault="009B6DDC" w:rsidP="00F75BD5">
            <w:pPr>
              <w:jc w:val="right"/>
              <w:rPr>
                <w:b/>
                <w:bCs/>
                <w:color w:val="000000"/>
                <w:sz w:val="18"/>
                <w:szCs w:val="18"/>
                <w:lang w:eastAsia="fr-CH"/>
              </w:rPr>
            </w:pPr>
          </w:p>
        </w:tc>
        <w:tc>
          <w:tcPr>
            <w:tcW w:w="5670" w:type="dxa"/>
            <w:gridSpan w:val="3"/>
            <w:tcBorders>
              <w:top w:val="single" w:sz="4" w:space="0" w:color="auto"/>
              <w:left w:val="nil"/>
              <w:bottom w:val="single" w:sz="12" w:space="0" w:color="auto"/>
              <w:right w:val="nil"/>
            </w:tcBorders>
            <w:noWrap/>
            <w:vAlign w:val="center"/>
          </w:tcPr>
          <w:p w:rsidR="009B6DDC" w:rsidRPr="00933B3E" w:rsidRDefault="009B6DDC" w:rsidP="00F75BD5">
            <w:pPr>
              <w:rPr>
                <w:b/>
                <w:bCs/>
                <w:color w:val="000000"/>
                <w:sz w:val="18"/>
                <w:szCs w:val="18"/>
                <w:lang w:eastAsia="fr-CH"/>
              </w:rPr>
            </w:pP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jc w:val="center"/>
              <w:rPr>
                <w:i/>
                <w:color w:val="000000"/>
                <w:sz w:val="18"/>
                <w:szCs w:val="18"/>
                <w:lang w:eastAsia="fr-CH"/>
              </w:rPr>
            </w:pPr>
            <w:r w:rsidRPr="00933B3E">
              <w:rPr>
                <w:i/>
                <w:color w:val="000000"/>
                <w:sz w:val="18"/>
                <w:szCs w:val="18"/>
                <w:lang w:eastAsia="fr-CH"/>
              </w:rPr>
              <w:t>2016</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jc w:val="center"/>
              <w:rPr>
                <w:i/>
                <w:color w:val="000000"/>
                <w:sz w:val="18"/>
                <w:szCs w:val="18"/>
                <w:lang w:eastAsia="fr-CH"/>
              </w:rPr>
            </w:pPr>
            <w:r w:rsidRPr="00933B3E">
              <w:rPr>
                <w:i/>
                <w:color w:val="000000"/>
                <w:sz w:val="18"/>
                <w:szCs w:val="18"/>
                <w:lang w:eastAsia="fr-CH"/>
              </w:rPr>
              <w:t>2017</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jc w:val="center"/>
              <w:rPr>
                <w:i/>
                <w:color w:val="000000"/>
                <w:sz w:val="18"/>
                <w:szCs w:val="18"/>
                <w:lang w:eastAsia="fr-CH"/>
              </w:rPr>
            </w:pPr>
            <w:r w:rsidRPr="00933B3E">
              <w:rPr>
                <w:i/>
                <w:color w:val="000000"/>
                <w:sz w:val="18"/>
                <w:szCs w:val="18"/>
                <w:lang w:eastAsia="fr-CH"/>
              </w:rPr>
              <w:t>2018</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jc w:val="center"/>
              <w:rPr>
                <w:i/>
                <w:color w:val="000000"/>
                <w:sz w:val="18"/>
                <w:szCs w:val="18"/>
                <w:lang w:eastAsia="fr-CH"/>
              </w:rPr>
            </w:pPr>
            <w:r w:rsidRPr="00933B3E">
              <w:rPr>
                <w:i/>
                <w:color w:val="000000"/>
                <w:sz w:val="18"/>
                <w:szCs w:val="18"/>
                <w:lang w:eastAsia="fr-CH"/>
              </w:rPr>
              <w:t>2019</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jc w:val="center"/>
              <w:rPr>
                <w:i/>
                <w:color w:val="000000"/>
                <w:sz w:val="18"/>
                <w:szCs w:val="18"/>
                <w:lang w:eastAsia="fr-CH"/>
              </w:rPr>
            </w:pPr>
            <w:r w:rsidRPr="00933B3E">
              <w:rPr>
                <w:i/>
                <w:color w:val="000000"/>
                <w:sz w:val="18"/>
                <w:szCs w:val="18"/>
                <w:lang w:eastAsia="fr-CH"/>
              </w:rPr>
              <w:t>2020</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jc w:val="center"/>
              <w:rPr>
                <w:i/>
                <w:color w:val="000000"/>
                <w:sz w:val="18"/>
                <w:szCs w:val="18"/>
                <w:lang w:eastAsia="fr-CH"/>
              </w:rPr>
            </w:pPr>
            <w:r w:rsidRPr="00933B3E">
              <w:rPr>
                <w:i/>
                <w:color w:val="000000"/>
                <w:sz w:val="18"/>
                <w:szCs w:val="18"/>
                <w:lang w:eastAsia="fr-CH"/>
              </w:rPr>
              <w:t>Total</w:t>
            </w:r>
          </w:p>
        </w:tc>
      </w:tr>
      <w:tr w:rsidR="009B6DDC" w:rsidRPr="00933B3E" w:rsidTr="00F75BD5">
        <w:trPr>
          <w:trHeight w:val="255"/>
        </w:trPr>
        <w:tc>
          <w:tcPr>
            <w:tcW w:w="426" w:type="dxa"/>
            <w:tcBorders>
              <w:top w:val="single" w:sz="12" w:space="0" w:color="auto"/>
              <w:left w:val="nil"/>
              <w:bottom w:val="nil"/>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10</w:t>
            </w:r>
          </w:p>
        </w:tc>
        <w:tc>
          <w:tcPr>
            <w:tcW w:w="5670" w:type="dxa"/>
            <w:gridSpan w:val="3"/>
            <w:tcBorders>
              <w:top w:val="single" w:sz="12" w:space="0" w:color="auto"/>
              <w:left w:val="nil"/>
              <w:bottom w:val="nil"/>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 xml:space="preserve">Project personnel component </w:t>
            </w:r>
          </w:p>
        </w:tc>
        <w:tc>
          <w:tcPr>
            <w:tcW w:w="1174" w:type="dxa"/>
            <w:tcBorders>
              <w:top w:val="single" w:sz="12" w:space="0" w:color="auto"/>
              <w:left w:val="nil"/>
              <w:bottom w:val="nil"/>
              <w:right w:val="nil"/>
            </w:tcBorders>
            <w:noWrap/>
            <w:vAlign w:val="center"/>
          </w:tcPr>
          <w:p w:rsidR="009B6DDC" w:rsidRPr="00933B3E" w:rsidRDefault="009B6DDC" w:rsidP="00F75BD5">
            <w:pPr>
              <w:spacing w:before="40" w:after="40"/>
              <w:jc w:val="right"/>
              <w:rPr>
                <w:color w:val="000000"/>
                <w:sz w:val="18"/>
                <w:szCs w:val="18"/>
                <w:lang w:eastAsia="fr-CH"/>
              </w:rPr>
            </w:pPr>
          </w:p>
        </w:tc>
        <w:tc>
          <w:tcPr>
            <w:tcW w:w="1174" w:type="dxa"/>
            <w:tcBorders>
              <w:top w:val="single" w:sz="12" w:space="0" w:color="auto"/>
              <w:left w:val="nil"/>
              <w:bottom w:val="nil"/>
              <w:right w:val="nil"/>
            </w:tcBorders>
            <w:noWrap/>
            <w:vAlign w:val="center"/>
          </w:tcPr>
          <w:p w:rsidR="009B6DDC" w:rsidRPr="00933B3E" w:rsidRDefault="009B6DDC" w:rsidP="00F75BD5">
            <w:pPr>
              <w:spacing w:before="40" w:after="40"/>
              <w:jc w:val="right"/>
              <w:rPr>
                <w:color w:val="000000"/>
                <w:sz w:val="18"/>
                <w:szCs w:val="18"/>
                <w:lang w:eastAsia="fr-CH"/>
              </w:rPr>
            </w:pPr>
          </w:p>
        </w:tc>
        <w:tc>
          <w:tcPr>
            <w:tcW w:w="1174" w:type="dxa"/>
            <w:tcBorders>
              <w:top w:val="single" w:sz="12" w:space="0" w:color="auto"/>
              <w:left w:val="nil"/>
              <w:bottom w:val="nil"/>
              <w:right w:val="nil"/>
            </w:tcBorders>
            <w:noWrap/>
            <w:vAlign w:val="center"/>
          </w:tcPr>
          <w:p w:rsidR="009B6DDC" w:rsidRPr="00933B3E" w:rsidRDefault="009B6DDC" w:rsidP="00F75BD5">
            <w:pPr>
              <w:spacing w:before="40" w:after="40"/>
              <w:jc w:val="right"/>
              <w:rPr>
                <w:color w:val="000000"/>
                <w:sz w:val="18"/>
                <w:szCs w:val="18"/>
                <w:lang w:eastAsia="fr-CH"/>
              </w:rPr>
            </w:pPr>
          </w:p>
        </w:tc>
        <w:tc>
          <w:tcPr>
            <w:tcW w:w="1174" w:type="dxa"/>
            <w:tcBorders>
              <w:top w:val="single" w:sz="12" w:space="0" w:color="auto"/>
              <w:left w:val="nil"/>
              <w:bottom w:val="nil"/>
              <w:right w:val="nil"/>
            </w:tcBorders>
            <w:noWrap/>
            <w:vAlign w:val="center"/>
          </w:tcPr>
          <w:p w:rsidR="009B6DDC" w:rsidRPr="00933B3E" w:rsidRDefault="009B6DDC" w:rsidP="00F75BD5">
            <w:pPr>
              <w:spacing w:before="40" w:after="40"/>
              <w:jc w:val="right"/>
              <w:rPr>
                <w:color w:val="000000"/>
                <w:sz w:val="18"/>
                <w:szCs w:val="18"/>
                <w:lang w:eastAsia="fr-CH"/>
              </w:rPr>
            </w:pPr>
          </w:p>
        </w:tc>
        <w:tc>
          <w:tcPr>
            <w:tcW w:w="1174" w:type="dxa"/>
            <w:tcBorders>
              <w:top w:val="single" w:sz="12" w:space="0" w:color="auto"/>
              <w:left w:val="nil"/>
              <w:bottom w:val="nil"/>
              <w:right w:val="nil"/>
            </w:tcBorders>
            <w:noWrap/>
            <w:vAlign w:val="center"/>
          </w:tcPr>
          <w:p w:rsidR="009B6DDC" w:rsidRPr="00933B3E" w:rsidRDefault="009B6DDC" w:rsidP="00F75BD5">
            <w:pPr>
              <w:spacing w:before="40" w:after="40"/>
              <w:jc w:val="right"/>
              <w:rPr>
                <w:color w:val="000000"/>
                <w:sz w:val="18"/>
                <w:szCs w:val="18"/>
                <w:lang w:eastAsia="fr-CH"/>
              </w:rPr>
            </w:pPr>
          </w:p>
        </w:tc>
        <w:tc>
          <w:tcPr>
            <w:tcW w:w="1174" w:type="dxa"/>
            <w:tcBorders>
              <w:top w:val="single" w:sz="12" w:space="0" w:color="auto"/>
              <w:left w:val="nil"/>
              <w:bottom w:val="nil"/>
              <w:right w:val="nil"/>
            </w:tcBorders>
            <w:noWrap/>
            <w:vAlign w:val="center"/>
          </w:tcPr>
          <w:p w:rsidR="009B6DDC" w:rsidRPr="00933B3E" w:rsidRDefault="009B6DDC" w:rsidP="00F75BD5">
            <w:pPr>
              <w:spacing w:before="40" w:after="40"/>
              <w:jc w:val="right"/>
              <w:rPr>
                <w:color w:val="000000"/>
                <w:sz w:val="18"/>
                <w:szCs w:val="18"/>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1100</w:t>
            </w:r>
          </w:p>
        </w:tc>
        <w:tc>
          <w:tcPr>
            <w:tcW w:w="846" w:type="dxa"/>
            <w:noWrap/>
            <w:vAlign w:val="center"/>
            <w:hideMark/>
          </w:tcPr>
          <w:p w:rsidR="009B6DDC" w:rsidRPr="00933B3E" w:rsidRDefault="009B6DDC" w:rsidP="00F75BD5">
            <w:pPr>
              <w:rPr>
                <w:b/>
                <w:lang w:eastAsia="fr-CH"/>
              </w:rPr>
            </w:pPr>
          </w:p>
        </w:tc>
        <w:tc>
          <w:tcPr>
            <w:tcW w:w="4257" w:type="dxa"/>
            <w:noWrap/>
            <w:vAlign w:val="center"/>
            <w:hideMark/>
          </w:tcPr>
          <w:p w:rsidR="009B6DDC" w:rsidRPr="00933B3E" w:rsidRDefault="009B6DDC" w:rsidP="00F75BD5">
            <w:pPr>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70"/>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1101</w:t>
            </w:r>
          </w:p>
        </w:tc>
        <w:tc>
          <w:tcPr>
            <w:tcW w:w="4257" w:type="dxa"/>
            <w:noWrap/>
            <w:vAlign w:val="bottom"/>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 xml:space="preserve">Coordinator, D–1 </w:t>
            </w:r>
            <w:r w:rsidRPr="00933B3E">
              <w:rPr>
                <w:color w:val="000000"/>
                <w:sz w:val="18"/>
                <w:szCs w:val="18"/>
                <w:vertAlign w:val="superscript"/>
                <w:lang w:eastAsia="fr-CH"/>
              </w:rPr>
              <w:t>a</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1102</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 xml:space="preserve">Programme Officer P–4 (Health, WHO) </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1103</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Programme Officer P–4 (Strategic Approach)</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247 520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257 421</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267 718</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278 426</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289 563</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1 340 648</w:t>
            </w: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1104</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Programme Officer P–3  (Knowledge Management)</w:t>
            </w:r>
          </w:p>
        </w:tc>
        <w:tc>
          <w:tcPr>
            <w:tcW w:w="1174" w:type="dxa"/>
            <w:vAlign w:val="center"/>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204 048</w:t>
            </w:r>
          </w:p>
        </w:tc>
        <w:tc>
          <w:tcPr>
            <w:tcW w:w="1174" w:type="dxa"/>
            <w:vAlign w:val="center"/>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212 210</w:t>
            </w:r>
          </w:p>
        </w:tc>
        <w:tc>
          <w:tcPr>
            <w:tcW w:w="1174" w:type="dxa"/>
            <w:vAlign w:val="center"/>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220 698</w:t>
            </w:r>
          </w:p>
        </w:tc>
        <w:tc>
          <w:tcPr>
            <w:tcW w:w="1174" w:type="dxa"/>
            <w:vAlign w:val="center"/>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229 526</w:t>
            </w:r>
          </w:p>
        </w:tc>
        <w:tc>
          <w:tcPr>
            <w:tcW w:w="1174" w:type="dxa"/>
            <w:noWrap/>
            <w:vAlign w:val="center"/>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238 707</w:t>
            </w:r>
          </w:p>
        </w:tc>
        <w:tc>
          <w:tcPr>
            <w:tcW w:w="1174" w:type="dxa"/>
            <w:noWrap/>
            <w:vAlign w:val="center"/>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1 105 190</w:t>
            </w: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1105</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Programme Officer P–3 (QSP)</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204 048</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212 210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220 698</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229 526</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866 482</w:t>
            </w: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1106</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Programme Officer P–3 (Strategic Approach, upgraded from P-2)</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204 048</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212 210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220 698</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229 526</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238 707</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1 105 190</w:t>
            </w: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1107</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Associate Programme Officer P–2 (QSP)</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166 816</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173 489</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340 305</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1199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1 026 480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1 067 539</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929 813</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967 005</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766 978</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4 757 815</w:t>
            </w:r>
          </w:p>
        </w:tc>
      </w:tr>
      <w:tr w:rsidR="009B6DDC" w:rsidRPr="00933B3E" w:rsidTr="00F75BD5">
        <w:trPr>
          <w:trHeight w:val="65"/>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1200</w:t>
            </w:r>
          </w:p>
        </w:tc>
        <w:tc>
          <w:tcPr>
            <w:tcW w:w="5103" w:type="dxa"/>
            <w:gridSpan w:val="2"/>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Consultants (description of activity or service)</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1201</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Consultants</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170 000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170 000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100 000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50 000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50 000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540 000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1299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170 000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170 000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100 000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50 000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50 000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540 000</w:t>
            </w:r>
          </w:p>
        </w:tc>
      </w:tr>
      <w:tr w:rsidR="009B6DDC" w:rsidRPr="00933B3E" w:rsidTr="00F75BD5">
        <w:trPr>
          <w:trHeight w:val="56"/>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1300</w:t>
            </w:r>
          </w:p>
        </w:tc>
        <w:tc>
          <w:tcPr>
            <w:tcW w:w="5103" w:type="dxa"/>
            <w:gridSpan w:val="2"/>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Administrative support (title and grade)</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1301</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Secretary (Strategic Approach) G–4/5</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156 806</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163 078</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169 601</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176 385</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183 441</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849 312</w:t>
            </w: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1320</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Overtime or temporary assistance</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10 000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1399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156 806</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163 078</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169 601</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176 385</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193 441</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859 312</w:t>
            </w:r>
          </w:p>
        </w:tc>
      </w:tr>
      <w:tr w:rsidR="009B6DDC" w:rsidRPr="00933B3E" w:rsidTr="00F75BD5">
        <w:trPr>
          <w:trHeight w:val="83"/>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1600</w:t>
            </w:r>
          </w:p>
        </w:tc>
        <w:tc>
          <w:tcPr>
            <w:tcW w:w="5103" w:type="dxa"/>
            <w:gridSpan w:val="2"/>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Travel on official business</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1601</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Staff travel on official business</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60 000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60 000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60 000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320 000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1699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60 000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70 000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60 000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70 000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60 000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320 000</w:t>
            </w:r>
          </w:p>
        </w:tc>
      </w:tr>
      <w:tr w:rsidR="009B6DDC" w:rsidRPr="00933B3E" w:rsidTr="00F75BD5">
        <w:trPr>
          <w:trHeight w:val="270"/>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1999</w:t>
            </w:r>
          </w:p>
        </w:tc>
        <w:tc>
          <w:tcPr>
            <w:tcW w:w="5103" w:type="dxa"/>
            <w:gridSpan w:val="2"/>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Component 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1 413 286</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1 470 617</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1 259 414</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1 263 391</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1 070 419</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6 477 127</w:t>
            </w:r>
          </w:p>
        </w:tc>
      </w:tr>
      <w:tr w:rsidR="009B6DDC" w:rsidRPr="00933B3E" w:rsidTr="00F75BD5">
        <w:trPr>
          <w:trHeight w:val="56"/>
        </w:trPr>
        <w:tc>
          <w:tcPr>
            <w:tcW w:w="426" w:type="dxa"/>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keepNext/>
              <w:keepLines/>
              <w:spacing w:before="40" w:after="40"/>
              <w:jc w:val="right"/>
              <w:rPr>
                <w:b/>
                <w:bCs/>
                <w:color w:val="000000"/>
                <w:sz w:val="18"/>
                <w:szCs w:val="18"/>
                <w:lang w:eastAsia="fr-CH"/>
              </w:rPr>
            </w:pPr>
            <w:r w:rsidRPr="00933B3E">
              <w:rPr>
                <w:b/>
                <w:bCs/>
                <w:color w:val="000000"/>
                <w:sz w:val="18"/>
                <w:szCs w:val="18"/>
                <w:lang w:eastAsia="fr-CH"/>
              </w:rPr>
              <w:lastRenderedPageBreak/>
              <w:t>20</w:t>
            </w:r>
          </w:p>
        </w:tc>
        <w:tc>
          <w:tcPr>
            <w:tcW w:w="5670" w:type="dxa"/>
            <w:gridSpan w:val="3"/>
            <w:noWrap/>
            <w:vAlign w:val="center"/>
            <w:hideMark/>
          </w:tcPr>
          <w:p w:rsidR="009B6DDC" w:rsidRPr="00933B3E" w:rsidRDefault="009B6DDC" w:rsidP="00F75BD5">
            <w:pPr>
              <w:keepNext/>
              <w:keepLines/>
              <w:spacing w:before="40" w:after="40"/>
              <w:rPr>
                <w:b/>
                <w:bCs/>
                <w:color w:val="000000"/>
                <w:sz w:val="18"/>
                <w:szCs w:val="18"/>
                <w:lang w:eastAsia="fr-CH"/>
              </w:rPr>
            </w:pPr>
            <w:r w:rsidRPr="00933B3E">
              <w:rPr>
                <w:b/>
                <w:bCs/>
                <w:color w:val="000000"/>
                <w:sz w:val="18"/>
                <w:szCs w:val="18"/>
                <w:lang w:eastAsia="fr-CH"/>
              </w:rPr>
              <w:t>Subcontract component</w:t>
            </w: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keepNext/>
              <w:keepLines/>
              <w:rPr>
                <w:b/>
                <w:lang w:eastAsia="fr-CH"/>
              </w:rPr>
            </w:pPr>
          </w:p>
        </w:tc>
        <w:tc>
          <w:tcPr>
            <w:tcW w:w="567" w:type="dxa"/>
            <w:noWrap/>
            <w:vAlign w:val="center"/>
            <w:hideMark/>
          </w:tcPr>
          <w:p w:rsidR="009B6DDC" w:rsidRPr="00933B3E" w:rsidRDefault="009B6DDC" w:rsidP="00F75BD5">
            <w:pPr>
              <w:keepNext/>
              <w:keepLines/>
              <w:spacing w:before="40" w:after="40"/>
              <w:jc w:val="right"/>
              <w:rPr>
                <w:b/>
                <w:bCs/>
                <w:color w:val="000000"/>
                <w:sz w:val="18"/>
                <w:szCs w:val="18"/>
                <w:lang w:eastAsia="fr-CH"/>
              </w:rPr>
            </w:pPr>
            <w:r w:rsidRPr="00933B3E">
              <w:rPr>
                <w:b/>
                <w:bCs/>
                <w:color w:val="000000"/>
                <w:sz w:val="18"/>
                <w:szCs w:val="18"/>
                <w:lang w:eastAsia="fr-CH"/>
              </w:rPr>
              <w:t>2100</w:t>
            </w:r>
          </w:p>
        </w:tc>
        <w:tc>
          <w:tcPr>
            <w:tcW w:w="5103" w:type="dxa"/>
            <w:gridSpan w:val="2"/>
            <w:noWrap/>
            <w:vAlign w:val="center"/>
            <w:hideMark/>
          </w:tcPr>
          <w:p w:rsidR="009B6DDC" w:rsidRPr="00933B3E" w:rsidRDefault="009B6DDC" w:rsidP="00F75BD5">
            <w:pPr>
              <w:keepNext/>
              <w:keepLines/>
              <w:spacing w:before="40" w:after="40"/>
              <w:rPr>
                <w:b/>
                <w:bCs/>
                <w:color w:val="000000"/>
                <w:sz w:val="18"/>
                <w:szCs w:val="18"/>
                <w:lang w:eastAsia="fr-CH"/>
              </w:rPr>
            </w:pPr>
            <w:r w:rsidRPr="00933B3E">
              <w:rPr>
                <w:b/>
                <w:bCs/>
                <w:color w:val="000000"/>
                <w:sz w:val="18"/>
                <w:szCs w:val="18"/>
                <w:lang w:eastAsia="fr-CH"/>
              </w:rPr>
              <w:t>Subcontracts for conference services and venue</w:t>
            </w: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c>
          <w:tcPr>
            <w:tcW w:w="1174" w:type="dxa"/>
            <w:noWrap/>
            <w:vAlign w:val="center"/>
            <w:hideMark/>
          </w:tcPr>
          <w:p w:rsidR="009B6DDC" w:rsidRPr="00933B3E" w:rsidRDefault="009B6DDC" w:rsidP="00F75BD5">
            <w:pPr>
              <w:keepNext/>
              <w:keepLines/>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keepNext/>
              <w:keepLines/>
              <w:rPr>
                <w:lang w:eastAsia="fr-CH"/>
              </w:rPr>
            </w:pPr>
          </w:p>
        </w:tc>
        <w:tc>
          <w:tcPr>
            <w:tcW w:w="567" w:type="dxa"/>
            <w:noWrap/>
            <w:vAlign w:val="center"/>
            <w:hideMark/>
          </w:tcPr>
          <w:p w:rsidR="009B6DDC" w:rsidRPr="00933B3E" w:rsidRDefault="009B6DDC" w:rsidP="00F75BD5">
            <w:pPr>
              <w:keepNext/>
              <w:keepLines/>
              <w:rPr>
                <w:lang w:eastAsia="fr-CH"/>
              </w:rPr>
            </w:pPr>
          </w:p>
        </w:tc>
        <w:tc>
          <w:tcPr>
            <w:tcW w:w="846"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2101</w:t>
            </w:r>
          </w:p>
        </w:tc>
        <w:tc>
          <w:tcPr>
            <w:tcW w:w="4257" w:type="dxa"/>
            <w:noWrap/>
            <w:vAlign w:val="center"/>
            <w:hideMark/>
          </w:tcPr>
          <w:p w:rsidR="009B6DDC" w:rsidRPr="00933B3E" w:rsidRDefault="009B6DDC" w:rsidP="00F75BD5">
            <w:pPr>
              <w:keepNext/>
              <w:keepLines/>
              <w:spacing w:before="40" w:after="40"/>
              <w:rPr>
                <w:color w:val="000000"/>
                <w:sz w:val="18"/>
                <w:szCs w:val="18"/>
                <w:lang w:eastAsia="fr-CH"/>
              </w:rPr>
            </w:pPr>
            <w:r w:rsidRPr="00933B3E">
              <w:rPr>
                <w:color w:val="000000"/>
                <w:sz w:val="18"/>
                <w:szCs w:val="18"/>
                <w:lang w:eastAsia="fr-CH"/>
              </w:rPr>
              <w:t>Quick Start Programme Executive Board</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2 000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 xml:space="preserve">2 000 </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4 000</w:t>
            </w:r>
          </w:p>
        </w:tc>
      </w:tr>
      <w:tr w:rsidR="009B6DDC" w:rsidRPr="00933B3E" w:rsidTr="00F75BD5">
        <w:trPr>
          <w:trHeight w:val="255"/>
        </w:trPr>
        <w:tc>
          <w:tcPr>
            <w:tcW w:w="426" w:type="dxa"/>
            <w:noWrap/>
            <w:vAlign w:val="center"/>
            <w:hideMark/>
          </w:tcPr>
          <w:p w:rsidR="009B6DDC" w:rsidRPr="00933B3E" w:rsidRDefault="009B6DDC" w:rsidP="00F75BD5">
            <w:pPr>
              <w:keepNext/>
              <w:keepLines/>
              <w:rPr>
                <w:lang w:eastAsia="fr-CH"/>
              </w:rPr>
            </w:pPr>
          </w:p>
        </w:tc>
        <w:tc>
          <w:tcPr>
            <w:tcW w:w="567" w:type="dxa"/>
            <w:noWrap/>
            <w:vAlign w:val="center"/>
            <w:hideMark/>
          </w:tcPr>
          <w:p w:rsidR="009B6DDC" w:rsidRPr="00933B3E" w:rsidRDefault="009B6DDC" w:rsidP="00F75BD5">
            <w:pPr>
              <w:keepNext/>
              <w:keepLines/>
              <w:rPr>
                <w:lang w:eastAsia="fr-CH"/>
              </w:rPr>
            </w:pPr>
          </w:p>
        </w:tc>
        <w:tc>
          <w:tcPr>
            <w:tcW w:w="846"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2102</w:t>
            </w:r>
          </w:p>
        </w:tc>
        <w:tc>
          <w:tcPr>
            <w:tcW w:w="4257" w:type="dxa"/>
            <w:noWrap/>
            <w:vAlign w:val="center"/>
            <w:hideMark/>
          </w:tcPr>
          <w:p w:rsidR="009B6DDC" w:rsidRPr="00933B3E" w:rsidRDefault="009B6DDC" w:rsidP="00F75BD5">
            <w:pPr>
              <w:keepNext/>
              <w:keepLines/>
              <w:spacing w:before="40" w:after="40"/>
              <w:rPr>
                <w:color w:val="000000"/>
                <w:sz w:val="18"/>
                <w:szCs w:val="18"/>
                <w:lang w:eastAsia="fr-CH"/>
              </w:rPr>
            </w:pPr>
            <w:r w:rsidRPr="00933B3E">
              <w:rPr>
                <w:color w:val="000000"/>
                <w:sz w:val="18"/>
                <w:szCs w:val="18"/>
                <w:lang w:eastAsia="fr-CH"/>
              </w:rPr>
              <w:t>Regional meetings</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80 000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 xml:space="preserve"> 80 000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160 000</w:t>
            </w:r>
          </w:p>
        </w:tc>
      </w:tr>
      <w:tr w:rsidR="009B6DDC" w:rsidRPr="00933B3E" w:rsidTr="00F75BD5">
        <w:trPr>
          <w:trHeight w:val="255"/>
        </w:trPr>
        <w:tc>
          <w:tcPr>
            <w:tcW w:w="426" w:type="dxa"/>
            <w:noWrap/>
            <w:vAlign w:val="center"/>
            <w:hideMark/>
          </w:tcPr>
          <w:p w:rsidR="009B6DDC" w:rsidRPr="00933B3E" w:rsidRDefault="009B6DDC" w:rsidP="00F75BD5">
            <w:pPr>
              <w:keepNext/>
              <w:keepLines/>
              <w:rPr>
                <w:lang w:eastAsia="fr-CH"/>
              </w:rPr>
            </w:pPr>
          </w:p>
        </w:tc>
        <w:tc>
          <w:tcPr>
            <w:tcW w:w="567" w:type="dxa"/>
            <w:noWrap/>
            <w:vAlign w:val="center"/>
            <w:hideMark/>
          </w:tcPr>
          <w:p w:rsidR="009B6DDC" w:rsidRPr="00933B3E" w:rsidRDefault="009B6DDC" w:rsidP="00F75BD5">
            <w:pPr>
              <w:keepNext/>
              <w:keepLines/>
              <w:rPr>
                <w:lang w:eastAsia="fr-CH"/>
              </w:rPr>
            </w:pPr>
          </w:p>
        </w:tc>
        <w:tc>
          <w:tcPr>
            <w:tcW w:w="846"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2103</w:t>
            </w:r>
          </w:p>
        </w:tc>
        <w:tc>
          <w:tcPr>
            <w:tcW w:w="4257" w:type="dxa"/>
            <w:noWrap/>
            <w:vAlign w:val="center"/>
            <w:hideMark/>
          </w:tcPr>
          <w:p w:rsidR="009B6DDC" w:rsidRPr="00933B3E" w:rsidRDefault="009B6DDC" w:rsidP="00F75BD5">
            <w:pPr>
              <w:keepNext/>
              <w:keepLines/>
              <w:spacing w:before="40" w:after="40"/>
              <w:rPr>
                <w:color w:val="000000"/>
                <w:sz w:val="18"/>
                <w:szCs w:val="18"/>
                <w:lang w:eastAsia="fr-CH"/>
              </w:rPr>
            </w:pPr>
            <w:r w:rsidRPr="00933B3E">
              <w:rPr>
                <w:color w:val="000000"/>
                <w:sz w:val="18"/>
                <w:szCs w:val="18"/>
                <w:lang w:eastAsia="fr-CH"/>
              </w:rPr>
              <w:t>Third meeting of the Open-ended Working Group</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300 000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300 000</w:t>
            </w:r>
          </w:p>
        </w:tc>
      </w:tr>
      <w:tr w:rsidR="009B6DDC" w:rsidRPr="00933B3E" w:rsidTr="00F75BD5">
        <w:trPr>
          <w:trHeight w:val="255"/>
        </w:trPr>
        <w:tc>
          <w:tcPr>
            <w:tcW w:w="426" w:type="dxa"/>
            <w:noWrap/>
            <w:vAlign w:val="center"/>
            <w:hideMark/>
          </w:tcPr>
          <w:p w:rsidR="009B6DDC" w:rsidRPr="00933B3E" w:rsidRDefault="009B6DDC" w:rsidP="00F75BD5">
            <w:pPr>
              <w:keepNext/>
              <w:keepLines/>
              <w:rPr>
                <w:lang w:eastAsia="fr-CH"/>
              </w:rPr>
            </w:pPr>
          </w:p>
        </w:tc>
        <w:tc>
          <w:tcPr>
            <w:tcW w:w="567" w:type="dxa"/>
            <w:noWrap/>
            <w:vAlign w:val="center"/>
            <w:hideMark/>
          </w:tcPr>
          <w:p w:rsidR="009B6DDC" w:rsidRPr="00933B3E" w:rsidRDefault="009B6DDC" w:rsidP="00F75BD5">
            <w:pPr>
              <w:keepNext/>
              <w:keepLines/>
              <w:rPr>
                <w:lang w:eastAsia="fr-CH"/>
              </w:rPr>
            </w:pPr>
          </w:p>
        </w:tc>
        <w:tc>
          <w:tcPr>
            <w:tcW w:w="846"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2104</w:t>
            </w:r>
          </w:p>
        </w:tc>
        <w:tc>
          <w:tcPr>
            <w:tcW w:w="4257" w:type="dxa"/>
            <w:noWrap/>
            <w:vAlign w:val="center"/>
            <w:hideMark/>
          </w:tcPr>
          <w:p w:rsidR="009B6DDC" w:rsidRPr="00933B3E" w:rsidRDefault="009B6DDC" w:rsidP="00F75BD5">
            <w:pPr>
              <w:keepNext/>
              <w:keepLines/>
              <w:spacing w:before="40" w:after="40"/>
              <w:rPr>
                <w:color w:val="000000"/>
                <w:sz w:val="18"/>
                <w:szCs w:val="18"/>
                <w:lang w:eastAsia="fr-CH"/>
              </w:rPr>
            </w:pPr>
            <w:r w:rsidRPr="00933B3E">
              <w:rPr>
                <w:color w:val="000000"/>
                <w:sz w:val="18"/>
                <w:szCs w:val="18"/>
                <w:lang w:eastAsia="fr-CH"/>
              </w:rPr>
              <w:t>Bureau meetings</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3 000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3 000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3 000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3 000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3 000</w:t>
            </w:r>
          </w:p>
        </w:tc>
        <w:tc>
          <w:tcPr>
            <w:tcW w:w="1174" w:type="dxa"/>
            <w:noWrap/>
            <w:vAlign w:val="center"/>
            <w:hideMark/>
          </w:tcPr>
          <w:p w:rsidR="009B6DDC" w:rsidRPr="00933B3E" w:rsidRDefault="009B6DDC" w:rsidP="00F75BD5">
            <w:pPr>
              <w:keepNext/>
              <w:keepLines/>
              <w:spacing w:before="40" w:after="40"/>
              <w:jc w:val="right"/>
              <w:rPr>
                <w:color w:val="000000"/>
                <w:sz w:val="18"/>
                <w:szCs w:val="18"/>
                <w:lang w:eastAsia="fr-CH"/>
              </w:rPr>
            </w:pPr>
            <w:r w:rsidRPr="00933B3E">
              <w:rPr>
                <w:color w:val="000000"/>
                <w:sz w:val="18"/>
                <w:szCs w:val="18"/>
                <w:lang w:eastAsia="fr-CH"/>
              </w:rPr>
              <w:t>15 000</w:t>
            </w:r>
          </w:p>
        </w:tc>
      </w:tr>
      <w:tr w:rsidR="009B6DDC" w:rsidRPr="00933B3E" w:rsidTr="00F75BD5">
        <w:trPr>
          <w:trHeight w:val="270"/>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2105</w:t>
            </w:r>
          </w:p>
        </w:tc>
        <w:tc>
          <w:tcPr>
            <w:tcW w:w="4257" w:type="dxa"/>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Fifth session of the Conference</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450 000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450 000</w:t>
            </w: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2106</w:t>
            </w:r>
          </w:p>
        </w:tc>
        <w:tc>
          <w:tcPr>
            <w:tcW w:w="4257" w:type="dxa"/>
            <w:tcBorders>
              <w:top w:val="nil"/>
              <w:left w:val="nil"/>
              <w:bottom w:val="single" w:sz="4" w:space="0" w:color="auto"/>
              <w:right w:val="nil"/>
            </w:tcBorders>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Intersessional process beyond 2020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25 000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 xml:space="preserve">25 000 </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25 000</w:t>
            </w:r>
          </w:p>
        </w:tc>
        <w:tc>
          <w:tcPr>
            <w:tcW w:w="1174" w:type="dxa"/>
            <w:tcBorders>
              <w:top w:val="nil"/>
              <w:left w:val="nil"/>
              <w:bottom w:val="single" w:sz="4" w:space="0" w:color="auto"/>
              <w:right w:val="nil"/>
            </w:tcBorders>
            <w:noWrap/>
            <w:vAlign w:val="center"/>
            <w:hideMark/>
          </w:tcPr>
          <w:p w:rsidR="009B6DDC" w:rsidRPr="00933B3E" w:rsidRDefault="009B6DDC" w:rsidP="00F75BD5">
            <w:pPr>
              <w:jc w:val="right"/>
              <w:rPr>
                <w:lang w:eastAsia="fr-CH"/>
              </w:rPr>
            </w:pP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75 000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2299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108 000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328 000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85 000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453 000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1 004 000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2999</w:t>
            </w:r>
          </w:p>
        </w:tc>
        <w:tc>
          <w:tcPr>
            <w:tcW w:w="5103" w:type="dxa"/>
            <w:gridSpan w:val="2"/>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Component 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108 000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328 000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85 000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453 000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1 004 000</w:t>
            </w:r>
          </w:p>
        </w:tc>
      </w:tr>
      <w:tr w:rsidR="009B6DDC" w:rsidRPr="00933B3E" w:rsidTr="00F75BD5">
        <w:trPr>
          <w:trHeight w:val="56"/>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3100</w:t>
            </w:r>
          </w:p>
        </w:tc>
        <w:tc>
          <w:tcPr>
            <w:tcW w:w="5103" w:type="dxa"/>
            <w:gridSpan w:val="2"/>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Meetings and conferences (title)</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3101</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Quick Start Programme Executive Board</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13 000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13 000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26 000</w:t>
            </w: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3102</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Regional meetings</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280 000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290 000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570 000</w:t>
            </w: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3103</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Third meeting of the Open-ended Working Group</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 xml:space="preserve"> 400 000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400 000</w:t>
            </w: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3104</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Bureau meetings</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23 500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24 000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24 500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 xml:space="preserve"> 25 000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25 500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122 500</w:t>
            </w:r>
          </w:p>
        </w:tc>
      </w:tr>
      <w:tr w:rsidR="009B6DDC" w:rsidRPr="00933B3E" w:rsidTr="00F75BD5">
        <w:trPr>
          <w:trHeight w:val="270"/>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3105</w:t>
            </w:r>
          </w:p>
        </w:tc>
        <w:tc>
          <w:tcPr>
            <w:tcW w:w="4257" w:type="dxa"/>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Fifth session of the Conference</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1 000 000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1 000 000</w:t>
            </w: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3106</w:t>
            </w:r>
          </w:p>
        </w:tc>
        <w:tc>
          <w:tcPr>
            <w:tcW w:w="4257" w:type="dxa"/>
            <w:tcBorders>
              <w:top w:val="nil"/>
              <w:left w:val="nil"/>
              <w:bottom w:val="single" w:sz="4" w:space="0" w:color="auto"/>
              <w:right w:val="nil"/>
            </w:tcBorders>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Intersessional process beyond 2020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125 000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125 000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125 000</w:t>
            </w:r>
          </w:p>
        </w:tc>
        <w:tc>
          <w:tcPr>
            <w:tcW w:w="1174" w:type="dxa"/>
            <w:tcBorders>
              <w:top w:val="nil"/>
              <w:left w:val="nil"/>
              <w:bottom w:val="single" w:sz="4" w:space="0" w:color="auto"/>
              <w:right w:val="nil"/>
            </w:tcBorders>
            <w:noWrap/>
            <w:vAlign w:val="center"/>
            <w:hideMark/>
          </w:tcPr>
          <w:p w:rsidR="009B6DDC" w:rsidRPr="00933B3E" w:rsidRDefault="009B6DDC" w:rsidP="00F75BD5">
            <w:pPr>
              <w:jc w:val="right"/>
              <w:rPr>
                <w:lang w:eastAsia="fr-CH"/>
              </w:rPr>
            </w:pP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375 000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3399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161 500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429 000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549 500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328 000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1 025 500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2 493 500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3999</w:t>
            </w:r>
          </w:p>
        </w:tc>
        <w:tc>
          <w:tcPr>
            <w:tcW w:w="5103" w:type="dxa"/>
            <w:gridSpan w:val="2"/>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Component 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161'500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429 000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549 500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328 000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1 025 500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2 493 500</w:t>
            </w:r>
          </w:p>
        </w:tc>
      </w:tr>
      <w:tr w:rsidR="009B6DDC" w:rsidRPr="00933B3E" w:rsidTr="00F75BD5">
        <w:trPr>
          <w:trHeight w:val="56"/>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40</w:t>
            </w:r>
          </w:p>
        </w:tc>
        <w:tc>
          <w:tcPr>
            <w:tcW w:w="5670" w:type="dxa"/>
            <w:gridSpan w:val="3"/>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Equipment and premises component</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66"/>
        </w:trPr>
        <w:tc>
          <w:tcPr>
            <w:tcW w:w="426" w:type="dxa"/>
            <w:noWrap/>
            <w:vAlign w:val="center"/>
            <w:hideMark/>
          </w:tcPr>
          <w:p w:rsidR="009B6DDC" w:rsidRPr="00933B3E" w:rsidRDefault="009B6DDC" w:rsidP="00F75BD5">
            <w:pPr>
              <w:rPr>
                <w:b/>
                <w:lang w:eastAsia="fr-CH"/>
              </w:rPr>
            </w:pPr>
          </w:p>
        </w:tc>
        <w:tc>
          <w:tcPr>
            <w:tcW w:w="567" w:type="dxa"/>
            <w:noWrap/>
            <w:vAlign w:val="center"/>
            <w:hideMark/>
          </w:tcPr>
          <w:p w:rsidR="009B6DDC" w:rsidRPr="00933B3E" w:rsidRDefault="009B6DDC" w:rsidP="00F75BD5">
            <w:pPr>
              <w:rPr>
                <w:b/>
                <w:lang w:eastAsia="fr-CH"/>
              </w:rPr>
            </w:pPr>
          </w:p>
        </w:tc>
        <w:tc>
          <w:tcPr>
            <w:tcW w:w="846" w:type="dxa"/>
            <w:noWrap/>
            <w:vAlign w:val="center"/>
            <w:hideMark/>
          </w:tcPr>
          <w:p w:rsidR="009B6DDC" w:rsidRPr="00933B3E" w:rsidRDefault="009B6DDC" w:rsidP="00F75BD5">
            <w:pPr>
              <w:rPr>
                <w:b/>
                <w:lang w:eastAsia="fr-CH"/>
              </w:rPr>
            </w:pPr>
          </w:p>
        </w:tc>
        <w:tc>
          <w:tcPr>
            <w:tcW w:w="4257" w:type="dxa"/>
            <w:noWrap/>
            <w:vAlign w:val="center"/>
            <w:hideMark/>
          </w:tcPr>
          <w:p w:rsidR="009B6DDC" w:rsidRPr="00933B3E" w:rsidRDefault="009B6DDC" w:rsidP="00F75BD5">
            <w:pPr>
              <w:rPr>
                <w:b/>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b/>
                <w:lang w:eastAsia="fr-CH"/>
              </w:rPr>
            </w:pPr>
          </w:p>
        </w:tc>
        <w:tc>
          <w:tcPr>
            <w:tcW w:w="567" w:type="dxa"/>
            <w:noWrap/>
            <w:vAlign w:val="center"/>
            <w:hideMark/>
          </w:tcPr>
          <w:p w:rsidR="009B6DDC" w:rsidRPr="00933B3E" w:rsidRDefault="009B6DDC" w:rsidP="00F75BD5">
            <w:pPr>
              <w:spacing w:before="40" w:after="40"/>
              <w:jc w:val="center"/>
              <w:rPr>
                <w:b/>
                <w:bCs/>
                <w:color w:val="000000"/>
                <w:sz w:val="18"/>
                <w:szCs w:val="18"/>
                <w:lang w:eastAsia="fr-CH"/>
              </w:rPr>
            </w:pPr>
            <w:r w:rsidRPr="00933B3E">
              <w:rPr>
                <w:b/>
                <w:bCs/>
                <w:color w:val="000000"/>
                <w:sz w:val="18"/>
                <w:szCs w:val="18"/>
                <w:lang w:eastAsia="fr-CH"/>
              </w:rPr>
              <w:t>4100</w:t>
            </w:r>
          </w:p>
        </w:tc>
        <w:tc>
          <w:tcPr>
            <w:tcW w:w="5103" w:type="dxa"/>
            <w:gridSpan w:val="2"/>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Expendable equipment (items under $1,500)</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4101</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Office supplies</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1 200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1 200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1 200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1 200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1 200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6 000</w:t>
            </w: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4102</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 xml:space="preserve">Computer software </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4199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 xml:space="preserve">1 200 </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8 000</w:t>
            </w:r>
          </w:p>
        </w:tc>
      </w:tr>
      <w:tr w:rsidR="009B6DDC" w:rsidRPr="00933B3E" w:rsidTr="00F75BD5">
        <w:trPr>
          <w:trHeight w:val="56"/>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center"/>
              <w:rPr>
                <w:b/>
                <w:bCs/>
                <w:color w:val="000000"/>
                <w:sz w:val="18"/>
                <w:szCs w:val="18"/>
                <w:lang w:eastAsia="fr-CH"/>
              </w:rPr>
            </w:pPr>
            <w:r w:rsidRPr="00933B3E">
              <w:rPr>
                <w:b/>
                <w:bCs/>
                <w:color w:val="000000"/>
                <w:sz w:val="18"/>
                <w:szCs w:val="18"/>
                <w:lang w:eastAsia="fr-CH"/>
              </w:rPr>
              <w:t>4200</w:t>
            </w:r>
          </w:p>
        </w:tc>
        <w:tc>
          <w:tcPr>
            <w:tcW w:w="5103" w:type="dxa"/>
            <w:gridSpan w:val="2"/>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Non-expendable equipment (see items listed on budget worksheet)</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4201</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Computer hardware</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1 500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1 500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1 500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4 500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4299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4 500</w:t>
            </w:r>
          </w:p>
        </w:tc>
      </w:tr>
      <w:tr w:rsidR="009B6DDC" w:rsidRPr="00933B3E" w:rsidTr="00F75BD5">
        <w:trPr>
          <w:trHeight w:val="56"/>
        </w:trPr>
        <w:tc>
          <w:tcPr>
            <w:tcW w:w="426" w:type="dxa"/>
            <w:tcBorders>
              <w:top w:val="single" w:sz="4" w:space="0" w:color="auto"/>
              <w:left w:val="nil"/>
              <w:bottom w:val="nil"/>
              <w:right w:val="nil"/>
            </w:tcBorders>
            <w:noWrap/>
            <w:vAlign w:val="center"/>
            <w:hideMark/>
          </w:tcPr>
          <w:p w:rsidR="009B6DDC" w:rsidRPr="00933B3E" w:rsidRDefault="009B6DDC" w:rsidP="00F75BD5">
            <w:pPr>
              <w:rPr>
                <w:sz w:val="10"/>
                <w:szCs w:val="10"/>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sz w:val="10"/>
                <w:szCs w:val="10"/>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sz w:val="10"/>
                <w:szCs w:val="10"/>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sz w:val="10"/>
                <w:szCs w:val="10"/>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sz w:val="10"/>
                <w:szCs w:val="10"/>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sz w:val="10"/>
                <w:szCs w:val="10"/>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sz w:val="10"/>
                <w:szCs w:val="10"/>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sz w:val="10"/>
                <w:szCs w:val="10"/>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sz w:val="10"/>
                <w:szCs w:val="10"/>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center"/>
              <w:rPr>
                <w:bCs/>
                <w:color w:val="000000"/>
                <w:sz w:val="18"/>
                <w:szCs w:val="18"/>
                <w:lang w:eastAsia="fr-CH"/>
              </w:rPr>
            </w:pPr>
            <w:r w:rsidRPr="00933B3E">
              <w:rPr>
                <w:bCs/>
                <w:color w:val="000000"/>
                <w:sz w:val="18"/>
                <w:szCs w:val="18"/>
                <w:lang w:eastAsia="fr-CH"/>
              </w:rPr>
              <w:t>4300</w:t>
            </w:r>
          </w:p>
        </w:tc>
        <w:tc>
          <w:tcPr>
            <w:tcW w:w="5103" w:type="dxa"/>
            <w:gridSpan w:val="2"/>
            <w:noWrap/>
            <w:vAlign w:val="center"/>
            <w:hideMark/>
          </w:tcPr>
          <w:p w:rsidR="009B6DDC" w:rsidRPr="00933B3E" w:rsidRDefault="009B6DDC" w:rsidP="00F75BD5">
            <w:pPr>
              <w:spacing w:before="40" w:after="40"/>
              <w:rPr>
                <w:bCs/>
                <w:color w:val="000000"/>
                <w:sz w:val="18"/>
                <w:szCs w:val="18"/>
                <w:lang w:eastAsia="fr-CH"/>
              </w:rPr>
            </w:pPr>
            <w:r w:rsidRPr="00933B3E">
              <w:rPr>
                <w:bCs/>
                <w:color w:val="000000"/>
                <w:sz w:val="18"/>
                <w:szCs w:val="18"/>
                <w:lang w:eastAsia="fr-CH"/>
              </w:rPr>
              <w:t>Premises (rent)</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4301</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Office rental and premises</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17 000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17 500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18 000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18 500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19 000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90 000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4399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17 000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17 500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18 000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18 500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19 000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90 000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4999</w:t>
            </w:r>
          </w:p>
        </w:tc>
        <w:tc>
          <w:tcPr>
            <w:tcW w:w="5103" w:type="dxa"/>
            <w:gridSpan w:val="2"/>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Component 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21 700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20 200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20 700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19 700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20 200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102 500</w:t>
            </w:r>
          </w:p>
        </w:tc>
      </w:tr>
      <w:tr w:rsidR="009B6DDC" w:rsidRPr="00933B3E" w:rsidTr="00F75BD5">
        <w:trPr>
          <w:trHeight w:val="132"/>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50</w:t>
            </w:r>
          </w:p>
        </w:tc>
        <w:tc>
          <w:tcPr>
            <w:tcW w:w="5670" w:type="dxa"/>
            <w:gridSpan w:val="3"/>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Miscellaneous component</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b/>
                <w:lang w:eastAsia="fr-CH"/>
              </w:rPr>
            </w:pPr>
          </w:p>
        </w:tc>
        <w:tc>
          <w:tcPr>
            <w:tcW w:w="567"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5200</w:t>
            </w:r>
          </w:p>
        </w:tc>
        <w:tc>
          <w:tcPr>
            <w:tcW w:w="5103" w:type="dxa"/>
            <w:gridSpan w:val="2"/>
            <w:noWrap/>
            <w:vAlign w:val="center"/>
            <w:hideMark/>
          </w:tcPr>
          <w:p w:rsidR="009B6DDC" w:rsidRPr="00933B3E" w:rsidRDefault="009B6DDC" w:rsidP="00F75BD5">
            <w:pPr>
              <w:spacing w:before="40" w:after="40"/>
              <w:rPr>
                <w:b/>
                <w:color w:val="000000"/>
                <w:sz w:val="18"/>
                <w:szCs w:val="18"/>
                <w:lang w:eastAsia="fr-CH"/>
              </w:rPr>
            </w:pPr>
            <w:r w:rsidRPr="00933B3E">
              <w:rPr>
                <w:b/>
                <w:color w:val="000000"/>
                <w:sz w:val="18"/>
                <w:szCs w:val="18"/>
                <w:lang w:eastAsia="fr-CH"/>
              </w:rPr>
              <w:t>Reporting costs</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rPr>
                <w:lang w:eastAsia="fr-CH"/>
              </w:rPr>
            </w:pPr>
          </w:p>
        </w:tc>
        <w:tc>
          <w:tcPr>
            <w:tcW w:w="846"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5201</w:t>
            </w:r>
          </w:p>
        </w:tc>
        <w:tc>
          <w:tcPr>
            <w:tcW w:w="4257" w:type="dxa"/>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Printing and translation costs</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7 500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8 000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9 000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12 000</w:t>
            </w:r>
          </w:p>
        </w:tc>
        <w:tc>
          <w:tcPr>
            <w:tcW w:w="1174" w:type="dxa"/>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43 500</w:t>
            </w: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5202</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Publication of Strategic Approach texts</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20 000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5299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27 000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7 500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8 000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9 000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12 000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63 500</w:t>
            </w:r>
          </w:p>
        </w:tc>
      </w:tr>
      <w:tr w:rsidR="009B6DDC" w:rsidRPr="00933B3E" w:rsidTr="00F75BD5">
        <w:trPr>
          <w:trHeight w:val="56"/>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color w:val="000000"/>
                <w:sz w:val="10"/>
                <w:szCs w:val="10"/>
                <w:lang w:eastAsia="fr-CH"/>
              </w:rPr>
            </w:pPr>
            <w:r w:rsidRPr="00933B3E">
              <w:rPr>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5300</w:t>
            </w:r>
          </w:p>
        </w:tc>
        <w:tc>
          <w:tcPr>
            <w:tcW w:w="846" w:type="dxa"/>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Sundry</w:t>
            </w:r>
          </w:p>
        </w:tc>
        <w:tc>
          <w:tcPr>
            <w:tcW w:w="4257" w:type="dxa"/>
            <w:noWrap/>
            <w:vAlign w:val="center"/>
            <w:hideMark/>
          </w:tcPr>
          <w:p w:rsidR="009B6DDC" w:rsidRPr="00933B3E" w:rsidRDefault="009B6DDC" w:rsidP="00F75BD5">
            <w:pPr>
              <w:rPr>
                <w:b/>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5301</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Communications</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7 200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 xml:space="preserve">7 200 </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7 200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7 200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7 200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36 000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5399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7 200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 xml:space="preserve">7 200 </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7 200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7 200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7 200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36'000</w:t>
            </w:r>
          </w:p>
        </w:tc>
      </w:tr>
      <w:tr w:rsidR="009B6DDC" w:rsidRPr="00933B3E" w:rsidTr="00F75BD5">
        <w:trPr>
          <w:trHeight w:val="56"/>
        </w:trPr>
        <w:tc>
          <w:tcPr>
            <w:tcW w:w="426"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nil"/>
              <w:right w:val="nil"/>
            </w:tcBorders>
            <w:noWrap/>
            <w:vAlign w:val="center"/>
            <w:hideMark/>
          </w:tcPr>
          <w:p w:rsidR="009B6DDC" w:rsidRPr="00933B3E" w:rsidRDefault="009B6DDC" w:rsidP="00F75BD5">
            <w:pPr>
              <w:rPr>
                <w:b/>
                <w:bCs/>
                <w:color w:val="000000"/>
                <w:sz w:val="10"/>
                <w:szCs w:val="10"/>
                <w:lang w:eastAsia="fr-CH"/>
              </w:rPr>
            </w:pPr>
            <w:r w:rsidRPr="00933B3E">
              <w:rPr>
                <w:b/>
                <w:bCs/>
                <w:color w:val="000000"/>
                <w:sz w:val="10"/>
                <w:szCs w:val="10"/>
                <w:lang w:eastAsia="fr-CH"/>
              </w:rPr>
              <w:t> </w:t>
            </w:r>
          </w:p>
        </w:tc>
        <w:tc>
          <w:tcPr>
            <w:tcW w:w="4257" w:type="dxa"/>
            <w:tcBorders>
              <w:top w:val="single" w:sz="4" w:space="0" w:color="auto"/>
              <w:left w:val="nil"/>
              <w:bottom w:val="nil"/>
              <w:right w:val="nil"/>
            </w:tcBorders>
            <w:noWrap/>
            <w:vAlign w:val="center"/>
            <w:hideMark/>
          </w:tcPr>
          <w:p w:rsidR="009B6DDC" w:rsidRPr="00933B3E" w:rsidRDefault="009B6DDC" w:rsidP="00F75BD5">
            <w:pPr>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c>
          <w:tcPr>
            <w:tcW w:w="1174" w:type="dxa"/>
            <w:tcBorders>
              <w:top w:val="single" w:sz="4" w:space="0" w:color="auto"/>
              <w:left w:val="nil"/>
              <w:bottom w:val="nil"/>
              <w:right w:val="nil"/>
            </w:tcBorders>
            <w:noWrap/>
            <w:vAlign w:val="center"/>
            <w:hideMark/>
          </w:tcPr>
          <w:p w:rsidR="009B6DDC" w:rsidRPr="00933B3E" w:rsidRDefault="009B6DDC" w:rsidP="00F75BD5">
            <w:pPr>
              <w:jc w:val="right"/>
              <w:rPr>
                <w:lang w:eastAsia="fr-CH"/>
              </w:rPr>
            </w:pPr>
          </w:p>
        </w:tc>
      </w:tr>
      <w:tr w:rsidR="009B6DDC" w:rsidRPr="00933B3E" w:rsidTr="00F75BD5">
        <w:trPr>
          <w:trHeight w:val="255"/>
        </w:trPr>
        <w:tc>
          <w:tcPr>
            <w:tcW w:w="426" w:type="dxa"/>
            <w:noWrap/>
            <w:vAlign w:val="center"/>
            <w:hideMark/>
          </w:tcPr>
          <w:p w:rsidR="009B6DDC" w:rsidRPr="00933B3E" w:rsidRDefault="009B6DDC" w:rsidP="00F75BD5">
            <w:pPr>
              <w:rPr>
                <w:lang w:eastAsia="fr-CH"/>
              </w:rPr>
            </w:pPr>
          </w:p>
        </w:tc>
        <w:tc>
          <w:tcPr>
            <w:tcW w:w="567" w:type="dxa"/>
            <w:noWrap/>
            <w:vAlign w:val="center"/>
            <w:hideMark/>
          </w:tcPr>
          <w:p w:rsidR="009B6DDC" w:rsidRPr="00933B3E" w:rsidRDefault="009B6DDC" w:rsidP="00F75BD5">
            <w:pPr>
              <w:spacing w:before="40" w:after="40"/>
              <w:jc w:val="right"/>
              <w:rPr>
                <w:bCs/>
                <w:color w:val="000000"/>
                <w:sz w:val="18"/>
                <w:szCs w:val="18"/>
                <w:lang w:eastAsia="fr-CH"/>
              </w:rPr>
            </w:pPr>
            <w:r w:rsidRPr="00933B3E">
              <w:rPr>
                <w:bCs/>
                <w:color w:val="000000"/>
                <w:sz w:val="18"/>
                <w:szCs w:val="18"/>
                <w:lang w:eastAsia="fr-CH"/>
              </w:rPr>
              <w:t>5500</w:t>
            </w:r>
          </w:p>
        </w:tc>
        <w:tc>
          <w:tcPr>
            <w:tcW w:w="5103" w:type="dxa"/>
            <w:gridSpan w:val="2"/>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Evaluation</w:t>
            </w: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c>
          <w:tcPr>
            <w:tcW w:w="1174" w:type="dxa"/>
            <w:noWrap/>
            <w:vAlign w:val="center"/>
            <w:hideMark/>
          </w:tcPr>
          <w:p w:rsidR="009B6DDC" w:rsidRPr="00933B3E" w:rsidRDefault="009B6DDC" w:rsidP="00F75BD5">
            <w:pPr>
              <w:jc w:val="right"/>
              <w:rPr>
                <w:lang w:eastAsia="fr-CH"/>
              </w:rPr>
            </w:pPr>
          </w:p>
        </w:tc>
      </w:tr>
      <w:tr w:rsidR="009B6DDC" w:rsidRPr="00933B3E" w:rsidTr="00F75BD5">
        <w:trPr>
          <w:trHeight w:val="270"/>
        </w:trPr>
        <w:tc>
          <w:tcPr>
            <w:tcW w:w="426"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nil"/>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5501</w:t>
            </w:r>
          </w:p>
        </w:tc>
        <w:tc>
          <w:tcPr>
            <w:tcW w:w="4257" w:type="dxa"/>
            <w:tcBorders>
              <w:top w:val="nil"/>
              <w:left w:val="nil"/>
              <w:bottom w:val="single" w:sz="4" w:space="0" w:color="auto"/>
              <w:right w:val="nil"/>
            </w:tcBorders>
            <w:noWrap/>
            <w:vAlign w:val="center"/>
            <w:hideMark/>
          </w:tcPr>
          <w:p w:rsidR="009B6DDC" w:rsidRPr="00933B3E" w:rsidRDefault="009B6DDC" w:rsidP="00F75BD5">
            <w:pPr>
              <w:spacing w:before="40" w:after="40"/>
              <w:rPr>
                <w:color w:val="000000"/>
                <w:sz w:val="18"/>
                <w:szCs w:val="18"/>
                <w:lang w:eastAsia="fr-CH"/>
              </w:rPr>
            </w:pPr>
            <w:r w:rsidRPr="00933B3E">
              <w:rPr>
                <w:color w:val="000000"/>
                <w:sz w:val="18"/>
                <w:szCs w:val="18"/>
                <w:lang w:eastAsia="fr-CH"/>
              </w:rPr>
              <w:t>Final evaluation</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30 000</w:t>
            </w:r>
          </w:p>
        </w:tc>
        <w:tc>
          <w:tcPr>
            <w:tcW w:w="1174" w:type="dxa"/>
            <w:tcBorders>
              <w:top w:val="nil"/>
              <w:left w:val="nil"/>
              <w:bottom w:val="single" w:sz="4" w:space="0" w:color="auto"/>
              <w:right w:val="nil"/>
            </w:tcBorders>
            <w:noWrap/>
            <w:vAlign w:val="center"/>
            <w:hideMark/>
          </w:tcPr>
          <w:p w:rsidR="009B6DDC" w:rsidRPr="00933B3E" w:rsidRDefault="009B6DDC" w:rsidP="00F75BD5">
            <w:pPr>
              <w:spacing w:before="40" w:after="40"/>
              <w:jc w:val="right"/>
              <w:rPr>
                <w:color w:val="000000"/>
                <w:sz w:val="18"/>
                <w:szCs w:val="18"/>
                <w:lang w:eastAsia="fr-CH"/>
              </w:rPr>
            </w:pPr>
            <w:r w:rsidRPr="00933B3E">
              <w:rPr>
                <w:color w:val="000000"/>
                <w:sz w:val="18"/>
                <w:szCs w:val="18"/>
                <w:lang w:eastAsia="fr-CH"/>
              </w:rPr>
              <w:t>30 000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846"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5499</w:t>
            </w:r>
          </w:p>
        </w:tc>
        <w:tc>
          <w:tcPr>
            <w:tcW w:w="425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Subtotal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30 000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30 000</w:t>
            </w:r>
          </w:p>
        </w:tc>
      </w:tr>
      <w:tr w:rsidR="009B6DDC" w:rsidRPr="00933B3E" w:rsidTr="00F75BD5">
        <w:trPr>
          <w:trHeight w:val="270"/>
        </w:trPr>
        <w:tc>
          <w:tcPr>
            <w:tcW w:w="426" w:type="dxa"/>
            <w:tcBorders>
              <w:top w:val="single" w:sz="4" w:space="0" w:color="auto"/>
              <w:left w:val="nil"/>
              <w:bottom w:val="single" w:sz="4" w:space="0" w:color="auto"/>
              <w:right w:val="nil"/>
            </w:tcBorders>
            <w:noWrap/>
            <w:vAlign w:val="center"/>
            <w:hideMark/>
          </w:tcPr>
          <w:p w:rsidR="009B6DDC" w:rsidRPr="00933B3E" w:rsidRDefault="009B6DDC" w:rsidP="00F75BD5">
            <w:pPr>
              <w:rPr>
                <w:lang w:eastAsia="fr-CH"/>
              </w:rPr>
            </w:pPr>
          </w:p>
        </w:tc>
        <w:tc>
          <w:tcPr>
            <w:tcW w:w="567"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5999</w:t>
            </w:r>
          </w:p>
        </w:tc>
        <w:tc>
          <w:tcPr>
            <w:tcW w:w="5103" w:type="dxa"/>
            <w:gridSpan w:val="2"/>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Component total</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34 200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 xml:space="preserve">14 700 </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 xml:space="preserve">15 200 </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16 200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49 200</w:t>
            </w:r>
          </w:p>
        </w:tc>
        <w:tc>
          <w:tcPr>
            <w:tcW w:w="1174" w:type="dxa"/>
            <w:tcBorders>
              <w:top w:val="single" w:sz="4" w:space="0" w:color="auto"/>
              <w:left w:val="nil"/>
              <w:bottom w:val="single" w:sz="4" w:space="0" w:color="auto"/>
              <w:right w:val="nil"/>
            </w:tcBorders>
            <w:noWrap/>
            <w:vAlign w:val="center"/>
            <w:hideMark/>
          </w:tcPr>
          <w:p w:rsidR="009B6DDC" w:rsidRPr="00933B3E" w:rsidRDefault="009B6DDC" w:rsidP="00F75BD5">
            <w:pPr>
              <w:spacing w:before="40" w:after="40"/>
              <w:jc w:val="right"/>
              <w:rPr>
                <w:b/>
                <w:color w:val="000000"/>
                <w:sz w:val="18"/>
                <w:szCs w:val="18"/>
                <w:lang w:eastAsia="fr-CH"/>
              </w:rPr>
            </w:pPr>
            <w:r w:rsidRPr="00933B3E">
              <w:rPr>
                <w:b/>
                <w:color w:val="000000"/>
                <w:sz w:val="18"/>
                <w:szCs w:val="18"/>
                <w:lang w:eastAsia="fr-CH"/>
              </w:rPr>
              <w:t>129 500</w:t>
            </w:r>
          </w:p>
        </w:tc>
      </w:tr>
      <w:tr w:rsidR="009B6DDC" w:rsidRPr="00933B3E" w:rsidTr="00F75BD5">
        <w:trPr>
          <w:trHeight w:val="295"/>
        </w:trPr>
        <w:tc>
          <w:tcPr>
            <w:tcW w:w="6096" w:type="dxa"/>
            <w:gridSpan w:val="4"/>
            <w:tcBorders>
              <w:top w:val="single" w:sz="4" w:space="0" w:color="auto"/>
              <w:left w:val="nil"/>
              <w:bottom w:val="nil"/>
              <w:right w:val="nil"/>
            </w:tcBorders>
            <w:noWrap/>
            <w:vAlign w:val="center"/>
            <w:hideMark/>
          </w:tcPr>
          <w:p w:rsidR="009B6DDC" w:rsidRPr="00933B3E" w:rsidRDefault="009B6DDC" w:rsidP="00F75BD5">
            <w:pPr>
              <w:spacing w:before="40" w:after="40"/>
              <w:rPr>
                <w:color w:val="000000"/>
                <w:sz w:val="10"/>
                <w:szCs w:val="10"/>
                <w:lang w:eastAsia="fr-CH"/>
              </w:rPr>
            </w:pPr>
            <w:r w:rsidRPr="00933B3E">
              <w:rPr>
                <w:b/>
                <w:bCs/>
                <w:color w:val="000000"/>
                <w:sz w:val="18"/>
                <w:szCs w:val="18"/>
                <w:lang w:eastAsia="fr-CH"/>
              </w:rPr>
              <w:t>Direct project cost</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b/>
                <w:bCs/>
                <w:color w:val="000000"/>
                <w:sz w:val="18"/>
                <w:szCs w:val="18"/>
                <w:lang w:eastAsia="fr-CH"/>
              </w:rPr>
              <w:t>1 660 686</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b/>
                <w:bCs/>
                <w:color w:val="000000"/>
                <w:sz w:val="18"/>
                <w:szCs w:val="18"/>
                <w:lang w:eastAsia="fr-CH"/>
              </w:rPr>
              <w:t>2 042 517</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b/>
                <w:bCs/>
                <w:color w:val="000000"/>
                <w:sz w:val="18"/>
                <w:szCs w:val="18"/>
                <w:lang w:eastAsia="fr-CH"/>
              </w:rPr>
              <w:t>2 172 814</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b/>
                <w:bCs/>
                <w:color w:val="000000"/>
                <w:sz w:val="18"/>
                <w:szCs w:val="18"/>
                <w:lang w:eastAsia="fr-CH"/>
              </w:rPr>
              <w:t xml:space="preserve">1 712 291 </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b/>
                <w:bCs/>
                <w:color w:val="000000"/>
                <w:sz w:val="18"/>
                <w:szCs w:val="18"/>
                <w:lang w:eastAsia="fr-CH"/>
              </w:rPr>
              <w:t xml:space="preserve">2 618 319 </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b/>
                <w:bCs/>
                <w:color w:val="000000"/>
                <w:sz w:val="18"/>
                <w:szCs w:val="18"/>
                <w:lang w:eastAsia="fr-CH"/>
              </w:rPr>
              <w:t>10 206 627</w:t>
            </w:r>
          </w:p>
        </w:tc>
      </w:tr>
      <w:tr w:rsidR="009B6DDC" w:rsidRPr="00933B3E" w:rsidTr="00F75BD5">
        <w:trPr>
          <w:trHeight w:val="143"/>
        </w:trPr>
        <w:tc>
          <w:tcPr>
            <w:tcW w:w="6096" w:type="dxa"/>
            <w:gridSpan w:val="4"/>
            <w:tcBorders>
              <w:top w:val="single" w:sz="4" w:space="0" w:color="auto"/>
              <w:left w:val="nil"/>
              <w:bottom w:val="nil"/>
              <w:right w:val="nil"/>
            </w:tcBorders>
            <w:noWrap/>
            <w:vAlign w:val="center"/>
            <w:hideMark/>
          </w:tcPr>
          <w:p w:rsidR="009B6DDC" w:rsidRPr="00933B3E" w:rsidRDefault="009B6DDC" w:rsidP="00F75BD5">
            <w:pPr>
              <w:spacing w:before="40" w:after="40"/>
              <w:rPr>
                <w:color w:val="000000"/>
                <w:sz w:val="18"/>
                <w:szCs w:val="18"/>
                <w:lang w:eastAsia="fr-CH"/>
              </w:rPr>
            </w:pPr>
            <w:r w:rsidRPr="00933B3E">
              <w:rPr>
                <w:b/>
                <w:bCs/>
                <w:color w:val="000000"/>
                <w:sz w:val="18"/>
                <w:szCs w:val="18"/>
                <w:lang w:eastAsia="fr-CH"/>
              </w:rPr>
              <w:t>Programme support costs (13 per cent)</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color w:val="000000"/>
                <w:sz w:val="18"/>
                <w:szCs w:val="18"/>
                <w:lang w:eastAsia="fr-CH"/>
              </w:rPr>
              <w:t>215 889</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color w:val="000000"/>
                <w:sz w:val="18"/>
                <w:szCs w:val="18"/>
                <w:lang w:eastAsia="fr-CH"/>
              </w:rPr>
              <w:t>265 527</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color w:val="000000"/>
                <w:sz w:val="18"/>
                <w:szCs w:val="18"/>
                <w:lang w:eastAsia="fr-CH"/>
              </w:rPr>
              <w:t>282 466</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color w:val="000000"/>
                <w:sz w:val="18"/>
                <w:szCs w:val="18"/>
                <w:lang w:eastAsia="fr-CH"/>
              </w:rPr>
              <w:t>222 598</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color w:val="000000"/>
                <w:sz w:val="18"/>
                <w:szCs w:val="18"/>
                <w:lang w:eastAsia="fr-CH"/>
              </w:rPr>
              <w:t>340 381</w:t>
            </w:r>
          </w:p>
        </w:tc>
        <w:tc>
          <w:tcPr>
            <w:tcW w:w="1174" w:type="dxa"/>
            <w:tcBorders>
              <w:top w:val="single" w:sz="4" w:space="0" w:color="auto"/>
              <w:left w:val="nil"/>
              <w:bottom w:val="nil"/>
              <w:right w:val="nil"/>
            </w:tcBorders>
            <w:noWrap/>
            <w:vAlign w:val="center"/>
            <w:hideMark/>
          </w:tcPr>
          <w:p w:rsidR="009B6DDC" w:rsidRPr="00933B3E" w:rsidRDefault="009B6DDC" w:rsidP="00F75BD5">
            <w:pPr>
              <w:spacing w:before="40" w:after="40"/>
              <w:jc w:val="right"/>
              <w:rPr>
                <w:color w:val="000000"/>
                <w:sz w:val="10"/>
                <w:szCs w:val="10"/>
                <w:lang w:eastAsia="fr-CH"/>
              </w:rPr>
            </w:pPr>
            <w:r w:rsidRPr="00933B3E">
              <w:rPr>
                <w:color w:val="000000"/>
                <w:sz w:val="18"/>
                <w:szCs w:val="18"/>
                <w:lang w:eastAsia="fr-CH"/>
              </w:rPr>
              <w:t>1 326 861</w:t>
            </w:r>
          </w:p>
        </w:tc>
      </w:tr>
      <w:tr w:rsidR="009B6DDC" w:rsidRPr="00933B3E" w:rsidTr="00F75BD5">
        <w:trPr>
          <w:trHeight w:val="270"/>
        </w:trPr>
        <w:tc>
          <w:tcPr>
            <w:tcW w:w="426" w:type="dxa"/>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99</w:t>
            </w:r>
          </w:p>
        </w:tc>
        <w:tc>
          <w:tcPr>
            <w:tcW w:w="1413" w:type="dxa"/>
            <w:gridSpan w:val="2"/>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Grand total</w:t>
            </w:r>
          </w:p>
        </w:tc>
        <w:tc>
          <w:tcPr>
            <w:tcW w:w="4257" w:type="dxa"/>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rPr>
                <w:b/>
                <w:bCs/>
                <w:color w:val="000000"/>
                <w:sz w:val="18"/>
                <w:szCs w:val="18"/>
                <w:lang w:eastAsia="fr-CH"/>
              </w:rPr>
            </w:pPr>
            <w:r w:rsidRPr="00933B3E">
              <w:rPr>
                <w:b/>
                <w:bCs/>
                <w:color w:val="000000"/>
                <w:sz w:val="18"/>
                <w:szCs w:val="18"/>
                <w:lang w:eastAsia="fr-CH"/>
              </w:rPr>
              <w:t> </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1 876 575</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2 308 045</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2 455 280</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1 934 888</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2 958 700</w:t>
            </w:r>
          </w:p>
        </w:tc>
        <w:tc>
          <w:tcPr>
            <w:tcW w:w="1174" w:type="dxa"/>
            <w:tcBorders>
              <w:top w:val="single" w:sz="4" w:space="0" w:color="auto"/>
              <w:left w:val="nil"/>
              <w:bottom w:val="single" w:sz="12" w:space="0" w:color="auto"/>
              <w:right w:val="nil"/>
            </w:tcBorders>
            <w:noWrap/>
            <w:vAlign w:val="center"/>
            <w:hideMark/>
          </w:tcPr>
          <w:p w:rsidR="009B6DDC" w:rsidRPr="00933B3E" w:rsidRDefault="009B6DDC" w:rsidP="00F75BD5">
            <w:pPr>
              <w:spacing w:before="40" w:after="40"/>
              <w:jc w:val="right"/>
              <w:rPr>
                <w:b/>
                <w:bCs/>
                <w:color w:val="000000"/>
                <w:sz w:val="18"/>
                <w:szCs w:val="18"/>
                <w:lang w:eastAsia="fr-CH"/>
              </w:rPr>
            </w:pPr>
            <w:r w:rsidRPr="00933B3E">
              <w:rPr>
                <w:b/>
                <w:bCs/>
                <w:color w:val="000000"/>
                <w:sz w:val="18"/>
                <w:szCs w:val="18"/>
                <w:lang w:eastAsia="fr-CH"/>
              </w:rPr>
              <w:t>11 533 488</w:t>
            </w:r>
          </w:p>
        </w:tc>
      </w:tr>
    </w:tbl>
    <w:p w:rsidR="009B6DDC" w:rsidRPr="00933B3E" w:rsidRDefault="009B6DDC" w:rsidP="009B6DDC">
      <w:pPr>
        <w:pStyle w:val="Normal-pool"/>
        <w:spacing w:before="120"/>
        <w:ind w:left="1247"/>
        <w:rPr>
          <w:sz w:val="17"/>
          <w:szCs w:val="17"/>
          <w:lang w:val="en-US"/>
        </w:rPr>
      </w:pPr>
      <w:proofErr w:type="spellStart"/>
      <w:r w:rsidRPr="00933B3E">
        <w:rPr>
          <w:color w:val="000000"/>
          <w:sz w:val="17"/>
          <w:szCs w:val="17"/>
          <w:vertAlign w:val="superscript"/>
          <w:lang w:val="en-US" w:eastAsia="fr-CH"/>
        </w:rPr>
        <w:t>a</w:t>
      </w:r>
      <w:proofErr w:type="spellEnd"/>
      <w:r w:rsidRPr="00933B3E">
        <w:rPr>
          <w:color w:val="000000"/>
          <w:sz w:val="17"/>
          <w:szCs w:val="17"/>
          <w:lang w:val="en-US" w:eastAsia="fr-CH"/>
        </w:rPr>
        <w:t xml:space="preserve"> The </w:t>
      </w:r>
      <w:r w:rsidRPr="00933B3E">
        <w:rPr>
          <w:color w:val="000000"/>
          <w:sz w:val="18"/>
          <w:szCs w:val="18"/>
          <w:lang w:val="en-US" w:eastAsia="fr-CH"/>
        </w:rPr>
        <w:t xml:space="preserve">Strategic Approach </w:t>
      </w:r>
      <w:r w:rsidRPr="00933B3E">
        <w:rPr>
          <w:color w:val="000000"/>
          <w:sz w:val="17"/>
          <w:szCs w:val="17"/>
          <w:lang w:val="en-US" w:eastAsia="fr-CH"/>
        </w:rPr>
        <w:t>Coordinator D-1 position is funded from the Environment Fund of UNEP</w:t>
      </w:r>
    </w:p>
    <w:p w:rsidR="009B6DDC" w:rsidRPr="00933B3E" w:rsidRDefault="009B6DDC" w:rsidP="009B6DDC">
      <w:pPr>
        <w:pStyle w:val="Normal-pool"/>
        <w:rPr>
          <w:rFonts w:cs="Arial"/>
          <w:lang w:val="en-US"/>
        </w:rPr>
      </w:pPr>
    </w:p>
    <w:p w:rsidR="009B6DDC" w:rsidRPr="00933B3E" w:rsidRDefault="009B6DDC" w:rsidP="009B6DDC">
      <w:pPr>
        <w:rPr>
          <w:rFonts w:cs="Arial"/>
        </w:rPr>
        <w:sectPr w:rsidR="009B6DDC" w:rsidRPr="00933B3E" w:rsidSect="0001268E">
          <w:headerReference w:type="even" r:id="rId8"/>
          <w:headerReference w:type="default" r:id="rId9"/>
          <w:headerReference w:type="first" r:id="rId10"/>
          <w:footerReference w:type="first" r:id="rId11"/>
          <w:footnotePr>
            <w:numRestart w:val="eachSect"/>
          </w:footnotePr>
          <w:pgSz w:w="16838" w:h="11906" w:orient="landscape" w:code="9"/>
          <w:pgMar w:top="907" w:right="992" w:bottom="1418" w:left="1418" w:header="539" w:footer="975" w:gutter="0"/>
          <w:cols w:space="539"/>
          <w:titlePg/>
          <w:docGrid w:linePitch="360"/>
        </w:sectPr>
      </w:pPr>
    </w:p>
    <w:p w:rsidR="009B6DDC" w:rsidRPr="00933B3E" w:rsidRDefault="009B6DDC" w:rsidP="009B6DDC">
      <w:pPr>
        <w:pStyle w:val="Normal-pool"/>
        <w:keepNext/>
        <w:keepLines/>
        <w:ind w:left="1247"/>
        <w:rPr>
          <w:rStyle w:val="TitlefigureChar"/>
          <w:rFonts w:eastAsia="MS Mincho"/>
          <w:b w:val="0"/>
          <w:bCs w:val="0"/>
        </w:rPr>
      </w:pPr>
      <w:r w:rsidRPr="00933B3E">
        <w:rPr>
          <w:rStyle w:val="TitlefigureChar"/>
          <w:rFonts w:eastAsia="MS Mincho"/>
        </w:rPr>
        <w:lastRenderedPageBreak/>
        <w:t>Table 2</w:t>
      </w:r>
    </w:p>
    <w:p w:rsidR="009B6DDC" w:rsidRPr="00933B3E" w:rsidRDefault="009B6DDC" w:rsidP="009B6DDC">
      <w:pPr>
        <w:pStyle w:val="Normal-pool"/>
        <w:keepNext/>
        <w:keepLines/>
        <w:spacing w:after="120"/>
        <w:ind w:left="1247"/>
        <w:rPr>
          <w:b/>
        </w:rPr>
      </w:pPr>
      <w:r w:rsidRPr="00933B3E">
        <w:rPr>
          <w:b/>
        </w:rPr>
        <w:t xml:space="preserve">Indicative staffing table </w:t>
      </w:r>
    </w:p>
    <w:tbl>
      <w:tblPr>
        <w:tblW w:w="8276" w:type="dxa"/>
        <w:tblInd w:w="1428" w:type="dxa"/>
        <w:tblLook w:val="0000" w:firstRow="0" w:lastRow="0" w:firstColumn="0" w:lastColumn="0" w:noHBand="0" w:noVBand="0"/>
      </w:tblPr>
      <w:tblGrid>
        <w:gridCol w:w="7186"/>
        <w:gridCol w:w="1090"/>
      </w:tblGrid>
      <w:tr w:rsidR="009B6DDC" w:rsidRPr="00933B3E" w:rsidTr="00F75BD5">
        <w:trPr>
          <w:trHeight w:val="204"/>
        </w:trPr>
        <w:tc>
          <w:tcPr>
            <w:tcW w:w="7186" w:type="dxa"/>
            <w:tcBorders>
              <w:top w:val="single" w:sz="4" w:space="0" w:color="auto"/>
            </w:tcBorders>
            <w:shd w:val="clear" w:color="auto" w:fill="auto"/>
            <w:noWrap/>
            <w:vAlign w:val="bottom"/>
          </w:tcPr>
          <w:p w:rsidR="009B6DDC" w:rsidRPr="00933B3E" w:rsidRDefault="009B6DDC" w:rsidP="00F75BD5">
            <w:pPr>
              <w:keepNext/>
              <w:keepLines/>
              <w:spacing w:before="40" w:after="40"/>
              <w:rPr>
                <w:bCs/>
                <w:i/>
                <w:sz w:val="18"/>
                <w:szCs w:val="18"/>
              </w:rPr>
            </w:pPr>
            <w:r w:rsidRPr="00933B3E">
              <w:rPr>
                <w:bCs/>
                <w:i/>
                <w:sz w:val="18"/>
                <w:szCs w:val="18"/>
              </w:rPr>
              <w:t>Staff category and level</w:t>
            </w:r>
          </w:p>
        </w:tc>
        <w:tc>
          <w:tcPr>
            <w:tcW w:w="1090" w:type="dxa"/>
            <w:tcBorders>
              <w:top w:val="single" w:sz="4" w:space="0" w:color="auto"/>
            </w:tcBorders>
            <w:shd w:val="clear" w:color="auto" w:fill="auto"/>
            <w:noWrap/>
            <w:vAlign w:val="bottom"/>
          </w:tcPr>
          <w:p w:rsidR="009B6DDC" w:rsidRPr="00933B3E" w:rsidRDefault="009B6DDC" w:rsidP="00F75BD5">
            <w:pPr>
              <w:keepNext/>
              <w:keepLines/>
              <w:spacing w:before="40" w:after="40"/>
              <w:jc w:val="right"/>
              <w:rPr>
                <w:bCs/>
                <w:i/>
                <w:sz w:val="18"/>
                <w:szCs w:val="18"/>
              </w:rPr>
            </w:pPr>
            <w:r w:rsidRPr="00933B3E">
              <w:rPr>
                <w:bCs/>
                <w:i/>
                <w:sz w:val="18"/>
                <w:szCs w:val="18"/>
              </w:rPr>
              <w:t>2016–2020</w:t>
            </w:r>
          </w:p>
        </w:tc>
      </w:tr>
      <w:tr w:rsidR="009B6DDC" w:rsidRPr="00933B3E" w:rsidTr="00F75BD5">
        <w:trPr>
          <w:trHeight w:val="111"/>
        </w:trPr>
        <w:tc>
          <w:tcPr>
            <w:tcW w:w="7186" w:type="dxa"/>
            <w:tcBorders>
              <w:top w:val="single" w:sz="12" w:space="0" w:color="auto"/>
            </w:tcBorders>
            <w:shd w:val="clear" w:color="auto" w:fill="auto"/>
            <w:noWrap/>
            <w:vAlign w:val="bottom"/>
          </w:tcPr>
          <w:p w:rsidR="009B6DDC" w:rsidRPr="00933B3E" w:rsidRDefault="009B6DDC" w:rsidP="00F75BD5">
            <w:pPr>
              <w:pStyle w:val="Normal-pool"/>
              <w:keepNext/>
              <w:keepLines/>
              <w:tabs>
                <w:tab w:val="clear" w:pos="1247"/>
                <w:tab w:val="clear" w:pos="1814"/>
                <w:tab w:val="clear" w:pos="2381"/>
                <w:tab w:val="clear" w:pos="2948"/>
                <w:tab w:val="clear" w:pos="3515"/>
                <w:tab w:val="left" w:pos="624"/>
              </w:tabs>
              <w:spacing w:before="40" w:after="40"/>
              <w:ind w:left="624" w:hanging="624"/>
              <w:rPr>
                <w:sz w:val="18"/>
                <w:szCs w:val="18"/>
              </w:rPr>
            </w:pPr>
            <w:r w:rsidRPr="00933B3E">
              <w:rPr>
                <w:sz w:val="18"/>
                <w:szCs w:val="18"/>
                <w:lang w:eastAsia="en-GB"/>
              </w:rPr>
              <w:t>A. Professional and higher</w:t>
            </w:r>
          </w:p>
        </w:tc>
        <w:tc>
          <w:tcPr>
            <w:tcW w:w="1090" w:type="dxa"/>
            <w:tcBorders>
              <w:top w:val="single" w:sz="12" w:space="0" w:color="auto"/>
            </w:tcBorders>
            <w:shd w:val="clear" w:color="auto" w:fill="auto"/>
            <w:noWrap/>
            <w:vAlign w:val="bottom"/>
          </w:tcPr>
          <w:p w:rsidR="009B6DDC" w:rsidRPr="00933B3E" w:rsidRDefault="009B6DDC" w:rsidP="00F75BD5">
            <w:pPr>
              <w:keepNext/>
              <w:keepLines/>
              <w:spacing w:before="40" w:after="40"/>
              <w:jc w:val="right"/>
              <w:rPr>
                <w:sz w:val="18"/>
                <w:szCs w:val="18"/>
              </w:rPr>
            </w:pPr>
            <w:r w:rsidRPr="00933B3E">
              <w:rPr>
                <w:sz w:val="18"/>
                <w:szCs w:val="18"/>
              </w:rPr>
              <w:t> </w:t>
            </w:r>
          </w:p>
        </w:tc>
      </w:tr>
      <w:tr w:rsidR="009B6DDC" w:rsidRPr="00933B3E" w:rsidTr="00F75BD5">
        <w:trPr>
          <w:trHeight w:val="261"/>
        </w:trPr>
        <w:tc>
          <w:tcPr>
            <w:tcW w:w="7186" w:type="dxa"/>
            <w:shd w:val="clear" w:color="auto" w:fill="auto"/>
            <w:noWrap/>
            <w:vAlign w:val="bottom"/>
          </w:tcPr>
          <w:p w:rsidR="009B6DDC" w:rsidRPr="00933B3E" w:rsidRDefault="009B6DDC" w:rsidP="00F75BD5">
            <w:pPr>
              <w:keepNext/>
              <w:keepLines/>
              <w:spacing w:before="40" w:after="40"/>
              <w:ind w:left="227"/>
              <w:rPr>
                <w:sz w:val="18"/>
                <w:szCs w:val="18"/>
                <w:lang w:eastAsia="en-GB"/>
              </w:rPr>
            </w:pPr>
            <w:r w:rsidRPr="00933B3E">
              <w:rPr>
                <w:sz w:val="18"/>
                <w:szCs w:val="18"/>
                <w:lang w:eastAsia="en-GB"/>
              </w:rPr>
              <w:t>D-1 (provided and funded by UNEP Environment Fund)</w:t>
            </w:r>
          </w:p>
        </w:tc>
        <w:tc>
          <w:tcPr>
            <w:tcW w:w="1090" w:type="dxa"/>
            <w:shd w:val="clear" w:color="auto" w:fill="auto"/>
            <w:noWrap/>
            <w:vAlign w:val="bottom"/>
          </w:tcPr>
          <w:p w:rsidR="009B6DDC" w:rsidRPr="00933B3E" w:rsidRDefault="009B6DDC" w:rsidP="00F75BD5">
            <w:pPr>
              <w:keepNext/>
              <w:keepLines/>
              <w:spacing w:before="40" w:after="40"/>
              <w:jc w:val="right"/>
              <w:rPr>
                <w:sz w:val="18"/>
                <w:szCs w:val="18"/>
              </w:rPr>
            </w:pPr>
            <w:r w:rsidRPr="00933B3E">
              <w:rPr>
                <w:sz w:val="18"/>
                <w:szCs w:val="18"/>
              </w:rPr>
              <w:t>1</w:t>
            </w:r>
          </w:p>
        </w:tc>
      </w:tr>
      <w:tr w:rsidR="009B6DDC" w:rsidRPr="00933B3E" w:rsidTr="00F75BD5">
        <w:trPr>
          <w:trHeight w:val="422"/>
        </w:trPr>
        <w:tc>
          <w:tcPr>
            <w:tcW w:w="7186" w:type="dxa"/>
            <w:shd w:val="clear" w:color="auto" w:fill="auto"/>
            <w:noWrap/>
            <w:vAlign w:val="bottom"/>
          </w:tcPr>
          <w:p w:rsidR="009B6DDC" w:rsidRPr="00933B3E" w:rsidRDefault="009B6DDC" w:rsidP="00F75BD5">
            <w:pPr>
              <w:keepNext/>
              <w:keepLines/>
              <w:spacing w:before="40" w:after="40"/>
              <w:ind w:left="227"/>
              <w:rPr>
                <w:sz w:val="18"/>
                <w:szCs w:val="18"/>
                <w:lang w:eastAsia="en-GB"/>
              </w:rPr>
            </w:pPr>
            <w:r w:rsidRPr="00933B3E">
              <w:rPr>
                <w:sz w:val="18"/>
                <w:szCs w:val="18"/>
                <w:lang w:eastAsia="en-GB"/>
              </w:rPr>
              <w:t xml:space="preserve">P-4 (two for the Strategic Approach secretariat, including one position previously funded and filled by WHO) </w:t>
            </w:r>
          </w:p>
        </w:tc>
        <w:tc>
          <w:tcPr>
            <w:tcW w:w="1090" w:type="dxa"/>
            <w:shd w:val="clear" w:color="auto" w:fill="auto"/>
            <w:noWrap/>
            <w:vAlign w:val="bottom"/>
          </w:tcPr>
          <w:p w:rsidR="009B6DDC" w:rsidRPr="00933B3E" w:rsidRDefault="009B6DDC" w:rsidP="00F75BD5">
            <w:pPr>
              <w:keepNext/>
              <w:keepLines/>
              <w:spacing w:before="40" w:after="40"/>
              <w:jc w:val="right"/>
              <w:rPr>
                <w:sz w:val="18"/>
                <w:szCs w:val="18"/>
              </w:rPr>
            </w:pPr>
            <w:r w:rsidRPr="00933B3E">
              <w:rPr>
                <w:sz w:val="18"/>
                <w:szCs w:val="18"/>
              </w:rPr>
              <w:t>2</w:t>
            </w:r>
          </w:p>
        </w:tc>
      </w:tr>
      <w:tr w:rsidR="009B6DDC" w:rsidRPr="00933B3E" w:rsidTr="00F75BD5">
        <w:trPr>
          <w:trHeight w:val="303"/>
        </w:trPr>
        <w:tc>
          <w:tcPr>
            <w:tcW w:w="7186" w:type="dxa"/>
            <w:shd w:val="clear" w:color="auto" w:fill="auto"/>
            <w:noWrap/>
            <w:vAlign w:val="bottom"/>
          </w:tcPr>
          <w:p w:rsidR="009B6DDC" w:rsidRPr="00933B3E" w:rsidRDefault="009B6DDC" w:rsidP="00F75BD5">
            <w:pPr>
              <w:keepNext/>
              <w:keepLines/>
              <w:spacing w:before="40" w:after="40"/>
              <w:ind w:left="227"/>
              <w:rPr>
                <w:sz w:val="18"/>
                <w:szCs w:val="18"/>
                <w:lang w:eastAsia="en-GB"/>
              </w:rPr>
            </w:pPr>
            <w:r w:rsidRPr="00933B3E">
              <w:rPr>
                <w:sz w:val="18"/>
                <w:szCs w:val="18"/>
                <w:lang w:eastAsia="en-GB"/>
              </w:rPr>
              <w:t xml:space="preserve">P-3 (one for </w:t>
            </w:r>
            <w:r w:rsidRPr="00933B3E">
              <w:rPr>
                <w:color w:val="000000"/>
                <w:sz w:val="18"/>
                <w:szCs w:val="18"/>
                <w:lang w:eastAsia="en-GB"/>
              </w:rPr>
              <w:t>Quick Start Programme</w:t>
            </w:r>
            <w:r w:rsidRPr="00933B3E" w:rsidDel="000232AD">
              <w:rPr>
                <w:sz w:val="18"/>
                <w:szCs w:val="18"/>
                <w:lang w:eastAsia="en-GB"/>
              </w:rPr>
              <w:t xml:space="preserve"> </w:t>
            </w:r>
            <w:r w:rsidRPr="00933B3E">
              <w:rPr>
                <w:sz w:val="18"/>
                <w:szCs w:val="18"/>
                <w:lang w:eastAsia="en-GB"/>
              </w:rPr>
              <w:t>until end of 2019, one for Strategic Approach secretariat (upgrade from P-2) and one for the information clearing-house)</w:t>
            </w:r>
          </w:p>
        </w:tc>
        <w:tc>
          <w:tcPr>
            <w:tcW w:w="1090" w:type="dxa"/>
            <w:shd w:val="clear" w:color="auto" w:fill="auto"/>
            <w:noWrap/>
            <w:vAlign w:val="bottom"/>
          </w:tcPr>
          <w:p w:rsidR="009B6DDC" w:rsidRPr="00933B3E" w:rsidRDefault="009B6DDC" w:rsidP="00F75BD5">
            <w:pPr>
              <w:keepNext/>
              <w:keepLines/>
              <w:spacing w:before="40" w:after="40"/>
              <w:jc w:val="right"/>
              <w:rPr>
                <w:sz w:val="18"/>
                <w:szCs w:val="18"/>
              </w:rPr>
            </w:pPr>
            <w:r w:rsidRPr="00933B3E">
              <w:rPr>
                <w:sz w:val="18"/>
                <w:szCs w:val="18"/>
              </w:rPr>
              <w:t>3</w:t>
            </w:r>
          </w:p>
        </w:tc>
      </w:tr>
      <w:tr w:rsidR="009B6DDC" w:rsidRPr="00933B3E" w:rsidTr="00F75BD5">
        <w:trPr>
          <w:trHeight w:val="181"/>
        </w:trPr>
        <w:tc>
          <w:tcPr>
            <w:tcW w:w="7186" w:type="dxa"/>
            <w:shd w:val="clear" w:color="auto" w:fill="auto"/>
            <w:noWrap/>
            <w:vAlign w:val="bottom"/>
          </w:tcPr>
          <w:p w:rsidR="009B6DDC" w:rsidRPr="00933B3E" w:rsidRDefault="009B6DDC" w:rsidP="00F75BD5">
            <w:pPr>
              <w:spacing w:before="40" w:after="40"/>
              <w:ind w:left="227"/>
              <w:rPr>
                <w:sz w:val="18"/>
                <w:szCs w:val="18"/>
                <w:lang w:eastAsia="en-GB"/>
              </w:rPr>
            </w:pPr>
            <w:r w:rsidRPr="00933B3E">
              <w:rPr>
                <w:sz w:val="18"/>
                <w:szCs w:val="18"/>
                <w:lang w:eastAsia="en-GB"/>
              </w:rPr>
              <w:t xml:space="preserve">P-2 (one for </w:t>
            </w:r>
            <w:r w:rsidRPr="00933B3E">
              <w:rPr>
                <w:color w:val="000000"/>
                <w:sz w:val="18"/>
                <w:szCs w:val="18"/>
                <w:lang w:eastAsia="en-GB"/>
              </w:rPr>
              <w:t>Quick Start Programme</w:t>
            </w:r>
            <w:r w:rsidRPr="00933B3E">
              <w:rPr>
                <w:sz w:val="18"/>
                <w:szCs w:val="18"/>
                <w:lang w:eastAsia="en-GB"/>
              </w:rPr>
              <w:t>, until end of 2017)</w:t>
            </w:r>
          </w:p>
        </w:tc>
        <w:tc>
          <w:tcPr>
            <w:tcW w:w="1090" w:type="dxa"/>
            <w:shd w:val="clear" w:color="auto" w:fill="auto"/>
            <w:noWrap/>
            <w:vAlign w:val="bottom"/>
          </w:tcPr>
          <w:p w:rsidR="009B6DDC" w:rsidRPr="00933B3E" w:rsidRDefault="009B6DDC" w:rsidP="00F75BD5">
            <w:pPr>
              <w:spacing w:before="40" w:after="40"/>
              <w:jc w:val="right"/>
              <w:rPr>
                <w:sz w:val="18"/>
                <w:szCs w:val="18"/>
              </w:rPr>
            </w:pPr>
            <w:r w:rsidRPr="00933B3E">
              <w:rPr>
                <w:sz w:val="18"/>
                <w:szCs w:val="18"/>
              </w:rPr>
              <w:t>1</w:t>
            </w:r>
          </w:p>
        </w:tc>
      </w:tr>
      <w:tr w:rsidR="009B6DDC" w:rsidRPr="00933B3E" w:rsidTr="00F75BD5">
        <w:trPr>
          <w:trHeight w:val="101"/>
        </w:trPr>
        <w:tc>
          <w:tcPr>
            <w:tcW w:w="7186" w:type="dxa"/>
            <w:tcBorders>
              <w:top w:val="single" w:sz="4" w:space="0" w:color="auto"/>
              <w:bottom w:val="single" w:sz="4" w:space="0" w:color="auto"/>
            </w:tcBorders>
            <w:shd w:val="clear" w:color="auto" w:fill="auto"/>
            <w:noWrap/>
            <w:vAlign w:val="bottom"/>
          </w:tcPr>
          <w:p w:rsidR="009B6DDC" w:rsidRPr="00933B3E" w:rsidRDefault="009B6DDC" w:rsidP="00F75BD5">
            <w:pPr>
              <w:spacing w:before="40" w:after="40"/>
              <w:rPr>
                <w:b/>
                <w:bCs/>
                <w:sz w:val="18"/>
                <w:szCs w:val="18"/>
              </w:rPr>
            </w:pPr>
            <w:r w:rsidRPr="00933B3E">
              <w:rPr>
                <w:b/>
                <w:bCs/>
                <w:sz w:val="18"/>
                <w:szCs w:val="18"/>
              </w:rPr>
              <w:t>Subtotal</w:t>
            </w:r>
          </w:p>
        </w:tc>
        <w:tc>
          <w:tcPr>
            <w:tcW w:w="1090" w:type="dxa"/>
            <w:tcBorders>
              <w:top w:val="single" w:sz="4" w:space="0" w:color="auto"/>
              <w:bottom w:val="single" w:sz="4" w:space="0" w:color="auto"/>
            </w:tcBorders>
            <w:shd w:val="clear" w:color="auto" w:fill="auto"/>
            <w:noWrap/>
            <w:vAlign w:val="bottom"/>
          </w:tcPr>
          <w:p w:rsidR="009B6DDC" w:rsidRPr="00933B3E" w:rsidRDefault="009B6DDC" w:rsidP="00F75BD5">
            <w:pPr>
              <w:spacing w:before="40" w:after="40"/>
              <w:jc w:val="right"/>
              <w:rPr>
                <w:b/>
                <w:sz w:val="18"/>
                <w:szCs w:val="18"/>
              </w:rPr>
            </w:pPr>
            <w:r w:rsidRPr="00933B3E">
              <w:rPr>
                <w:b/>
                <w:sz w:val="18"/>
                <w:szCs w:val="18"/>
              </w:rPr>
              <w:t>7</w:t>
            </w:r>
          </w:p>
        </w:tc>
      </w:tr>
      <w:tr w:rsidR="009B6DDC" w:rsidRPr="00933B3E" w:rsidTr="00F75BD5">
        <w:trPr>
          <w:trHeight w:val="58"/>
        </w:trPr>
        <w:tc>
          <w:tcPr>
            <w:tcW w:w="7186" w:type="dxa"/>
            <w:tcBorders>
              <w:top w:val="single" w:sz="4" w:space="0" w:color="auto"/>
              <w:bottom w:val="single" w:sz="4" w:space="0" w:color="auto"/>
            </w:tcBorders>
            <w:shd w:val="clear" w:color="auto" w:fill="auto"/>
            <w:noWrap/>
            <w:vAlign w:val="bottom"/>
          </w:tcPr>
          <w:p w:rsidR="009B6DDC" w:rsidRPr="00933B3E" w:rsidRDefault="009B6DDC" w:rsidP="00F75BD5">
            <w:pPr>
              <w:pStyle w:val="Normal-pool"/>
              <w:tabs>
                <w:tab w:val="clear" w:pos="1247"/>
                <w:tab w:val="clear" w:pos="1814"/>
                <w:tab w:val="clear" w:pos="2381"/>
                <w:tab w:val="clear" w:pos="2948"/>
                <w:tab w:val="clear" w:pos="3515"/>
                <w:tab w:val="left" w:pos="624"/>
              </w:tabs>
              <w:spacing w:before="40" w:after="40"/>
              <w:ind w:left="624" w:hanging="624"/>
              <w:rPr>
                <w:sz w:val="18"/>
                <w:szCs w:val="18"/>
              </w:rPr>
            </w:pPr>
            <w:r w:rsidRPr="00933B3E">
              <w:rPr>
                <w:sz w:val="18"/>
                <w:szCs w:val="18"/>
                <w:lang w:eastAsia="en-GB"/>
              </w:rPr>
              <w:t>B. General Service</w:t>
            </w:r>
          </w:p>
        </w:tc>
        <w:tc>
          <w:tcPr>
            <w:tcW w:w="1090" w:type="dxa"/>
            <w:tcBorders>
              <w:top w:val="single" w:sz="4" w:space="0" w:color="auto"/>
              <w:bottom w:val="single" w:sz="4" w:space="0" w:color="auto"/>
            </w:tcBorders>
            <w:shd w:val="clear" w:color="auto" w:fill="auto"/>
            <w:noWrap/>
            <w:vAlign w:val="bottom"/>
          </w:tcPr>
          <w:p w:rsidR="009B6DDC" w:rsidRPr="00933B3E" w:rsidRDefault="009B6DDC" w:rsidP="00F75BD5">
            <w:pPr>
              <w:spacing w:before="40" w:after="40"/>
              <w:jc w:val="right"/>
              <w:rPr>
                <w:sz w:val="18"/>
                <w:szCs w:val="18"/>
              </w:rPr>
            </w:pPr>
            <w:r w:rsidRPr="00933B3E">
              <w:rPr>
                <w:sz w:val="18"/>
                <w:szCs w:val="18"/>
              </w:rPr>
              <w:t>1</w:t>
            </w:r>
          </w:p>
        </w:tc>
      </w:tr>
      <w:tr w:rsidR="009B6DDC" w:rsidRPr="00933B3E" w:rsidTr="00F75BD5">
        <w:trPr>
          <w:trHeight w:val="139"/>
        </w:trPr>
        <w:tc>
          <w:tcPr>
            <w:tcW w:w="7186" w:type="dxa"/>
            <w:tcBorders>
              <w:top w:val="single" w:sz="4" w:space="0" w:color="auto"/>
              <w:bottom w:val="single" w:sz="12" w:space="0" w:color="auto"/>
            </w:tcBorders>
            <w:shd w:val="clear" w:color="auto" w:fill="auto"/>
            <w:noWrap/>
            <w:vAlign w:val="bottom"/>
          </w:tcPr>
          <w:p w:rsidR="009B6DDC" w:rsidRPr="00933B3E" w:rsidRDefault="009B6DDC" w:rsidP="00F75BD5">
            <w:pPr>
              <w:spacing w:before="40" w:after="40"/>
              <w:rPr>
                <w:b/>
                <w:bCs/>
                <w:sz w:val="18"/>
                <w:szCs w:val="18"/>
              </w:rPr>
            </w:pPr>
            <w:r w:rsidRPr="00933B3E">
              <w:rPr>
                <w:b/>
                <w:bCs/>
                <w:sz w:val="18"/>
                <w:szCs w:val="18"/>
              </w:rPr>
              <w:t>Total (A + B)</w:t>
            </w:r>
          </w:p>
        </w:tc>
        <w:tc>
          <w:tcPr>
            <w:tcW w:w="1090" w:type="dxa"/>
            <w:tcBorders>
              <w:top w:val="single" w:sz="4" w:space="0" w:color="auto"/>
              <w:bottom w:val="single" w:sz="12" w:space="0" w:color="auto"/>
            </w:tcBorders>
            <w:shd w:val="clear" w:color="auto" w:fill="auto"/>
            <w:noWrap/>
            <w:vAlign w:val="bottom"/>
          </w:tcPr>
          <w:p w:rsidR="009B6DDC" w:rsidRPr="00933B3E" w:rsidRDefault="009B6DDC" w:rsidP="00F75BD5">
            <w:pPr>
              <w:spacing w:before="40" w:after="40"/>
              <w:jc w:val="right"/>
              <w:rPr>
                <w:b/>
                <w:bCs/>
                <w:sz w:val="18"/>
                <w:szCs w:val="18"/>
              </w:rPr>
            </w:pPr>
            <w:r w:rsidRPr="00933B3E">
              <w:rPr>
                <w:b/>
                <w:bCs/>
                <w:sz w:val="18"/>
                <w:szCs w:val="18"/>
              </w:rPr>
              <w:t>8</w:t>
            </w:r>
          </w:p>
        </w:tc>
      </w:tr>
    </w:tbl>
    <w:p w:rsidR="002F4632" w:rsidRPr="009B6DDC" w:rsidRDefault="002F4632" w:rsidP="009B6DDC"/>
    <w:sectPr w:rsidR="002F4632" w:rsidRPr="009B6DDC" w:rsidSect="008F4757">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2B" w:rsidRDefault="0043662B" w:rsidP="0043662B">
      <w:r>
        <w:separator/>
      </w:r>
    </w:p>
  </w:endnote>
  <w:endnote w:type="continuationSeparator" w:id="0">
    <w:p w:rsidR="0043662B" w:rsidRDefault="0043662B" w:rsidP="0043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DDC" w:rsidRPr="0044612E" w:rsidRDefault="009B6DDC" w:rsidP="00567B6C">
    <w:pPr>
      <w:pStyle w:val="Footer"/>
      <w:jc w:val="right"/>
      <w:rPr>
        <w:b/>
      </w:rPr>
    </w:pPr>
    <w:r w:rsidRPr="0044612E">
      <w:rPr>
        <w:b/>
      </w:rPr>
      <w:fldChar w:fldCharType="begin"/>
    </w:r>
    <w:r w:rsidRPr="0044612E">
      <w:rPr>
        <w:b/>
      </w:rPr>
      <w:instrText xml:space="preserve"> PAGE   \* MERGEFORMAT </w:instrText>
    </w:r>
    <w:r w:rsidRPr="0044612E">
      <w:rPr>
        <w:b/>
      </w:rPr>
      <w:fldChar w:fldCharType="separate"/>
    </w:r>
    <w:r>
      <w:rPr>
        <w:b/>
        <w:noProof/>
      </w:rPr>
      <w:t>3</w:t>
    </w:r>
    <w:r w:rsidRPr="0044612E">
      <w:rPr>
        <w:b/>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599325"/>
      <w:docPartObj>
        <w:docPartGallery w:val="Page Numbers (Bottom of Page)"/>
        <w:docPartUnique/>
      </w:docPartObj>
    </w:sdtPr>
    <w:sdtEndPr>
      <w:rPr>
        <w:noProof/>
      </w:rPr>
    </w:sdtEndPr>
    <w:sdtContent>
      <w:p w:rsidR="002B6149" w:rsidRDefault="002B6149">
        <w:pPr>
          <w:pStyle w:val="Footer"/>
          <w:jc w:val="right"/>
        </w:pPr>
        <w:r>
          <w:fldChar w:fldCharType="begin"/>
        </w:r>
        <w:r>
          <w:instrText xml:space="preserve"> PAGE   \* MERGEFORMAT </w:instrText>
        </w:r>
        <w:r>
          <w:fldChar w:fldCharType="separate"/>
        </w:r>
        <w:r w:rsidR="009B6DDC">
          <w:rPr>
            <w:noProof/>
          </w:rPr>
          <w:t>6</w:t>
        </w:r>
        <w:r>
          <w:rPr>
            <w:noProof/>
          </w:rPr>
          <w:fldChar w:fldCharType="end"/>
        </w:r>
      </w:p>
    </w:sdtContent>
  </w:sdt>
  <w:p w:rsidR="002B6149" w:rsidRDefault="002B6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2B" w:rsidRDefault="0043662B" w:rsidP="0043662B">
      <w:r>
        <w:separator/>
      </w:r>
    </w:p>
  </w:footnote>
  <w:footnote w:type="continuationSeparator" w:id="0">
    <w:p w:rsidR="0043662B" w:rsidRDefault="0043662B" w:rsidP="0043662B">
      <w:r>
        <w:continuationSeparator/>
      </w:r>
    </w:p>
  </w:footnote>
  <w:footnote w:id="1">
    <w:p w:rsidR="009B6DDC" w:rsidRPr="004F2EC2" w:rsidRDefault="009B6DDC" w:rsidP="009B6DDC">
      <w:pPr>
        <w:pStyle w:val="FootnoteText"/>
        <w:rPr>
          <w:szCs w:val="18"/>
          <w:lang w:val="en-US"/>
        </w:rPr>
      </w:pPr>
      <w:r w:rsidRPr="00AE7745">
        <w:rPr>
          <w:rStyle w:val="FootnoteReference"/>
        </w:rPr>
        <w:footnoteRef/>
      </w:r>
      <w:r w:rsidRPr="004F2EC2">
        <w:rPr>
          <w:szCs w:val="18"/>
        </w:rPr>
        <w:t xml:space="preserve"> SAICM/ICCM.4/14.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DDC" w:rsidRPr="00703A70" w:rsidRDefault="009B6DDC" w:rsidP="0001268E">
    <w:pPr>
      <w:pStyle w:val="Header"/>
      <w:rPr>
        <w:szCs w:val="18"/>
      </w:rPr>
    </w:pPr>
    <w:r w:rsidRPr="00703A70">
      <w:rPr>
        <w:szCs w:val="18"/>
      </w:rPr>
      <w:t>SAICM/ICCM.</w:t>
    </w:r>
    <w:r>
      <w:rPr>
        <w:szCs w:val="18"/>
      </w:rPr>
      <w:t>4</w:t>
    </w:r>
    <w:r w:rsidRPr="00703A70">
      <w:rPr>
        <w:szCs w:val="18"/>
      </w:rPr>
      <w:t>/</w:t>
    </w:r>
    <w:r>
      <w:rPr>
        <w:szCs w:val="18"/>
      </w:rPr>
      <w:t>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DDC" w:rsidRPr="00811D74" w:rsidRDefault="009B6DDC" w:rsidP="00811D74">
    <w:pPr>
      <w:pStyle w:val="Header"/>
      <w:jc w:val="right"/>
      <w:rPr>
        <w:szCs w:val="18"/>
      </w:rPr>
    </w:pPr>
    <w:r w:rsidRPr="00703A70">
      <w:rPr>
        <w:szCs w:val="18"/>
      </w:rPr>
      <w:t>SAICM/ICCM.</w:t>
    </w:r>
    <w:r>
      <w:rPr>
        <w:szCs w:val="18"/>
      </w:rPr>
      <w:t>4</w:t>
    </w:r>
    <w:r w:rsidRPr="00703A70">
      <w:rPr>
        <w:szCs w:val="18"/>
      </w:rPr>
      <w:t>/</w:t>
    </w:r>
    <w:r>
      <w:rPr>
        <w:szCs w:val="18"/>
      </w:rPr>
      <w:t>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DDC" w:rsidRPr="00D35176" w:rsidRDefault="009B6DDC" w:rsidP="00811D74">
    <w:pPr>
      <w:pStyle w:val="Header"/>
      <w:jc w:val="right"/>
      <w:rPr>
        <w:szCs w:val="18"/>
      </w:rPr>
    </w:pPr>
    <w:r w:rsidRPr="00703A70">
      <w:rPr>
        <w:szCs w:val="18"/>
      </w:rPr>
      <w:t>SAICM/ICCM.</w:t>
    </w:r>
    <w:r>
      <w:rPr>
        <w:szCs w:val="18"/>
      </w:rPr>
      <w:t>4</w:t>
    </w:r>
    <w:r w:rsidRPr="00703A70">
      <w:rPr>
        <w:szCs w:val="18"/>
      </w:rPr>
      <w:t>/</w:t>
    </w:r>
    <w:r>
      <w:rPr>
        <w:szCs w:val="18"/>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C09"/>
    <w:multiLevelType w:val="multilevel"/>
    <w:tmpl w:val="29F4DC3E"/>
    <w:styleLink w:val="List21"/>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F0A1B97"/>
    <w:multiLevelType w:val="multilevel"/>
    <w:tmpl w:val="29F4DC3E"/>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16C83B23"/>
    <w:multiLevelType w:val="hybridMultilevel"/>
    <w:tmpl w:val="1ECA6D42"/>
    <w:lvl w:ilvl="0" w:tplc="88B85ECC">
      <w:start w:val="1"/>
      <w:numFmt w:val="decimal"/>
      <w:lvlText w:val="%1."/>
      <w:lvlJc w:val="left"/>
      <w:pPr>
        <w:ind w:left="1615" w:hanging="360"/>
      </w:pPr>
      <w:rPr>
        <w:rFonts w:hint="default"/>
      </w:r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3">
    <w:nsid w:val="1AC51FCC"/>
    <w:multiLevelType w:val="multilevel"/>
    <w:tmpl w:val="29F4DC3E"/>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1FE42C98"/>
    <w:multiLevelType w:val="hybridMultilevel"/>
    <w:tmpl w:val="E9B43750"/>
    <w:lvl w:ilvl="0" w:tplc="7DE65FE4">
      <w:start w:val="1"/>
      <w:numFmt w:val="decimal"/>
      <w:lvlText w:val="%1."/>
      <w:lvlJc w:val="left"/>
      <w:pPr>
        <w:ind w:left="1610" w:hanging="360"/>
      </w:pPr>
      <w:rPr>
        <w:b w:val="0"/>
      </w:rPr>
    </w:lvl>
    <w:lvl w:ilvl="1" w:tplc="945E564E">
      <w:start w:val="1"/>
      <w:numFmt w:val="lowerLetter"/>
      <w:lvlText w:val="(%2)"/>
      <w:lvlJc w:val="left"/>
      <w:pPr>
        <w:ind w:left="2340" w:hanging="360"/>
      </w:pPr>
      <w:rPr>
        <w:rFonts w:ascii="Times New Roman" w:eastAsia="MS Mincho" w:hAnsi="Times New Roman" w:cs="Times New Roman"/>
        <w:b w:val="0"/>
      </w:rPr>
    </w:lvl>
    <w:lvl w:ilvl="2" w:tplc="0409001B">
      <w:start w:val="1"/>
      <w:numFmt w:val="lowerRoman"/>
      <w:lvlText w:val="%3."/>
      <w:lvlJc w:val="right"/>
      <w:pPr>
        <w:ind w:left="2163" w:hanging="180"/>
      </w:pPr>
    </w:lvl>
    <w:lvl w:ilvl="3" w:tplc="0409000F">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
    <w:nsid w:val="34D91DAB"/>
    <w:multiLevelType w:val="multilevel"/>
    <w:tmpl w:val="85325E2E"/>
    <w:styleLink w:val="List1"/>
    <w:lvl w:ilvl="0">
      <w:start w:val="1"/>
      <w:numFmt w:val="decimal"/>
      <w:lvlText w:val="%1."/>
      <w:lvlJc w:val="left"/>
      <w:rPr>
        <w:i/>
        <w:iCs/>
        <w:position w:val="0"/>
        <w:rtl w:val="0"/>
      </w:rPr>
    </w:lvl>
    <w:lvl w:ilvl="1">
      <w:start w:val="1"/>
      <w:numFmt w:val="lowerLetter"/>
      <w:lvlText w:val="%2."/>
      <w:lvlJc w:val="left"/>
      <w:rPr>
        <w:i/>
        <w:iCs/>
        <w:position w:val="0"/>
        <w:rtl w:val="0"/>
      </w:rPr>
    </w:lvl>
    <w:lvl w:ilvl="2">
      <w:start w:val="1"/>
      <w:numFmt w:val="lowerRoman"/>
      <w:lvlText w:val="%3."/>
      <w:lvlJc w:val="left"/>
      <w:rPr>
        <w:i/>
        <w:iCs/>
        <w:position w:val="0"/>
        <w:rtl w:val="0"/>
      </w:rPr>
    </w:lvl>
    <w:lvl w:ilvl="3">
      <w:start w:val="1"/>
      <w:numFmt w:val="decimal"/>
      <w:lvlText w:val="%4."/>
      <w:lvlJc w:val="left"/>
      <w:rPr>
        <w:i/>
        <w:iCs/>
        <w:position w:val="0"/>
        <w:rtl w:val="0"/>
      </w:rPr>
    </w:lvl>
    <w:lvl w:ilvl="4">
      <w:start w:val="1"/>
      <w:numFmt w:val="lowerLetter"/>
      <w:lvlText w:val="%5."/>
      <w:lvlJc w:val="left"/>
      <w:rPr>
        <w:i/>
        <w:iCs/>
        <w:position w:val="0"/>
        <w:rtl w:val="0"/>
      </w:rPr>
    </w:lvl>
    <w:lvl w:ilvl="5">
      <w:start w:val="1"/>
      <w:numFmt w:val="lowerRoman"/>
      <w:lvlText w:val="%6."/>
      <w:lvlJc w:val="left"/>
      <w:rPr>
        <w:i/>
        <w:iCs/>
        <w:position w:val="0"/>
        <w:rtl w:val="0"/>
      </w:rPr>
    </w:lvl>
    <w:lvl w:ilvl="6">
      <w:start w:val="1"/>
      <w:numFmt w:val="decimal"/>
      <w:lvlText w:val="%7."/>
      <w:lvlJc w:val="left"/>
      <w:rPr>
        <w:i/>
        <w:iCs/>
        <w:position w:val="0"/>
        <w:rtl w:val="0"/>
      </w:rPr>
    </w:lvl>
    <w:lvl w:ilvl="7">
      <w:start w:val="1"/>
      <w:numFmt w:val="lowerLetter"/>
      <w:lvlText w:val="%8."/>
      <w:lvlJc w:val="left"/>
      <w:rPr>
        <w:i/>
        <w:iCs/>
        <w:position w:val="0"/>
        <w:rtl w:val="0"/>
      </w:rPr>
    </w:lvl>
    <w:lvl w:ilvl="8">
      <w:start w:val="1"/>
      <w:numFmt w:val="lowerRoman"/>
      <w:lvlText w:val="%9."/>
      <w:lvlJc w:val="left"/>
      <w:rPr>
        <w:i/>
        <w:iCs/>
        <w:position w:val="0"/>
        <w:rtl w:val="0"/>
      </w:rPr>
    </w:lvl>
  </w:abstractNum>
  <w:abstractNum w:abstractNumId="6">
    <w:nsid w:val="45B213BF"/>
    <w:multiLevelType w:val="hybridMultilevel"/>
    <w:tmpl w:val="20D00EF0"/>
    <w:lvl w:ilvl="0" w:tplc="8AB6DAD4">
      <w:start w:val="1"/>
      <w:numFmt w:val="decimal"/>
      <w:lvlText w:val="%1."/>
      <w:lvlJc w:val="left"/>
      <w:pPr>
        <w:tabs>
          <w:tab w:val="num" w:pos="3142"/>
        </w:tabs>
        <w:ind w:left="3142" w:hanging="1440"/>
      </w:pPr>
      <w:rPr>
        <w:rFonts w:cs="Times New Roman"/>
        <w:i w:val="0"/>
        <w:sz w:val="20"/>
        <w:szCs w:val="20"/>
      </w:rPr>
    </w:lvl>
    <w:lvl w:ilvl="1" w:tplc="FFFFFFFF">
      <w:start w:val="1"/>
      <w:numFmt w:val="decimal"/>
      <w:lvlText w:val="%2."/>
      <w:lvlJc w:val="left"/>
      <w:pPr>
        <w:tabs>
          <w:tab w:val="num" w:pos="2880"/>
        </w:tabs>
        <w:ind w:left="2880" w:hanging="360"/>
      </w:pPr>
      <w:rPr>
        <w:rFonts w:cs="Times New Roman"/>
      </w:rPr>
    </w:lvl>
    <w:lvl w:ilvl="2" w:tplc="FFFFFFFF">
      <w:start w:val="1"/>
      <w:numFmt w:val="decimal"/>
      <w:lvlText w:val="%3."/>
      <w:lvlJc w:val="left"/>
      <w:pPr>
        <w:tabs>
          <w:tab w:val="num" w:pos="3600"/>
        </w:tabs>
        <w:ind w:left="3600" w:hanging="360"/>
      </w:pPr>
      <w:rPr>
        <w:rFonts w:cs="Times New Roman"/>
      </w:rPr>
    </w:lvl>
    <w:lvl w:ilvl="3" w:tplc="FFFFFFFF">
      <w:start w:val="1"/>
      <w:numFmt w:val="decimal"/>
      <w:lvlText w:val="%4."/>
      <w:lvlJc w:val="left"/>
      <w:pPr>
        <w:tabs>
          <w:tab w:val="num" w:pos="4320"/>
        </w:tabs>
        <w:ind w:left="4320" w:hanging="360"/>
      </w:pPr>
      <w:rPr>
        <w:rFonts w:cs="Times New Roman"/>
      </w:rPr>
    </w:lvl>
    <w:lvl w:ilvl="4" w:tplc="FFFFFFFF">
      <w:start w:val="1"/>
      <w:numFmt w:val="decimal"/>
      <w:lvlText w:val="%5."/>
      <w:lvlJc w:val="left"/>
      <w:pPr>
        <w:tabs>
          <w:tab w:val="num" w:pos="5040"/>
        </w:tabs>
        <w:ind w:left="5040" w:hanging="360"/>
      </w:pPr>
      <w:rPr>
        <w:rFonts w:cs="Times New Roman"/>
      </w:rPr>
    </w:lvl>
    <w:lvl w:ilvl="5" w:tplc="FFFFFFFF">
      <w:start w:val="1"/>
      <w:numFmt w:val="decimal"/>
      <w:lvlText w:val="%6."/>
      <w:lvlJc w:val="left"/>
      <w:pPr>
        <w:tabs>
          <w:tab w:val="num" w:pos="5760"/>
        </w:tabs>
        <w:ind w:left="5760" w:hanging="360"/>
      </w:pPr>
      <w:rPr>
        <w:rFonts w:cs="Times New Roman"/>
      </w:rPr>
    </w:lvl>
    <w:lvl w:ilvl="6" w:tplc="FFFFFFFF">
      <w:start w:val="1"/>
      <w:numFmt w:val="decimal"/>
      <w:lvlText w:val="%7."/>
      <w:lvlJc w:val="left"/>
      <w:pPr>
        <w:tabs>
          <w:tab w:val="num" w:pos="6480"/>
        </w:tabs>
        <w:ind w:left="6480" w:hanging="360"/>
      </w:pPr>
      <w:rPr>
        <w:rFonts w:cs="Times New Roman"/>
      </w:rPr>
    </w:lvl>
    <w:lvl w:ilvl="7" w:tplc="FFFFFFFF">
      <w:start w:val="1"/>
      <w:numFmt w:val="decimal"/>
      <w:lvlText w:val="%8."/>
      <w:lvlJc w:val="left"/>
      <w:pPr>
        <w:tabs>
          <w:tab w:val="num" w:pos="7200"/>
        </w:tabs>
        <w:ind w:left="7200" w:hanging="360"/>
      </w:pPr>
      <w:rPr>
        <w:rFonts w:cs="Times New Roman"/>
      </w:rPr>
    </w:lvl>
    <w:lvl w:ilvl="8" w:tplc="FFFFFFFF">
      <w:start w:val="1"/>
      <w:numFmt w:val="decimal"/>
      <w:lvlText w:val="%9."/>
      <w:lvlJc w:val="left"/>
      <w:pPr>
        <w:tabs>
          <w:tab w:val="num" w:pos="7920"/>
        </w:tabs>
        <w:ind w:left="7920" w:hanging="360"/>
      </w:pPr>
      <w:rPr>
        <w:rFonts w:cs="Times New Roman"/>
      </w:rPr>
    </w:lvl>
  </w:abstractNum>
  <w:abstractNum w:abstractNumId="7">
    <w:nsid w:val="4FF6465D"/>
    <w:multiLevelType w:val="hybridMultilevel"/>
    <w:tmpl w:val="34A8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980E10"/>
    <w:multiLevelType w:val="hybridMultilevel"/>
    <w:tmpl w:val="7E4E1A9A"/>
    <w:lvl w:ilvl="0" w:tplc="031A4FA8">
      <w:start w:val="1"/>
      <w:numFmt w:val="decimal"/>
      <w:lvlText w:val="%1."/>
      <w:lvlJc w:val="left"/>
      <w:pPr>
        <w:ind w:left="3420" w:hanging="360"/>
      </w:pPr>
      <w:rPr>
        <w:rFonts w:ascii="Times New Roman" w:hAnsi="Times New Roman" w:cs="Times New Roman" w:hint="default"/>
        <w:b w:val="0"/>
        <w:i w:val="0"/>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9">
    <w:nsid w:val="6E504319"/>
    <w:multiLevelType w:val="hybridMultilevel"/>
    <w:tmpl w:val="9118C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7F05293F"/>
    <w:multiLevelType w:val="hybridMultilevel"/>
    <w:tmpl w:val="BA60AA92"/>
    <w:lvl w:ilvl="0" w:tplc="0F408878">
      <w:start w:val="1"/>
      <w:numFmt w:val="decimal"/>
      <w:lvlText w:val="%1."/>
      <w:lvlJc w:val="left"/>
      <w:pPr>
        <w:ind w:left="234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4"/>
    <w:lvlOverride w:ilvl="0">
      <w:startOverride w:val="1"/>
    </w:lvlOverride>
  </w:num>
  <w:num w:numId="4">
    <w:abstractNumId w:val="5"/>
    <w:lvlOverride w:ilvl="0">
      <w:lvl w:ilvl="0">
        <w:start w:val="1"/>
        <w:numFmt w:val="decimal"/>
        <w:lvlText w:val="%1."/>
        <w:lvlJc w:val="left"/>
        <w:rPr>
          <w:i w:val="0"/>
          <w:iCs/>
          <w:position w:val="0"/>
          <w:rtl w:val="0"/>
          <w:lang w:val="en-US"/>
        </w:rPr>
      </w:lvl>
    </w:lvlOverride>
  </w:num>
  <w:num w:numId="5">
    <w:abstractNumId w:val="0"/>
  </w:num>
  <w:num w:numId="6">
    <w:abstractNumId w:val="1"/>
  </w:num>
  <w:num w:numId="7">
    <w:abstractNumId w:val="3"/>
  </w:num>
  <w:num w:numId="8">
    <w:abstractNumId w:val="9"/>
  </w:num>
  <w:num w:numId="9">
    <w:abstractNumId w:val="8"/>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2B"/>
    <w:rsid w:val="001E24FB"/>
    <w:rsid w:val="002B6149"/>
    <w:rsid w:val="002F4632"/>
    <w:rsid w:val="0043662B"/>
    <w:rsid w:val="00743C85"/>
    <w:rsid w:val="00877D1C"/>
    <w:rsid w:val="008F4757"/>
    <w:rsid w:val="009B6D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 w:type="paragraph" w:customStyle="1" w:styleId="CH3">
    <w:name w:val="CH3"/>
    <w:basedOn w:val="Normal"/>
    <w:next w:val="Normal"/>
    <w:link w:val="CH3Char"/>
    <w:rsid w:val="002B6149"/>
    <w:pPr>
      <w:keepNext/>
      <w:keepLines/>
      <w:tabs>
        <w:tab w:val="right" w:pos="851"/>
      </w:tabs>
      <w:suppressAutoHyphens/>
      <w:spacing w:after="120"/>
      <w:ind w:left="1247" w:right="284" w:hanging="1247"/>
    </w:pPr>
    <w:rPr>
      <w:b/>
    </w:rPr>
  </w:style>
  <w:style w:type="character" w:customStyle="1" w:styleId="CH3Char">
    <w:name w:val="CH3 Char"/>
    <w:link w:val="CH3"/>
    <w:rsid w:val="002B6149"/>
    <w:rPr>
      <w:rFonts w:ascii="Times New Roman" w:eastAsia="Times New Roman" w:hAnsi="Times New Roman" w:cs="Times New Roman"/>
      <w:b/>
      <w:sz w:val="20"/>
      <w:szCs w:val="20"/>
      <w:lang w:val="en-GB" w:eastAsia="en-US"/>
    </w:rPr>
  </w:style>
  <w:style w:type="numbering" w:customStyle="1" w:styleId="List1">
    <w:name w:val="List 1"/>
    <w:basedOn w:val="NoList"/>
    <w:rsid w:val="002B6149"/>
    <w:pPr>
      <w:numPr>
        <w:numId w:val="4"/>
      </w:numPr>
    </w:pPr>
  </w:style>
  <w:style w:type="numbering" w:customStyle="1" w:styleId="List21">
    <w:name w:val="List 21"/>
    <w:basedOn w:val="NoList"/>
    <w:rsid w:val="002B6149"/>
    <w:pPr>
      <w:numPr>
        <w:numId w:val="5"/>
      </w:numPr>
    </w:pPr>
  </w:style>
  <w:style w:type="paragraph" w:styleId="Header">
    <w:name w:val="header"/>
    <w:basedOn w:val="Normal"/>
    <w:link w:val="Head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HeaderChar">
    <w:name w:val="Header Char"/>
    <w:basedOn w:val="DefaultParagraphFont"/>
    <w:link w:val="Header"/>
    <w:uiPriority w:val="99"/>
    <w:rsid w:val="002B6149"/>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FooterChar">
    <w:name w:val="Footer Char"/>
    <w:basedOn w:val="DefaultParagraphFont"/>
    <w:link w:val="Footer"/>
    <w:uiPriority w:val="99"/>
    <w:rsid w:val="002B6149"/>
    <w:rPr>
      <w:rFonts w:ascii="Times New Roman" w:eastAsia="Times New Roman" w:hAnsi="Times New Roman" w:cs="Times New Roman"/>
      <w:sz w:val="20"/>
      <w:szCs w:val="20"/>
      <w:lang w:val="en-GB" w:eastAsia="en-US"/>
    </w:rPr>
  </w:style>
  <w:style w:type="character" w:customStyle="1" w:styleId="HeaderChar1">
    <w:name w:val="Header Char1"/>
    <w:uiPriority w:val="99"/>
    <w:rsid w:val="009B6DDC"/>
    <w:rPr>
      <w:b/>
      <w:sz w:val="18"/>
      <w:lang w:val="en-GB"/>
    </w:rPr>
  </w:style>
  <w:style w:type="character" w:customStyle="1" w:styleId="TitlefigureChar">
    <w:name w:val="Title_figure Char"/>
    <w:rsid w:val="009B6DDC"/>
    <w:rPr>
      <w:b/>
      <w:bCs/>
      <w:lang w:val="en-GB"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 w:type="paragraph" w:customStyle="1" w:styleId="CH3">
    <w:name w:val="CH3"/>
    <w:basedOn w:val="Normal"/>
    <w:next w:val="Normal"/>
    <w:link w:val="CH3Char"/>
    <w:rsid w:val="002B6149"/>
    <w:pPr>
      <w:keepNext/>
      <w:keepLines/>
      <w:tabs>
        <w:tab w:val="right" w:pos="851"/>
      </w:tabs>
      <w:suppressAutoHyphens/>
      <w:spacing w:after="120"/>
      <w:ind w:left="1247" w:right="284" w:hanging="1247"/>
    </w:pPr>
    <w:rPr>
      <w:b/>
    </w:rPr>
  </w:style>
  <w:style w:type="character" w:customStyle="1" w:styleId="CH3Char">
    <w:name w:val="CH3 Char"/>
    <w:link w:val="CH3"/>
    <w:rsid w:val="002B6149"/>
    <w:rPr>
      <w:rFonts w:ascii="Times New Roman" w:eastAsia="Times New Roman" w:hAnsi="Times New Roman" w:cs="Times New Roman"/>
      <w:b/>
      <w:sz w:val="20"/>
      <w:szCs w:val="20"/>
      <w:lang w:val="en-GB" w:eastAsia="en-US"/>
    </w:rPr>
  </w:style>
  <w:style w:type="numbering" w:customStyle="1" w:styleId="List1">
    <w:name w:val="List 1"/>
    <w:basedOn w:val="NoList"/>
    <w:rsid w:val="002B6149"/>
    <w:pPr>
      <w:numPr>
        <w:numId w:val="4"/>
      </w:numPr>
    </w:pPr>
  </w:style>
  <w:style w:type="numbering" w:customStyle="1" w:styleId="List21">
    <w:name w:val="List 21"/>
    <w:basedOn w:val="NoList"/>
    <w:rsid w:val="002B6149"/>
    <w:pPr>
      <w:numPr>
        <w:numId w:val="5"/>
      </w:numPr>
    </w:pPr>
  </w:style>
  <w:style w:type="paragraph" w:styleId="Header">
    <w:name w:val="header"/>
    <w:basedOn w:val="Normal"/>
    <w:link w:val="Head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HeaderChar">
    <w:name w:val="Header Char"/>
    <w:basedOn w:val="DefaultParagraphFont"/>
    <w:link w:val="Header"/>
    <w:uiPriority w:val="99"/>
    <w:rsid w:val="002B6149"/>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FooterChar">
    <w:name w:val="Footer Char"/>
    <w:basedOn w:val="DefaultParagraphFont"/>
    <w:link w:val="Footer"/>
    <w:uiPriority w:val="99"/>
    <w:rsid w:val="002B6149"/>
    <w:rPr>
      <w:rFonts w:ascii="Times New Roman" w:eastAsia="Times New Roman" w:hAnsi="Times New Roman" w:cs="Times New Roman"/>
      <w:sz w:val="20"/>
      <w:szCs w:val="20"/>
      <w:lang w:val="en-GB" w:eastAsia="en-US"/>
    </w:rPr>
  </w:style>
  <w:style w:type="character" w:customStyle="1" w:styleId="HeaderChar1">
    <w:name w:val="Header Char1"/>
    <w:uiPriority w:val="99"/>
    <w:rsid w:val="009B6DDC"/>
    <w:rPr>
      <w:b/>
      <w:sz w:val="18"/>
      <w:lang w:val="en-GB"/>
    </w:rPr>
  </w:style>
  <w:style w:type="character" w:customStyle="1" w:styleId="TitlefigureChar">
    <w:name w:val="Title_figure Char"/>
    <w:rsid w:val="009B6DDC"/>
    <w:rPr>
      <w:b/>
      <w:bCs/>
      <w:lang w:val="en-GB"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10233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2</cp:revision>
  <dcterms:created xsi:type="dcterms:W3CDTF">2016-08-29T09:16:00Z</dcterms:created>
  <dcterms:modified xsi:type="dcterms:W3CDTF">2016-08-29T09:16:00Z</dcterms:modified>
</cp:coreProperties>
</file>