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62B" w:rsidRPr="00933B3E" w:rsidRDefault="0043662B" w:rsidP="0043662B">
      <w:pPr>
        <w:pStyle w:val="CH2"/>
        <w:tabs>
          <w:tab w:val="clear" w:pos="851"/>
          <w:tab w:val="clear" w:pos="1247"/>
          <w:tab w:val="clear" w:pos="1814"/>
          <w:tab w:val="clear" w:pos="2381"/>
          <w:tab w:val="clear" w:pos="2948"/>
          <w:tab w:val="clear" w:pos="3515"/>
        </w:tabs>
        <w:ind w:left="1248" w:hanging="624"/>
        <w:rPr>
          <w:lang w:eastAsia="en-GB"/>
        </w:rPr>
      </w:pPr>
      <w:r w:rsidRPr="00933B3E">
        <w:rPr>
          <w:rFonts w:cs="Arial"/>
        </w:rPr>
        <w:t xml:space="preserve">IV/1: </w:t>
      </w:r>
      <w:bookmarkStart w:id="0" w:name="_GoBack"/>
      <w:r w:rsidRPr="00933B3E">
        <w:rPr>
          <w:rFonts w:cs="Arial"/>
        </w:rPr>
        <w:tab/>
      </w:r>
      <w:r w:rsidRPr="00933B3E">
        <w:rPr>
          <w:lang w:eastAsia="en-GB"/>
        </w:rPr>
        <w:t>Implementation towards the achievement of the 2020 goal</w:t>
      </w:r>
      <w:bookmarkEnd w:id="0"/>
    </w:p>
    <w:p w:rsidR="0043662B" w:rsidRPr="00933B3E" w:rsidRDefault="0043662B" w:rsidP="0043662B">
      <w:pPr>
        <w:pStyle w:val="Normal-pool"/>
        <w:tabs>
          <w:tab w:val="clear" w:pos="1247"/>
          <w:tab w:val="clear" w:pos="1814"/>
          <w:tab w:val="clear" w:pos="2381"/>
          <w:tab w:val="clear" w:pos="2948"/>
          <w:tab w:val="clear" w:pos="3515"/>
          <w:tab w:val="left" w:pos="624"/>
        </w:tabs>
        <w:spacing w:after="120"/>
        <w:ind w:left="1247" w:firstLine="624"/>
        <w:rPr>
          <w:i/>
        </w:rPr>
      </w:pPr>
      <w:r w:rsidRPr="00933B3E">
        <w:rPr>
          <w:i/>
        </w:rPr>
        <w:t>The Conference,</w:t>
      </w:r>
    </w:p>
    <w:p w:rsidR="0043662B" w:rsidRPr="00933B3E" w:rsidRDefault="0043662B" w:rsidP="0043662B">
      <w:pPr>
        <w:pStyle w:val="Normal-pool"/>
        <w:tabs>
          <w:tab w:val="clear" w:pos="1247"/>
          <w:tab w:val="clear" w:pos="1814"/>
          <w:tab w:val="clear" w:pos="2381"/>
          <w:tab w:val="clear" w:pos="2948"/>
          <w:tab w:val="clear" w:pos="3515"/>
          <w:tab w:val="left" w:pos="624"/>
        </w:tabs>
        <w:spacing w:after="120"/>
        <w:ind w:left="1247" w:firstLine="624"/>
        <w:rPr>
          <w:iCs/>
        </w:rPr>
      </w:pPr>
      <w:r w:rsidRPr="00933B3E">
        <w:rPr>
          <w:i/>
        </w:rPr>
        <w:t xml:space="preserve">Recalling </w:t>
      </w:r>
      <w:r w:rsidRPr="00933B3E">
        <w:rPr>
          <w:iCs/>
        </w:rPr>
        <w:t>its request to the secretariat at its third session to develop an overall orientation and guidance, including some concrete elements, to facilitate the achievement of the 2020 goal of sound chemicals management,</w:t>
      </w:r>
    </w:p>
    <w:p w:rsidR="0043662B" w:rsidRPr="00933B3E" w:rsidRDefault="0043662B" w:rsidP="0043662B">
      <w:pPr>
        <w:pStyle w:val="Normal-pool"/>
        <w:tabs>
          <w:tab w:val="clear" w:pos="1247"/>
          <w:tab w:val="clear" w:pos="1814"/>
          <w:tab w:val="clear" w:pos="2381"/>
          <w:tab w:val="clear" w:pos="2948"/>
          <w:tab w:val="clear" w:pos="3515"/>
          <w:tab w:val="left" w:pos="624"/>
        </w:tabs>
        <w:spacing w:after="120"/>
        <w:ind w:left="1247" w:firstLine="624"/>
        <w:rPr>
          <w:iCs/>
        </w:rPr>
      </w:pPr>
      <w:r w:rsidRPr="00933B3E">
        <w:rPr>
          <w:i/>
        </w:rPr>
        <w:t>Recalling a</w:t>
      </w:r>
      <w:r w:rsidRPr="00933B3E">
        <w:rPr>
          <w:i/>
          <w:iCs/>
        </w:rPr>
        <w:t>lso</w:t>
      </w:r>
      <w:r w:rsidRPr="00933B3E">
        <w:rPr>
          <w:i/>
        </w:rPr>
        <w:t xml:space="preserve"> </w:t>
      </w:r>
      <w:r w:rsidRPr="00933B3E">
        <w:rPr>
          <w:iCs/>
        </w:rPr>
        <w:t>that the overall orientation and guidance was to be developed under the guidance of the Bureau, to be further discussed at regional meetings and by the Open-ended Working Group and for possible consideration at the fourth session of the Conference,</w:t>
      </w:r>
    </w:p>
    <w:p w:rsidR="0043662B" w:rsidRPr="00933B3E" w:rsidRDefault="0043662B" w:rsidP="0043662B">
      <w:pPr>
        <w:tabs>
          <w:tab w:val="left" w:pos="624"/>
        </w:tabs>
        <w:spacing w:after="120"/>
        <w:ind w:left="1247" w:firstLine="624"/>
        <w:rPr>
          <w:iCs/>
        </w:rPr>
      </w:pPr>
      <w:r w:rsidRPr="00933B3E">
        <w:rPr>
          <w:i/>
          <w:iCs/>
        </w:rPr>
        <w:t>Welcoming with appreciation</w:t>
      </w:r>
      <w:r w:rsidRPr="00933B3E">
        <w:rPr>
          <w:iCs/>
        </w:rPr>
        <w:t xml:space="preserve"> the extensive regional discussions that informed the development of the overall orientation and guidance and the consultative process of the secretariat in finalizing the overall orientation and guidance,</w:t>
      </w:r>
    </w:p>
    <w:p w:rsidR="0043662B" w:rsidRPr="00933B3E" w:rsidRDefault="0043662B" w:rsidP="0043662B">
      <w:pPr>
        <w:tabs>
          <w:tab w:val="left" w:pos="624"/>
        </w:tabs>
        <w:spacing w:after="120"/>
        <w:ind w:left="1247" w:firstLine="624"/>
        <w:rPr>
          <w:bCs/>
          <w:iCs/>
        </w:rPr>
      </w:pPr>
      <w:r w:rsidRPr="00933B3E">
        <w:rPr>
          <w:i/>
          <w:iCs/>
          <w:color w:val="000000"/>
          <w:lang w:eastAsia="zh-CN"/>
        </w:rPr>
        <w:t>Recalling</w:t>
      </w:r>
      <w:r w:rsidRPr="00933B3E">
        <w:rPr>
          <w:color w:val="000000"/>
          <w:lang w:eastAsia="zh-CN"/>
        </w:rPr>
        <w:t xml:space="preserve"> the outcome document, “The future we want,” from the United Nations Conference on Sustainable Development, held in Rio de Janeiro, Brazil, in June 2012, which states: “We reaffirm our aim to achieve, by 2020, the sound management of chemicals throughout their life cycle and of hazardous waste in ways that lead to minimization of significant adverse effects on human health and the environment, as set out in the Johannesburg Plan of Implementation”;</w:t>
      </w:r>
    </w:p>
    <w:p w:rsidR="0043662B" w:rsidRPr="00933B3E" w:rsidRDefault="0043662B" w:rsidP="0043662B">
      <w:pPr>
        <w:pStyle w:val="Normal-pool"/>
        <w:tabs>
          <w:tab w:val="clear" w:pos="1247"/>
          <w:tab w:val="clear" w:pos="1814"/>
          <w:tab w:val="clear" w:pos="2381"/>
          <w:tab w:val="clear" w:pos="2948"/>
          <w:tab w:val="clear" w:pos="3515"/>
          <w:tab w:val="left" w:pos="624"/>
        </w:tabs>
        <w:spacing w:after="120"/>
        <w:ind w:left="1247" w:firstLine="624"/>
      </w:pPr>
      <w:r w:rsidRPr="00933B3E">
        <w:rPr>
          <w:i/>
        </w:rPr>
        <w:t xml:space="preserve">Welcoming </w:t>
      </w:r>
      <w:r w:rsidRPr="00933B3E">
        <w:rPr>
          <w:iCs/>
        </w:rPr>
        <w:t>the considerable</w:t>
      </w:r>
      <w:r w:rsidRPr="00933B3E">
        <w:t xml:space="preserve"> progress made in implementing the Overarching Policy Strategy since the adoption of the Strategic Approach to International Chemicals Management in 2006 and towards achieving the 2020 goal, </w:t>
      </w:r>
    </w:p>
    <w:p w:rsidR="0043662B" w:rsidRPr="00933B3E" w:rsidRDefault="0043662B" w:rsidP="0043662B">
      <w:pPr>
        <w:pStyle w:val="Normal-pool"/>
        <w:tabs>
          <w:tab w:val="clear" w:pos="1247"/>
          <w:tab w:val="clear" w:pos="1814"/>
          <w:tab w:val="clear" w:pos="2381"/>
          <w:tab w:val="clear" w:pos="2948"/>
          <w:tab w:val="clear" w:pos="3515"/>
          <w:tab w:val="left" w:pos="624"/>
        </w:tabs>
        <w:spacing w:after="120"/>
        <w:ind w:left="1247" w:firstLine="624"/>
        <w:rPr>
          <w:iCs/>
        </w:rPr>
      </w:pPr>
      <w:r w:rsidRPr="00933B3E">
        <w:rPr>
          <w:i/>
        </w:rPr>
        <w:t xml:space="preserve">Noting </w:t>
      </w:r>
      <w:r w:rsidRPr="00933B3E">
        <w:t>however</w:t>
      </w:r>
      <w:r w:rsidRPr="00933B3E">
        <w:rPr>
          <w:i/>
        </w:rPr>
        <w:t xml:space="preserve"> </w:t>
      </w:r>
      <w:r w:rsidRPr="00933B3E">
        <w:rPr>
          <w:iCs/>
        </w:rPr>
        <w:t xml:space="preserve">that in most countries more progress has to be made towards actually minimizing the significant adverse effects on human health and the environment </w:t>
      </w:r>
      <w:r w:rsidRPr="00933B3E">
        <w:t>that may be associated with some chemical production, use and end-of-life disposal</w:t>
      </w:r>
      <w:r w:rsidRPr="00933B3E">
        <w:rPr>
          <w:iCs/>
        </w:rPr>
        <w:t>,</w:t>
      </w:r>
    </w:p>
    <w:p w:rsidR="0043662B" w:rsidRPr="00933B3E" w:rsidRDefault="0043662B" w:rsidP="0043662B">
      <w:pPr>
        <w:pStyle w:val="Normal-pool"/>
        <w:tabs>
          <w:tab w:val="clear" w:pos="1247"/>
          <w:tab w:val="clear" w:pos="1814"/>
          <w:tab w:val="clear" w:pos="2381"/>
          <w:tab w:val="clear" w:pos="2948"/>
          <w:tab w:val="clear" w:pos="3515"/>
          <w:tab w:val="left" w:pos="624"/>
        </w:tabs>
        <w:spacing w:after="120"/>
        <w:ind w:left="1247" w:firstLine="624"/>
      </w:pPr>
      <w:r w:rsidRPr="00933B3E">
        <w:rPr>
          <w:i/>
          <w:iCs/>
        </w:rPr>
        <w:t>Welcoming</w:t>
      </w:r>
      <w:r w:rsidRPr="00933B3E">
        <w:t xml:space="preserve"> the progress report for 2011–2013 on the implementation of the Strategic Approach developed by the secretariat,</w:t>
      </w:r>
    </w:p>
    <w:p w:rsidR="0043662B" w:rsidRPr="00933B3E" w:rsidRDefault="0043662B" w:rsidP="0043662B">
      <w:pPr>
        <w:pStyle w:val="Normal-pool"/>
        <w:tabs>
          <w:tab w:val="clear" w:pos="1247"/>
          <w:tab w:val="clear" w:pos="1814"/>
          <w:tab w:val="clear" w:pos="2381"/>
          <w:tab w:val="clear" w:pos="2948"/>
          <w:tab w:val="clear" w:pos="3515"/>
          <w:tab w:val="left" w:pos="624"/>
        </w:tabs>
        <w:spacing w:after="120"/>
        <w:ind w:left="1247" w:firstLine="624"/>
        <w:rPr>
          <w:i/>
          <w:iCs/>
        </w:rPr>
      </w:pPr>
      <w:r w:rsidRPr="00933B3E">
        <w:rPr>
          <w:i/>
        </w:rPr>
        <w:t xml:space="preserve">Welcoming also </w:t>
      </w:r>
      <w:r w:rsidRPr="00933B3E">
        <w:t>the fact that the sound management of chemicals and waste is addressed in several of the Sustainable Development Goals, thereby underpinning the importance of addressing chemicals and waste,</w:t>
      </w:r>
      <w:r w:rsidRPr="00933B3E">
        <w:rPr>
          <w:i/>
          <w:iCs/>
        </w:rPr>
        <w:t xml:space="preserve"> </w:t>
      </w:r>
    </w:p>
    <w:p w:rsidR="0043662B" w:rsidRPr="00933B3E" w:rsidRDefault="0043662B" w:rsidP="0043662B">
      <w:pPr>
        <w:pStyle w:val="Normal-pool"/>
        <w:tabs>
          <w:tab w:val="clear" w:pos="1247"/>
          <w:tab w:val="clear" w:pos="1814"/>
          <w:tab w:val="clear" w:pos="2381"/>
          <w:tab w:val="clear" w:pos="2948"/>
          <w:tab w:val="clear" w:pos="3515"/>
          <w:tab w:val="left" w:pos="624"/>
          <w:tab w:val="left" w:pos="1134"/>
        </w:tabs>
        <w:spacing w:after="120"/>
        <w:ind w:left="1247" w:firstLine="624"/>
        <w:rPr>
          <w:iCs/>
        </w:rPr>
      </w:pPr>
      <w:r w:rsidRPr="00933B3E">
        <w:rPr>
          <w:i/>
        </w:rPr>
        <w:t>Noting</w:t>
      </w:r>
      <w:r w:rsidRPr="00933B3E">
        <w:rPr>
          <w:iCs/>
        </w:rPr>
        <w:t xml:space="preserve"> that the adequate implementation of sound chemical management responsibilities is a resource-intensive task and also noting with concern that it represents a particular challenge for developing countries and countries with economies in transition,</w:t>
      </w:r>
    </w:p>
    <w:p w:rsidR="0043662B" w:rsidRPr="00933B3E" w:rsidRDefault="0043662B" w:rsidP="0043662B">
      <w:pPr>
        <w:pStyle w:val="Normal-pool"/>
        <w:tabs>
          <w:tab w:val="clear" w:pos="1247"/>
          <w:tab w:val="clear" w:pos="1814"/>
          <w:tab w:val="clear" w:pos="2381"/>
          <w:tab w:val="clear" w:pos="2948"/>
          <w:tab w:val="clear" w:pos="3515"/>
          <w:tab w:val="left" w:pos="624"/>
        </w:tabs>
        <w:spacing w:after="120"/>
        <w:ind w:left="1247" w:firstLine="624"/>
        <w:rPr>
          <w:iCs/>
        </w:rPr>
      </w:pPr>
      <w:r w:rsidRPr="00933B3E">
        <w:rPr>
          <w:i/>
        </w:rPr>
        <w:t xml:space="preserve">Noting with urgency </w:t>
      </w:r>
      <w:r w:rsidRPr="00933B3E">
        <w:rPr>
          <w:iCs/>
        </w:rPr>
        <w:t xml:space="preserve">the limited time remaining </w:t>
      </w:r>
      <w:r w:rsidRPr="00933B3E">
        <w:t>to achieve</w:t>
      </w:r>
      <w:r w:rsidRPr="00933B3E">
        <w:rPr>
          <w:iCs/>
        </w:rPr>
        <w:t xml:space="preserve"> the 2020 goal,</w:t>
      </w:r>
    </w:p>
    <w:p w:rsidR="0043662B" w:rsidRPr="00933B3E" w:rsidRDefault="0043662B" w:rsidP="0043662B">
      <w:pPr>
        <w:pStyle w:val="Normal-pool"/>
        <w:tabs>
          <w:tab w:val="clear" w:pos="1247"/>
          <w:tab w:val="clear" w:pos="1814"/>
          <w:tab w:val="clear" w:pos="2381"/>
          <w:tab w:val="clear" w:pos="2948"/>
          <w:tab w:val="clear" w:pos="3515"/>
          <w:tab w:val="left" w:pos="624"/>
        </w:tabs>
        <w:spacing w:after="120"/>
        <w:ind w:left="1247" w:firstLine="624"/>
      </w:pPr>
      <w:r w:rsidRPr="00933B3E">
        <w:rPr>
          <w:i/>
        </w:rPr>
        <w:t xml:space="preserve">Recognizing </w:t>
      </w:r>
      <w:r w:rsidRPr="00933B3E">
        <w:rPr>
          <w:iCs/>
        </w:rPr>
        <w:t>that</w:t>
      </w:r>
      <w:r w:rsidRPr="00933B3E">
        <w:t xml:space="preserve"> the sound management of chemicals and waste is one of the essential requirements for sustainable development and that the 2030 Agenda for Sustainable Development presents an opportunity to ensure increased political attention for chemicals and waste, </w:t>
      </w:r>
    </w:p>
    <w:p w:rsidR="0043662B" w:rsidRPr="00933B3E" w:rsidRDefault="0043662B" w:rsidP="0043662B">
      <w:pPr>
        <w:tabs>
          <w:tab w:val="left" w:pos="624"/>
        </w:tabs>
        <w:spacing w:after="120"/>
        <w:ind w:left="1247" w:firstLine="624"/>
      </w:pPr>
      <w:r w:rsidRPr="00933B3E">
        <w:rPr>
          <w:i/>
          <w:iCs/>
        </w:rPr>
        <w:t xml:space="preserve">Recognizing also </w:t>
      </w:r>
      <w:r w:rsidRPr="00933B3E">
        <w:t xml:space="preserve">the potential of approaches that facilitate and strengthen cooperation and coordination between the Strategic Approach secretariat, the organizations of the Inter-Organization Programme for the Sound Management of Chemicals, the joint secretariat of the Basel Convention on the Control of Transboundary Movements of Hazardous Wastes and Their Disposal, the Rotterdam Convention on the Prior Informed Consent Procedure for Certain Hazardous Chemicals and Pesticides in International Trade and the Stockholm Convention on Persistent Organic Pollutants, the interim secretariat of the </w:t>
      </w:r>
      <w:proofErr w:type="spellStart"/>
      <w:r w:rsidRPr="00933B3E">
        <w:t>Minamata</w:t>
      </w:r>
      <w:proofErr w:type="spellEnd"/>
      <w:r w:rsidRPr="00933B3E">
        <w:t xml:space="preserve"> Convention on Mercury and other relevant stakeholders and actors in the chemicals and waste area, including by strengthening existing structures and advancing joint actions,</w:t>
      </w:r>
    </w:p>
    <w:p w:rsidR="0043662B" w:rsidRPr="00933B3E" w:rsidRDefault="0043662B" w:rsidP="0043662B">
      <w:pPr>
        <w:pStyle w:val="Normal-pool"/>
        <w:tabs>
          <w:tab w:val="clear" w:pos="1247"/>
          <w:tab w:val="clear" w:pos="1814"/>
          <w:tab w:val="clear" w:pos="2381"/>
          <w:tab w:val="clear" w:pos="2948"/>
          <w:tab w:val="clear" w:pos="3515"/>
          <w:tab w:val="left" w:pos="624"/>
        </w:tabs>
        <w:spacing w:after="120"/>
        <w:ind w:left="1247" w:firstLine="624"/>
      </w:pPr>
      <w:r w:rsidRPr="00933B3E">
        <w:rPr>
          <w:i/>
          <w:iCs/>
        </w:rPr>
        <w:t>Expressing appreciation</w:t>
      </w:r>
      <w:r w:rsidRPr="00933B3E">
        <w:t xml:space="preserve"> to all the donors, implementers and other partners that have contributed to the success of the Strategic Approach and the Quick Start Programme and its Trust Fund, </w:t>
      </w:r>
    </w:p>
    <w:p w:rsidR="0043662B" w:rsidRPr="00933B3E" w:rsidRDefault="0043662B" w:rsidP="0043662B">
      <w:pPr>
        <w:pStyle w:val="Normal-pool"/>
        <w:tabs>
          <w:tab w:val="clear" w:pos="1247"/>
          <w:tab w:val="clear" w:pos="1814"/>
          <w:tab w:val="clear" w:pos="2381"/>
          <w:tab w:val="clear" w:pos="2948"/>
          <w:tab w:val="clear" w:pos="3515"/>
          <w:tab w:val="left" w:pos="624"/>
          <w:tab w:val="left" w:pos="1134"/>
        </w:tabs>
        <w:spacing w:after="120"/>
        <w:ind w:left="1247" w:firstLine="624"/>
      </w:pPr>
      <w:r w:rsidRPr="00933B3E">
        <w:rPr>
          <w:i/>
        </w:rPr>
        <w:t xml:space="preserve">Welcoming with appreciation </w:t>
      </w:r>
      <w:r w:rsidRPr="00933B3E">
        <w:t xml:space="preserve">the contributions made by the Quick Start Programme in providing support to achieving the 2020 goal and noting </w:t>
      </w:r>
      <w:r w:rsidRPr="00933B3E">
        <w:rPr>
          <w:iCs/>
        </w:rPr>
        <w:t>that the needs so far have exceeded available resources,</w:t>
      </w:r>
    </w:p>
    <w:p w:rsidR="0043662B" w:rsidRPr="00933B3E" w:rsidRDefault="0043662B" w:rsidP="0043662B">
      <w:pPr>
        <w:pStyle w:val="Normal-pool"/>
        <w:tabs>
          <w:tab w:val="clear" w:pos="1247"/>
          <w:tab w:val="clear" w:pos="1814"/>
          <w:tab w:val="clear" w:pos="2381"/>
          <w:tab w:val="clear" w:pos="2948"/>
          <w:tab w:val="clear" w:pos="3515"/>
          <w:tab w:val="left" w:pos="624"/>
        </w:tabs>
        <w:spacing w:after="120"/>
        <w:ind w:left="1247" w:firstLine="624"/>
        <w:rPr>
          <w:i/>
          <w:iCs/>
        </w:rPr>
      </w:pPr>
      <w:r w:rsidRPr="00933B3E">
        <w:rPr>
          <w:i/>
          <w:iCs/>
        </w:rPr>
        <w:lastRenderedPageBreak/>
        <w:t>Welcoming</w:t>
      </w:r>
      <w:r w:rsidRPr="00933B3E">
        <w:t xml:space="preserve"> the integrated approach to financing the sound management of chemicals and wastes developed by the United Nations Environment Programme, which is applicable to the Strategic Approach and underscores that the three components of an integrated approach, namely, mainstreaming, industry involvement and dedicated external financing, are mutually reinforcing and are all important for the financing of the sound management of chemicals and waste at all levels,</w:t>
      </w:r>
      <w:r w:rsidRPr="00933B3E">
        <w:rPr>
          <w:i/>
          <w:iCs/>
        </w:rPr>
        <w:t xml:space="preserve"> </w:t>
      </w:r>
    </w:p>
    <w:p w:rsidR="0043662B" w:rsidRPr="00933B3E" w:rsidRDefault="0043662B" w:rsidP="0043662B">
      <w:pPr>
        <w:pStyle w:val="Normal-pool"/>
        <w:tabs>
          <w:tab w:val="clear" w:pos="1247"/>
          <w:tab w:val="clear" w:pos="1814"/>
          <w:tab w:val="clear" w:pos="2381"/>
          <w:tab w:val="clear" w:pos="2948"/>
          <w:tab w:val="clear" w:pos="3515"/>
          <w:tab w:val="left" w:pos="624"/>
          <w:tab w:val="left" w:pos="1134"/>
        </w:tabs>
        <w:spacing w:after="120"/>
        <w:ind w:left="1247" w:firstLine="624"/>
        <w:rPr>
          <w:bCs/>
        </w:rPr>
      </w:pPr>
      <w:r w:rsidRPr="00933B3E">
        <w:rPr>
          <w:bCs/>
          <w:i/>
          <w:iCs/>
        </w:rPr>
        <w:t xml:space="preserve">Welcoming also </w:t>
      </w:r>
      <w:r w:rsidRPr="00933B3E">
        <w:rPr>
          <w:bCs/>
        </w:rPr>
        <w:t>the resources for Strategic Approach implementation made available in its sixth replenishment by the Global Environment Facility, as one of the elements of dedicated external financing under the integrated approach, for Strategic Approach implementation,</w:t>
      </w:r>
    </w:p>
    <w:p w:rsidR="0043662B" w:rsidRPr="00933B3E" w:rsidRDefault="0043662B" w:rsidP="0043662B">
      <w:pPr>
        <w:pStyle w:val="Normal-pool"/>
        <w:tabs>
          <w:tab w:val="clear" w:pos="1247"/>
          <w:tab w:val="clear" w:pos="1814"/>
          <w:tab w:val="clear" w:pos="2381"/>
          <w:tab w:val="clear" w:pos="2948"/>
          <w:tab w:val="clear" w:pos="3515"/>
          <w:tab w:val="left" w:pos="624"/>
          <w:tab w:val="left" w:pos="1134"/>
        </w:tabs>
        <w:spacing w:after="120"/>
        <w:ind w:left="1247" w:firstLine="624"/>
        <w:rPr>
          <w:b/>
        </w:rPr>
      </w:pPr>
      <w:r w:rsidRPr="00933B3E">
        <w:rPr>
          <w:bCs/>
          <w:i/>
          <w:iCs/>
        </w:rPr>
        <w:t>Acknowledging</w:t>
      </w:r>
      <w:r w:rsidRPr="00933B3E">
        <w:rPr>
          <w:bCs/>
        </w:rPr>
        <w:t xml:space="preserve"> </w:t>
      </w:r>
      <w:r w:rsidRPr="00933B3E">
        <w:rPr>
          <w:bCs/>
          <w:i/>
        </w:rPr>
        <w:t>with concern</w:t>
      </w:r>
      <w:r w:rsidRPr="00933B3E">
        <w:rPr>
          <w:bCs/>
        </w:rPr>
        <w:t xml:space="preserve"> that the scale of resources available from all sources, including through the Quick Start Programme and the Global Environment Facility, are insufficient to achieve the goal of sound management of chemicals in developing countries,</w:t>
      </w:r>
    </w:p>
    <w:p w:rsidR="0043662B" w:rsidRPr="00933B3E" w:rsidRDefault="0043662B" w:rsidP="0043662B">
      <w:pPr>
        <w:pStyle w:val="Normal-pool"/>
        <w:tabs>
          <w:tab w:val="clear" w:pos="1247"/>
          <w:tab w:val="clear" w:pos="1814"/>
          <w:tab w:val="clear" w:pos="2381"/>
          <w:tab w:val="clear" w:pos="2948"/>
          <w:tab w:val="clear" w:pos="3515"/>
          <w:tab w:val="left" w:pos="624"/>
        </w:tabs>
        <w:spacing w:after="120"/>
        <w:ind w:left="1247" w:firstLine="624"/>
      </w:pPr>
      <w:r w:rsidRPr="00933B3E">
        <w:rPr>
          <w:i/>
          <w:iCs/>
        </w:rPr>
        <w:t>Welcoming</w:t>
      </w:r>
      <w:r w:rsidRPr="00933B3E">
        <w:t xml:space="preserve"> the Special Programme to support institutional strengthening at the national level for implementation of the Basel Convention on the Control of Transboundary Movements of Hazardous Wastes and Their Disposal, the Rotterdam Convention on the Prior Informed Consent Procedure for Certain Hazardous Chemicals and Pesticides in International Trade, the Stockholm Convention on Persistent Organic Pollutants, the </w:t>
      </w:r>
      <w:proofErr w:type="spellStart"/>
      <w:r w:rsidRPr="00933B3E">
        <w:t>Minamata</w:t>
      </w:r>
      <w:proofErr w:type="spellEnd"/>
      <w:r w:rsidRPr="00933B3E">
        <w:t xml:space="preserve"> Convention on Mercury and the Strategic Approach to International Chemicals Management as one of the elements of dedicated external financing under the integrated approach agreed by the United Nations Environment Assembly,</w:t>
      </w:r>
      <w:r w:rsidRPr="00933B3E">
        <w:rPr>
          <w:rStyle w:val="FootnoteReference"/>
        </w:rPr>
        <w:footnoteReference w:id="1"/>
      </w:r>
    </w:p>
    <w:p w:rsidR="0043662B" w:rsidRPr="00933B3E" w:rsidRDefault="0043662B" w:rsidP="0043662B">
      <w:pPr>
        <w:numPr>
          <w:ilvl w:val="0"/>
          <w:numId w:val="1"/>
        </w:numPr>
        <w:tabs>
          <w:tab w:val="clear" w:pos="1247"/>
          <w:tab w:val="clear" w:pos="1814"/>
          <w:tab w:val="clear" w:pos="2381"/>
          <w:tab w:val="clear" w:pos="2948"/>
          <w:tab w:val="clear" w:pos="3515"/>
          <w:tab w:val="left" w:pos="624"/>
          <w:tab w:val="left" w:pos="1276"/>
        </w:tabs>
        <w:spacing w:after="120"/>
        <w:ind w:left="1247" w:firstLine="624"/>
      </w:pPr>
      <w:r w:rsidRPr="00933B3E">
        <w:rPr>
          <w:i/>
          <w:iCs/>
        </w:rPr>
        <w:t xml:space="preserve">Endorses </w:t>
      </w:r>
      <w:r w:rsidRPr="00933B3E">
        <w:t>the overall orientation and guidance for achieving the 2020 goal of sound management of chemicals</w:t>
      </w:r>
      <w:r w:rsidRPr="00933B3E">
        <w:rPr>
          <w:rStyle w:val="FootnoteReference"/>
        </w:rPr>
        <w:footnoteReference w:id="2"/>
      </w:r>
      <w:r w:rsidRPr="00933B3E">
        <w:t xml:space="preserve"> </w:t>
      </w:r>
      <w:r w:rsidRPr="00933B3E">
        <w:rPr>
          <w:bCs/>
        </w:rPr>
        <w:t>as a voluntary tool that will assist in the prioritization of efforts for the</w:t>
      </w:r>
      <w:r w:rsidRPr="00933B3E">
        <w:t xml:space="preserve"> sound management of chemicals </w:t>
      </w:r>
      <w:r w:rsidRPr="00933B3E">
        <w:rPr>
          <w:bCs/>
        </w:rPr>
        <w:t>and waste</w:t>
      </w:r>
      <w:r w:rsidRPr="00933B3E">
        <w:t xml:space="preserve"> as a contribution to the overall implementation of the Strategic Approach;</w:t>
      </w:r>
    </w:p>
    <w:p w:rsidR="0043662B" w:rsidRPr="00933B3E" w:rsidRDefault="0043662B" w:rsidP="0043662B">
      <w:pPr>
        <w:numPr>
          <w:ilvl w:val="0"/>
          <w:numId w:val="1"/>
        </w:numPr>
        <w:tabs>
          <w:tab w:val="clear" w:pos="1247"/>
          <w:tab w:val="clear" w:pos="1814"/>
          <w:tab w:val="clear" w:pos="2381"/>
          <w:tab w:val="clear" w:pos="2948"/>
          <w:tab w:val="clear" w:pos="3515"/>
          <w:tab w:val="left" w:pos="624"/>
          <w:tab w:val="left" w:pos="1276"/>
        </w:tabs>
        <w:spacing w:after="120"/>
        <w:ind w:left="1247" w:firstLine="624"/>
        <w:rPr>
          <w:iCs/>
        </w:rPr>
      </w:pPr>
      <w:r w:rsidRPr="00933B3E">
        <w:rPr>
          <w:i/>
          <w:iCs/>
        </w:rPr>
        <w:t>Confirms</w:t>
      </w:r>
      <w:r w:rsidRPr="00933B3E">
        <w:t xml:space="preserve"> </w:t>
      </w:r>
      <w:r w:rsidRPr="00933B3E">
        <w:rPr>
          <w:bCs/>
        </w:rPr>
        <w:t>its intent to focus continued implementation of the Strategic Approach</w:t>
      </w:r>
      <w:r w:rsidRPr="00933B3E">
        <w:t>, through its stakeholders, including the six core activity areas contained in the overall orientation and guidance in support of achieving the objectives of the Overarching Policy Strategy;</w:t>
      </w:r>
    </w:p>
    <w:p w:rsidR="0043662B" w:rsidRPr="00933B3E" w:rsidRDefault="0043662B" w:rsidP="0043662B">
      <w:pPr>
        <w:numPr>
          <w:ilvl w:val="0"/>
          <w:numId w:val="1"/>
        </w:numPr>
        <w:tabs>
          <w:tab w:val="clear" w:pos="1247"/>
          <w:tab w:val="clear" w:pos="1814"/>
          <w:tab w:val="clear" w:pos="2381"/>
          <w:tab w:val="clear" w:pos="2948"/>
          <w:tab w:val="clear" w:pos="3515"/>
          <w:tab w:val="left" w:pos="624"/>
          <w:tab w:val="left" w:pos="1276"/>
        </w:tabs>
        <w:spacing w:after="120"/>
        <w:ind w:left="1247" w:firstLine="624"/>
        <w:rPr>
          <w:strike/>
        </w:rPr>
      </w:pPr>
      <w:r w:rsidRPr="00933B3E">
        <w:rPr>
          <w:i/>
          <w:iCs/>
        </w:rPr>
        <w:t xml:space="preserve">Urges </w:t>
      </w:r>
      <w:r w:rsidRPr="00933B3E">
        <w:t>all stakeholders to take concerted steps to implement the overall orientation and guidance, including the 11 basic elements identified therein, in line with the Overarching Policy Strategy</w:t>
      </w:r>
      <w:r w:rsidRPr="00933B3E">
        <w:rPr>
          <w:bCs/>
        </w:rPr>
        <w:t xml:space="preserve">; </w:t>
      </w:r>
      <w:r w:rsidRPr="00933B3E">
        <w:t xml:space="preserve"> </w:t>
      </w:r>
    </w:p>
    <w:p w:rsidR="0043662B" w:rsidRPr="00933B3E" w:rsidRDefault="0043662B" w:rsidP="0043662B">
      <w:pPr>
        <w:tabs>
          <w:tab w:val="left" w:pos="624"/>
          <w:tab w:val="left" w:pos="1276"/>
        </w:tabs>
        <w:spacing w:after="120"/>
        <w:ind w:left="1247" w:firstLine="624"/>
      </w:pPr>
      <w:r w:rsidRPr="00933B3E">
        <w:t>4.</w:t>
      </w:r>
      <w:r w:rsidRPr="00933B3E">
        <w:rPr>
          <w:i/>
          <w:iCs/>
        </w:rPr>
        <w:t xml:space="preserve"> </w:t>
      </w:r>
      <w:r w:rsidRPr="00933B3E">
        <w:rPr>
          <w:i/>
          <w:iCs/>
        </w:rPr>
        <w:tab/>
        <w:t>Encourages stakeholders</w:t>
      </w:r>
      <w:r w:rsidRPr="00933B3E">
        <w:t xml:space="preserve"> to achieve concrete risk reduction objectives aimed at the minimization of adverse effects on human health and the environment that may be associated with some chemical production, use and end-of-life disposal; </w:t>
      </w:r>
    </w:p>
    <w:p w:rsidR="0043662B" w:rsidRPr="00933B3E" w:rsidRDefault="0043662B" w:rsidP="0043662B">
      <w:pPr>
        <w:tabs>
          <w:tab w:val="left" w:pos="624"/>
          <w:tab w:val="left" w:pos="1276"/>
        </w:tabs>
        <w:spacing w:after="120"/>
        <w:ind w:left="1247" w:firstLine="624"/>
      </w:pPr>
      <w:r w:rsidRPr="00933B3E">
        <w:rPr>
          <w:iCs/>
        </w:rPr>
        <w:t>5.</w:t>
      </w:r>
      <w:r w:rsidRPr="00933B3E">
        <w:rPr>
          <w:iCs/>
        </w:rPr>
        <w:tab/>
      </w:r>
      <w:r w:rsidRPr="00933B3E">
        <w:rPr>
          <w:i/>
        </w:rPr>
        <w:t>Recognizes</w:t>
      </w:r>
      <w:r w:rsidRPr="00933B3E">
        <w:t xml:space="preserve"> the need to deepen and broaden United Nations system-wide engagement, invites the organizations of the Inter-Organization Programme for the Sound Management of Chemicals and of the United Nations Environment Management Group that have not already done so to issue, where possible by 1 July 2016, a declaration signalling their commitment to promote the importance of the sound management of chemicals and waste both within and outside their organizations, including the actions planned within their own mandates to meet the 2020 goal, and requests the Secretariat to make these declarations and planned actions available to all stakeholders;</w:t>
      </w:r>
    </w:p>
    <w:p w:rsidR="0043662B" w:rsidRPr="00933B3E" w:rsidRDefault="0043662B" w:rsidP="0043662B">
      <w:pPr>
        <w:tabs>
          <w:tab w:val="left" w:pos="624"/>
          <w:tab w:val="left" w:pos="1276"/>
        </w:tabs>
        <w:spacing w:after="120"/>
        <w:ind w:left="1247" w:firstLine="624"/>
        <w:rPr>
          <w:i/>
          <w:iCs/>
        </w:rPr>
      </w:pPr>
      <w:r w:rsidRPr="00933B3E">
        <w:rPr>
          <w:iCs/>
        </w:rPr>
        <w:t>6.</w:t>
      </w:r>
      <w:r w:rsidRPr="00933B3E">
        <w:rPr>
          <w:i/>
          <w:iCs/>
        </w:rPr>
        <w:tab/>
        <w:t>Welcomes</w:t>
      </w:r>
      <w:r w:rsidRPr="00933B3E">
        <w:t xml:space="preserve"> the 2030 Agenda for Sustainable Development and the integration of the 2020 goal into its Sustainable Development Goals, and </w:t>
      </w:r>
      <w:r w:rsidRPr="00933B3E">
        <w:rPr>
          <w:iCs/>
        </w:rPr>
        <w:t xml:space="preserve">notes the potential for </w:t>
      </w:r>
      <w:r w:rsidRPr="00933B3E">
        <w:t>the Strategic Approach multi-sectoral and multi-stakeholder platform to make a significant contribution to the implementation of that Agenda,</w:t>
      </w:r>
      <w:r w:rsidRPr="00933B3E">
        <w:rPr>
          <w:i/>
          <w:iCs/>
        </w:rPr>
        <w:t xml:space="preserve"> </w:t>
      </w:r>
      <w:r w:rsidRPr="00933B3E">
        <w:rPr>
          <w:iCs/>
        </w:rPr>
        <w:t>in particular its goals and targets relating to chemicals and wastes</w:t>
      </w:r>
      <w:r w:rsidRPr="00933B3E">
        <w:rPr>
          <w:i/>
          <w:iCs/>
        </w:rPr>
        <w:t xml:space="preserve">; </w:t>
      </w:r>
    </w:p>
    <w:p w:rsidR="0043662B" w:rsidRPr="00933B3E" w:rsidRDefault="0043662B" w:rsidP="0043662B">
      <w:pPr>
        <w:tabs>
          <w:tab w:val="left" w:pos="624"/>
          <w:tab w:val="left" w:pos="1276"/>
        </w:tabs>
        <w:spacing w:after="120"/>
        <w:ind w:left="1247" w:firstLine="624"/>
        <w:rPr>
          <w:iCs/>
        </w:rPr>
      </w:pPr>
      <w:r w:rsidRPr="00933B3E">
        <w:rPr>
          <w:iCs/>
        </w:rPr>
        <w:t>7.</w:t>
      </w:r>
      <w:r w:rsidRPr="00933B3E">
        <w:rPr>
          <w:i/>
          <w:iCs/>
        </w:rPr>
        <w:tab/>
        <w:t>Encourages</w:t>
      </w:r>
      <w:r w:rsidRPr="00933B3E">
        <w:rPr>
          <w:iCs/>
        </w:rPr>
        <w:t xml:space="preserve"> Governments and other stakeholders to use the Strategic Approach as a framework for national action and international cooperation to implement the sustainable management of chemicals and waste and chemicals and waste-related aspects of the 2030 Agenda for Sustainable Development; </w:t>
      </w:r>
    </w:p>
    <w:p w:rsidR="0043662B" w:rsidRPr="00933B3E" w:rsidRDefault="0043662B" w:rsidP="0043662B">
      <w:pPr>
        <w:tabs>
          <w:tab w:val="left" w:pos="624"/>
          <w:tab w:val="left" w:pos="1276"/>
        </w:tabs>
        <w:spacing w:after="120"/>
        <w:ind w:left="1247" w:firstLine="624"/>
        <w:rPr>
          <w:iCs/>
        </w:rPr>
      </w:pPr>
      <w:r w:rsidRPr="00933B3E">
        <w:rPr>
          <w:iCs/>
        </w:rPr>
        <w:lastRenderedPageBreak/>
        <w:t>8.</w:t>
      </w:r>
      <w:r w:rsidRPr="00933B3E">
        <w:rPr>
          <w:i/>
          <w:iCs/>
        </w:rPr>
        <w:tab/>
        <w:t>Emphasizes</w:t>
      </w:r>
      <w:r w:rsidRPr="00933B3E">
        <w:rPr>
          <w:iCs/>
        </w:rPr>
        <w:t xml:space="preserve"> the importance of including the sound management of chemicals and wastes as a priority within national development planning processes and poverty reduction strategies so as to contribute to mainstreaming and signal to Governments, donors, intergovernmental organizations and other stakeholders the cross-cutting nature and importance of the sound management of chemicals in the 2030 Agenda for Sustainable Development; </w:t>
      </w:r>
    </w:p>
    <w:p w:rsidR="0043662B" w:rsidRPr="00933B3E" w:rsidRDefault="0043662B" w:rsidP="0043662B">
      <w:pPr>
        <w:tabs>
          <w:tab w:val="left" w:pos="624"/>
          <w:tab w:val="left" w:pos="1276"/>
        </w:tabs>
        <w:spacing w:after="120"/>
        <w:ind w:left="1247" w:firstLine="624"/>
      </w:pPr>
      <w:r w:rsidRPr="00933B3E">
        <w:rPr>
          <w:iCs/>
        </w:rPr>
        <w:t>9.</w:t>
      </w:r>
      <w:r w:rsidRPr="00933B3E">
        <w:rPr>
          <w:i/>
          <w:iCs/>
        </w:rPr>
        <w:t xml:space="preserve"> </w:t>
      </w:r>
      <w:r w:rsidRPr="00933B3E">
        <w:rPr>
          <w:i/>
          <w:iCs/>
        </w:rPr>
        <w:tab/>
        <w:t xml:space="preserve">Invites </w:t>
      </w:r>
      <w:r w:rsidRPr="00933B3E">
        <w:t xml:space="preserve">the Global Environment Facility to </w:t>
      </w:r>
      <w:r w:rsidRPr="00933B3E">
        <w:rPr>
          <w:bCs/>
        </w:rPr>
        <w:t xml:space="preserve">continue to </w:t>
      </w:r>
      <w:r w:rsidRPr="00933B3E">
        <w:t xml:space="preserve">support projects that implement the Strategic Approach, taking into account the areas identified in the overall orientation and guidance, and to consider enhancing funding for the Strategic Approach in the process of the seventh replenishment of its trust fund;  </w:t>
      </w:r>
    </w:p>
    <w:p w:rsidR="0043662B" w:rsidRPr="00933B3E" w:rsidRDefault="0043662B" w:rsidP="0043662B">
      <w:pPr>
        <w:tabs>
          <w:tab w:val="left" w:pos="624"/>
          <w:tab w:val="left" w:pos="1276"/>
        </w:tabs>
        <w:spacing w:after="120"/>
        <w:ind w:left="1247" w:firstLine="624"/>
        <w:rPr>
          <w:iCs/>
        </w:rPr>
      </w:pPr>
      <w:r w:rsidRPr="00933B3E">
        <w:rPr>
          <w:iCs/>
        </w:rPr>
        <w:t>10.</w:t>
      </w:r>
      <w:r w:rsidRPr="00933B3E">
        <w:rPr>
          <w:i/>
          <w:iCs/>
        </w:rPr>
        <w:t xml:space="preserve"> </w:t>
      </w:r>
      <w:r w:rsidRPr="00933B3E">
        <w:rPr>
          <w:i/>
          <w:iCs/>
        </w:rPr>
        <w:tab/>
        <w:t xml:space="preserve">Encourages </w:t>
      </w:r>
      <w:r w:rsidRPr="00933B3E">
        <w:rPr>
          <w:iCs/>
        </w:rPr>
        <w:t>all stakeholders to establish or strengthen partnerships and mechanisms for technological cooperation and the provision of appropriate and clean technology to and among developing countries and countries with economies in transition, as reflected in the capacity-building and technical cooperation objective of the Overarching Policy Strategy;</w:t>
      </w:r>
    </w:p>
    <w:p w:rsidR="0043662B" w:rsidRPr="00933B3E" w:rsidRDefault="0043662B" w:rsidP="0043662B">
      <w:pPr>
        <w:tabs>
          <w:tab w:val="left" w:pos="624"/>
          <w:tab w:val="left" w:pos="1276"/>
        </w:tabs>
        <w:spacing w:after="120"/>
        <w:ind w:left="1247" w:firstLine="624"/>
        <w:rPr>
          <w:i/>
          <w:iCs/>
        </w:rPr>
      </w:pPr>
      <w:r w:rsidRPr="00933B3E">
        <w:rPr>
          <w:iCs/>
        </w:rPr>
        <w:t>11.</w:t>
      </w:r>
      <w:r w:rsidRPr="00933B3E">
        <w:rPr>
          <w:i/>
          <w:iCs/>
        </w:rPr>
        <w:t xml:space="preserve"> </w:t>
      </w:r>
      <w:r w:rsidRPr="00933B3E">
        <w:rPr>
          <w:i/>
        </w:rPr>
        <w:tab/>
        <w:t>Invites</w:t>
      </w:r>
      <w:r w:rsidRPr="00933B3E">
        <w:t xml:space="preserve"> Strategic Approach stakeholders, including the Executive Director of the United Nations Environment Programme, to pursue additional initiatives aimed at mobilizing resources to support relevant government agencies, intergovernmental organizations, industry and public interest stakeholders to fully implement the six core activity areas of the overall orientation and guidance and to undertake the full range of risk reduction activities necessary to minimize the adverse effects on human health and the environment that may be associated with some chemical production, use and end-of-life disposal</w:t>
      </w:r>
      <w:r w:rsidRPr="00933B3E">
        <w:rPr>
          <w:iCs/>
        </w:rPr>
        <w:t>;</w:t>
      </w:r>
    </w:p>
    <w:p w:rsidR="0043662B" w:rsidRPr="00933B3E" w:rsidRDefault="0043662B" w:rsidP="0043662B">
      <w:pPr>
        <w:tabs>
          <w:tab w:val="left" w:pos="624"/>
          <w:tab w:val="left" w:pos="1276"/>
        </w:tabs>
        <w:spacing w:after="120"/>
        <w:ind w:left="1247" w:firstLine="624"/>
      </w:pPr>
      <w:r w:rsidRPr="00933B3E">
        <w:rPr>
          <w:iCs/>
        </w:rPr>
        <w:t>12.</w:t>
      </w:r>
      <w:r w:rsidRPr="00933B3E">
        <w:rPr>
          <w:i/>
          <w:iCs/>
        </w:rPr>
        <w:t xml:space="preserve"> </w:t>
      </w:r>
      <w:r w:rsidRPr="00933B3E">
        <w:rPr>
          <w:i/>
          <w:iCs/>
        </w:rPr>
        <w:tab/>
        <w:t xml:space="preserve">Encourages </w:t>
      </w:r>
      <w:r w:rsidRPr="00933B3E">
        <w:t xml:space="preserve">all stakeholders to take the necessary action to support the integrated approach to financing the sound management of chemicals and waste; </w:t>
      </w:r>
    </w:p>
    <w:p w:rsidR="0043662B" w:rsidRPr="00933B3E" w:rsidRDefault="0043662B" w:rsidP="0043662B">
      <w:pPr>
        <w:tabs>
          <w:tab w:val="left" w:pos="624"/>
          <w:tab w:val="left" w:pos="1276"/>
        </w:tabs>
        <w:spacing w:after="120"/>
        <w:ind w:left="1247" w:firstLine="624"/>
        <w:rPr>
          <w:b/>
        </w:rPr>
      </w:pPr>
      <w:r w:rsidRPr="00933B3E">
        <w:rPr>
          <w:iCs/>
        </w:rPr>
        <w:t xml:space="preserve">13. </w:t>
      </w:r>
      <w:r w:rsidRPr="00933B3E">
        <w:rPr>
          <w:iCs/>
        </w:rPr>
        <w:tab/>
      </w:r>
      <w:r w:rsidRPr="00933B3E">
        <w:rPr>
          <w:i/>
          <w:iCs/>
        </w:rPr>
        <w:t xml:space="preserve">Requests </w:t>
      </w:r>
      <w:r w:rsidRPr="00933B3E">
        <w:t xml:space="preserve">all stakeholders and the secretariat to support the implementation of the integrated approach to financing the sound management of chemicals and wastes; </w:t>
      </w:r>
    </w:p>
    <w:p w:rsidR="0043662B" w:rsidRPr="00933B3E" w:rsidRDefault="0043662B" w:rsidP="0043662B">
      <w:pPr>
        <w:tabs>
          <w:tab w:val="left" w:pos="624"/>
          <w:tab w:val="left" w:pos="1276"/>
        </w:tabs>
        <w:spacing w:after="120"/>
        <w:ind w:left="1247" w:firstLine="624"/>
      </w:pPr>
      <w:r w:rsidRPr="00933B3E">
        <w:rPr>
          <w:iCs/>
        </w:rPr>
        <w:t xml:space="preserve">14. </w:t>
      </w:r>
      <w:r w:rsidRPr="00933B3E">
        <w:rPr>
          <w:iCs/>
        </w:rPr>
        <w:tab/>
      </w:r>
      <w:r w:rsidRPr="00933B3E">
        <w:rPr>
          <w:i/>
          <w:iCs/>
        </w:rPr>
        <w:t xml:space="preserve">Urges </w:t>
      </w:r>
      <w:r w:rsidRPr="00933B3E">
        <w:t>private sector and bilateral, multilateral and global agencies or developed country donors to provide developing countries, particularly least developed countries and small island developing States, and countries with economies in transition with support to complement their national actions towards reaching the 2020 goal;</w:t>
      </w:r>
    </w:p>
    <w:p w:rsidR="0043662B" w:rsidRPr="00933B3E" w:rsidRDefault="0043662B" w:rsidP="0043662B">
      <w:pPr>
        <w:tabs>
          <w:tab w:val="left" w:pos="624"/>
          <w:tab w:val="left" w:pos="1276"/>
        </w:tabs>
        <w:spacing w:after="120"/>
        <w:ind w:left="1247" w:firstLine="624"/>
      </w:pPr>
      <w:r w:rsidRPr="00933B3E">
        <w:rPr>
          <w:iCs/>
        </w:rPr>
        <w:t xml:space="preserve">15. </w:t>
      </w:r>
      <w:r w:rsidRPr="00933B3E">
        <w:rPr>
          <w:iCs/>
        </w:rPr>
        <w:tab/>
      </w:r>
      <w:r w:rsidRPr="00933B3E">
        <w:rPr>
          <w:i/>
          <w:iCs/>
        </w:rPr>
        <w:t xml:space="preserve">Welcomes </w:t>
      </w:r>
      <w:r w:rsidRPr="00933B3E">
        <w:t xml:space="preserve">efforts made in the implementation of the strategy on strengthening the engagement of the health sector in the implementation of the Strategic Approach adopted by the Conference in its resolution III/4 and </w:t>
      </w:r>
      <w:r w:rsidRPr="00933B3E">
        <w:rPr>
          <w:iCs/>
        </w:rPr>
        <w:t>encourages</w:t>
      </w:r>
      <w:r w:rsidRPr="00933B3E">
        <w:t xml:space="preserve"> all relevant Strategic Approach stakeholders to continue their efforts, with the World Health Organization serving a key role in continuing these efforts;</w:t>
      </w:r>
      <w:r w:rsidRPr="00933B3E">
        <w:rPr>
          <w:rStyle w:val="CommentReference"/>
          <w:rFonts w:ascii="Cambria" w:hAnsi="Cambria"/>
          <w:lang w:eastAsia="fr-FR"/>
        </w:rPr>
        <w:t xml:space="preserve"> </w:t>
      </w:r>
    </w:p>
    <w:p w:rsidR="0043662B" w:rsidRPr="00933B3E" w:rsidRDefault="0043662B" w:rsidP="0043662B">
      <w:pPr>
        <w:tabs>
          <w:tab w:val="left" w:pos="624"/>
          <w:tab w:val="left" w:pos="1276"/>
        </w:tabs>
        <w:spacing w:after="120"/>
        <w:ind w:left="1247" w:firstLine="624"/>
      </w:pPr>
      <w:r w:rsidRPr="00933B3E">
        <w:rPr>
          <w:iCs/>
        </w:rPr>
        <w:t xml:space="preserve">16. </w:t>
      </w:r>
      <w:r w:rsidRPr="00933B3E">
        <w:rPr>
          <w:iCs/>
        </w:rPr>
        <w:tab/>
      </w:r>
      <w:r w:rsidRPr="00933B3E">
        <w:rPr>
          <w:i/>
          <w:iCs/>
        </w:rPr>
        <w:t xml:space="preserve">Welcomes </w:t>
      </w:r>
      <w:r w:rsidRPr="00933B3E">
        <w:rPr>
          <w:iCs/>
        </w:rPr>
        <w:t xml:space="preserve">the leading and coordinating role of </w:t>
      </w:r>
      <w:r w:rsidRPr="00933B3E">
        <w:t>the World Health Organization</w:t>
      </w:r>
      <w:r w:rsidRPr="00933B3E">
        <w:rPr>
          <w:iCs/>
        </w:rPr>
        <w:t>, encourages</w:t>
      </w:r>
      <w:r w:rsidRPr="00933B3E">
        <w:rPr>
          <w:i/>
          <w:iCs/>
        </w:rPr>
        <w:t xml:space="preserve"> </w:t>
      </w:r>
      <w:r w:rsidRPr="00933B3E">
        <w:t>the contribution of the health sector towards implementation of the overall orientation and guidance and takes note of the health sector priorities;</w:t>
      </w:r>
      <w:r w:rsidRPr="00933B3E">
        <w:rPr>
          <w:rStyle w:val="FootnoteReference"/>
        </w:rPr>
        <w:footnoteReference w:id="3"/>
      </w:r>
    </w:p>
    <w:p w:rsidR="0043662B" w:rsidRPr="00933B3E" w:rsidRDefault="0043662B" w:rsidP="0043662B">
      <w:pPr>
        <w:tabs>
          <w:tab w:val="left" w:pos="624"/>
          <w:tab w:val="left" w:pos="1276"/>
        </w:tabs>
        <w:spacing w:after="120"/>
        <w:ind w:left="1247" w:firstLine="624"/>
        <w:rPr>
          <w:bCs/>
        </w:rPr>
      </w:pPr>
      <w:r w:rsidRPr="00933B3E">
        <w:rPr>
          <w:iCs/>
        </w:rPr>
        <w:t>17.</w:t>
      </w:r>
      <w:r w:rsidRPr="00933B3E">
        <w:rPr>
          <w:i/>
          <w:iCs/>
        </w:rPr>
        <w:t xml:space="preserve"> </w:t>
      </w:r>
      <w:r w:rsidRPr="00933B3E">
        <w:rPr>
          <w:bCs/>
          <w:i/>
          <w:iCs/>
        </w:rPr>
        <w:tab/>
        <w:t xml:space="preserve">Requests </w:t>
      </w:r>
      <w:r w:rsidRPr="00933B3E">
        <w:rPr>
          <w:bCs/>
        </w:rPr>
        <w:t xml:space="preserve">the secretariat, in cooperation with the Strategic Approach regional focal points where appropriate, to support the Strategic Approach national focal points in undertaking the actions suggested in the overall orientation and guidance; </w:t>
      </w:r>
    </w:p>
    <w:p w:rsidR="0043662B" w:rsidRPr="00933B3E" w:rsidRDefault="0043662B" w:rsidP="0043662B">
      <w:pPr>
        <w:tabs>
          <w:tab w:val="left" w:pos="624"/>
          <w:tab w:val="left" w:pos="1276"/>
        </w:tabs>
        <w:spacing w:after="120"/>
        <w:ind w:left="1247" w:firstLine="624"/>
      </w:pPr>
      <w:r w:rsidRPr="00933B3E">
        <w:rPr>
          <w:iCs/>
        </w:rPr>
        <w:t>18.</w:t>
      </w:r>
      <w:r w:rsidRPr="00933B3E">
        <w:rPr>
          <w:i/>
          <w:iCs/>
        </w:rPr>
        <w:t xml:space="preserve"> </w:t>
      </w:r>
      <w:r w:rsidRPr="00933B3E">
        <w:rPr>
          <w:i/>
          <w:iCs/>
        </w:rPr>
        <w:tab/>
        <w:t>Requests</w:t>
      </w:r>
      <w:r w:rsidRPr="00933B3E">
        <w:t xml:space="preserve"> the secretariat to develop a third progress report including achievements, strengths and weaknesses for the period 2014–2016 and an analysis of the 20 indicators of progress for consideration by the Open-ended Working Group at its third meeting, and also directs the Open-ended Working Group to consider the need for a report for the period 2017–2019 for consideration by the Conference at its fifth session; </w:t>
      </w:r>
    </w:p>
    <w:p w:rsidR="0043662B" w:rsidRPr="00933B3E" w:rsidRDefault="0043662B" w:rsidP="0043662B">
      <w:pPr>
        <w:tabs>
          <w:tab w:val="left" w:pos="624"/>
          <w:tab w:val="left" w:pos="1276"/>
        </w:tabs>
        <w:spacing w:after="120"/>
        <w:ind w:left="1247" w:firstLine="624"/>
      </w:pPr>
      <w:r w:rsidRPr="00933B3E">
        <w:t>19.</w:t>
      </w:r>
      <w:r w:rsidRPr="00933B3E">
        <w:rPr>
          <w:i/>
          <w:iCs/>
        </w:rPr>
        <w:tab/>
        <w:t xml:space="preserve">Calls upon </w:t>
      </w:r>
      <w:r w:rsidRPr="00933B3E">
        <w:t>the</w:t>
      </w:r>
      <w:r w:rsidRPr="00933B3E">
        <w:rPr>
          <w:i/>
          <w:iCs/>
        </w:rPr>
        <w:t xml:space="preserve"> </w:t>
      </w:r>
      <w:r w:rsidRPr="00933B3E">
        <w:t xml:space="preserve">participating organizations of the Inter-Organization Programme for the Sound Management of Chemicals and relevant conventions to enhance support to developing countries and countries with economies in transition to achieve the 2020 goal; </w:t>
      </w:r>
    </w:p>
    <w:p w:rsidR="0043662B" w:rsidRPr="00933B3E" w:rsidRDefault="0043662B" w:rsidP="0043662B">
      <w:pPr>
        <w:tabs>
          <w:tab w:val="left" w:pos="624"/>
          <w:tab w:val="left" w:pos="1276"/>
        </w:tabs>
        <w:spacing w:after="120"/>
        <w:ind w:left="1247" w:firstLine="624"/>
      </w:pPr>
      <w:r w:rsidRPr="00933B3E">
        <w:t>20.</w:t>
      </w:r>
      <w:r w:rsidRPr="00933B3E">
        <w:rPr>
          <w:i/>
          <w:iCs/>
        </w:rPr>
        <w:tab/>
        <w:t xml:space="preserve">Requests </w:t>
      </w:r>
      <w:r w:rsidRPr="00933B3E">
        <w:t>the secretariat to report on progress in the implementation of the overall orientation and guidance at the fifth session of the Conference and to submit an interim report to the Open-ended Working Group at its third meeting.</w:t>
      </w:r>
      <w:r w:rsidRPr="00933B3E">
        <w:rPr>
          <w:b/>
        </w:rPr>
        <w:t xml:space="preserve"> </w:t>
      </w:r>
    </w:p>
    <w:p w:rsidR="002F4632" w:rsidRDefault="002F4632"/>
    <w:sectPr w:rsidR="002F4632" w:rsidSect="008F475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62B" w:rsidRDefault="0043662B" w:rsidP="0043662B">
      <w:r>
        <w:separator/>
      </w:r>
    </w:p>
  </w:endnote>
  <w:endnote w:type="continuationSeparator" w:id="0">
    <w:p w:rsidR="0043662B" w:rsidRDefault="0043662B" w:rsidP="00436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62B" w:rsidRDefault="0043662B" w:rsidP="0043662B">
      <w:r>
        <w:separator/>
      </w:r>
    </w:p>
  </w:footnote>
  <w:footnote w:type="continuationSeparator" w:id="0">
    <w:p w:rsidR="0043662B" w:rsidRDefault="0043662B" w:rsidP="0043662B">
      <w:r>
        <w:continuationSeparator/>
      </w:r>
    </w:p>
  </w:footnote>
  <w:footnote w:id="1">
    <w:p w:rsidR="0043662B" w:rsidRPr="0021581C" w:rsidRDefault="0043662B" w:rsidP="0043662B">
      <w:pPr>
        <w:pStyle w:val="FootnoteText"/>
        <w:rPr>
          <w:szCs w:val="18"/>
          <w:lang w:val="en-US"/>
        </w:rPr>
      </w:pPr>
      <w:r w:rsidRPr="0021581C">
        <w:rPr>
          <w:rStyle w:val="FootnoteReference"/>
        </w:rPr>
        <w:footnoteRef/>
      </w:r>
      <w:r w:rsidRPr="0021581C">
        <w:rPr>
          <w:szCs w:val="18"/>
        </w:rPr>
        <w:t xml:space="preserve"> United Nations Environment Assembly resolution 1/5, annex.</w:t>
      </w:r>
    </w:p>
  </w:footnote>
  <w:footnote w:id="2">
    <w:p w:rsidR="0043662B" w:rsidRPr="004F2EC2" w:rsidRDefault="0043662B" w:rsidP="0043662B">
      <w:pPr>
        <w:pStyle w:val="FootnoteText"/>
        <w:rPr>
          <w:lang w:val="en-US"/>
        </w:rPr>
      </w:pPr>
      <w:r w:rsidRPr="00AE7745">
        <w:rPr>
          <w:rStyle w:val="FootnoteReference"/>
        </w:rPr>
        <w:footnoteRef/>
      </w:r>
      <w:r w:rsidRPr="00776374">
        <w:t xml:space="preserve"> </w:t>
      </w:r>
      <w:r w:rsidRPr="00776374">
        <w:rPr>
          <w:szCs w:val="18"/>
        </w:rPr>
        <w:t>SAICM/ICCM.4/6, annex.</w:t>
      </w:r>
    </w:p>
  </w:footnote>
  <w:footnote w:id="3">
    <w:p w:rsidR="0043662B" w:rsidRPr="0058351E" w:rsidRDefault="0043662B" w:rsidP="0043662B">
      <w:pPr>
        <w:pStyle w:val="FootnoteText"/>
        <w:rPr>
          <w:lang w:val="en-US"/>
        </w:rPr>
      </w:pPr>
      <w:r>
        <w:rPr>
          <w:rStyle w:val="FootnoteReference"/>
        </w:rPr>
        <w:footnoteRef/>
      </w:r>
      <w:r>
        <w:t xml:space="preserve"> </w:t>
      </w:r>
      <w:r>
        <w:rPr>
          <w:lang w:val="en-US"/>
        </w:rPr>
        <w:t>SAICM/ICCM.4/15, annex III.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5293F"/>
    <w:multiLevelType w:val="hybridMultilevel"/>
    <w:tmpl w:val="BA60AA92"/>
    <w:lvl w:ilvl="0" w:tplc="0F408878">
      <w:start w:val="1"/>
      <w:numFmt w:val="decimal"/>
      <w:lvlText w:val="%1."/>
      <w:lvlJc w:val="left"/>
      <w:pPr>
        <w:ind w:left="2340" w:hanging="360"/>
      </w:pPr>
      <w:rPr>
        <w:rFonts w:hint="default"/>
        <w:strike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62B"/>
    <w:rsid w:val="002F4632"/>
    <w:rsid w:val="0043662B"/>
    <w:rsid w:val="00743C85"/>
    <w:rsid w:val="008F47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2B"/>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
    <w:next w:val="Normal"/>
    <w:link w:val="CH2Char"/>
    <w:rsid w:val="0043662B"/>
    <w:pPr>
      <w:keepNext/>
      <w:keepLines/>
      <w:tabs>
        <w:tab w:val="right" w:pos="851"/>
      </w:tabs>
      <w:suppressAutoHyphens/>
      <w:spacing w:before="120" w:after="120"/>
      <w:ind w:left="1247" w:right="284" w:hanging="1247"/>
    </w:pPr>
    <w:rPr>
      <w:b/>
      <w:sz w:val="24"/>
      <w:szCs w:val="24"/>
    </w:rPr>
  </w:style>
  <w:style w:type="paragraph" w:customStyle="1" w:styleId="Normal-pool">
    <w:name w:val="Normal-pool"/>
    <w:link w:val="Normal-poolChar"/>
    <w:rsid w:val="0043662B"/>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customStyle="1" w:styleId="Normal-poolChar">
    <w:name w:val="Normal-pool Char"/>
    <w:link w:val="Normal-pool"/>
    <w:locked/>
    <w:rsid w:val="0043662B"/>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 S"/>
    <w:rsid w:val="0043662B"/>
    <w:rPr>
      <w:rFonts w:ascii="Times New Roman" w:hAnsi="Times New Roman"/>
      <w:color w:val="auto"/>
      <w:sz w:val="20"/>
      <w:szCs w:val="18"/>
      <w:vertAlign w:val="superscript"/>
    </w:rPr>
  </w:style>
  <w:style w:type="paragraph" w:styleId="FootnoteText">
    <w:name w:val="footnote text"/>
    <w:aliases w:val="Geneva 9,Font: Geneva 9,Boston 10,f,DNV-FT,Footnote01,-E Fußnotentext,ft,Fußnote,Fußnotentext Ursprung,fn,footnote text,Footnotes,Footnote ak,fn cafc,Footnotes Char Char,Footnote Text Char Char,fn Char Char,footnote text Char Char Char Ch"/>
    <w:basedOn w:val="Normal"/>
    <w:link w:val="FootnoteTextChar"/>
    <w:rsid w:val="0043662B"/>
    <w:pPr>
      <w:spacing w:before="20" w:after="40"/>
      <w:ind w:left="1247"/>
    </w:pPr>
    <w:rPr>
      <w:sz w:val="18"/>
    </w:rPr>
  </w:style>
  <w:style w:type="character" w:customStyle="1" w:styleId="FootnoteTextChar">
    <w:name w:val="Footnote Text Char"/>
    <w:aliases w:val="Geneva 9 Char,Font: Geneva 9 Char,Boston 10 Char,f Char,DNV-FT Char,Footnote01 Char,-E Fußnotentext Char,ft Char,Fußnote Char,Fußnotentext Ursprung Char,fn Char,footnote text Char,Footnotes Char,Footnote ak Char,fn cafc Char"/>
    <w:basedOn w:val="DefaultParagraphFont"/>
    <w:link w:val="FootnoteText"/>
    <w:rsid w:val="0043662B"/>
    <w:rPr>
      <w:rFonts w:ascii="Times New Roman" w:eastAsia="Times New Roman" w:hAnsi="Times New Roman" w:cs="Times New Roman"/>
      <w:sz w:val="18"/>
      <w:szCs w:val="20"/>
      <w:lang w:val="en-GB" w:eastAsia="en-US"/>
    </w:rPr>
  </w:style>
  <w:style w:type="character" w:styleId="CommentReference">
    <w:name w:val="annotation reference"/>
    <w:unhideWhenUsed/>
    <w:rsid w:val="0043662B"/>
    <w:rPr>
      <w:sz w:val="18"/>
      <w:szCs w:val="18"/>
    </w:rPr>
  </w:style>
  <w:style w:type="character" w:customStyle="1" w:styleId="CH2Char">
    <w:name w:val="CH2 Char"/>
    <w:link w:val="CH2"/>
    <w:locked/>
    <w:rsid w:val="0043662B"/>
    <w:rPr>
      <w:rFonts w:ascii="Times New Roman" w:eastAsia="Times New Roman" w:hAnsi="Times New Roman" w:cs="Times New Roman"/>
      <w:b/>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2B"/>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
    <w:next w:val="Normal"/>
    <w:link w:val="CH2Char"/>
    <w:rsid w:val="0043662B"/>
    <w:pPr>
      <w:keepNext/>
      <w:keepLines/>
      <w:tabs>
        <w:tab w:val="right" w:pos="851"/>
      </w:tabs>
      <w:suppressAutoHyphens/>
      <w:spacing w:before="120" w:after="120"/>
      <w:ind w:left="1247" w:right="284" w:hanging="1247"/>
    </w:pPr>
    <w:rPr>
      <w:b/>
      <w:sz w:val="24"/>
      <w:szCs w:val="24"/>
    </w:rPr>
  </w:style>
  <w:style w:type="paragraph" w:customStyle="1" w:styleId="Normal-pool">
    <w:name w:val="Normal-pool"/>
    <w:link w:val="Normal-poolChar"/>
    <w:rsid w:val="0043662B"/>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customStyle="1" w:styleId="Normal-poolChar">
    <w:name w:val="Normal-pool Char"/>
    <w:link w:val="Normal-pool"/>
    <w:locked/>
    <w:rsid w:val="0043662B"/>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 S"/>
    <w:rsid w:val="0043662B"/>
    <w:rPr>
      <w:rFonts w:ascii="Times New Roman" w:hAnsi="Times New Roman"/>
      <w:color w:val="auto"/>
      <w:sz w:val="20"/>
      <w:szCs w:val="18"/>
      <w:vertAlign w:val="superscript"/>
    </w:rPr>
  </w:style>
  <w:style w:type="paragraph" w:styleId="FootnoteText">
    <w:name w:val="footnote text"/>
    <w:aliases w:val="Geneva 9,Font: Geneva 9,Boston 10,f,DNV-FT,Footnote01,-E Fußnotentext,ft,Fußnote,Fußnotentext Ursprung,fn,footnote text,Footnotes,Footnote ak,fn cafc,Footnotes Char Char,Footnote Text Char Char,fn Char Char,footnote text Char Char Char Ch"/>
    <w:basedOn w:val="Normal"/>
    <w:link w:val="FootnoteTextChar"/>
    <w:rsid w:val="0043662B"/>
    <w:pPr>
      <w:spacing w:before="20" w:after="40"/>
      <w:ind w:left="1247"/>
    </w:pPr>
    <w:rPr>
      <w:sz w:val="18"/>
    </w:rPr>
  </w:style>
  <w:style w:type="character" w:customStyle="1" w:styleId="FootnoteTextChar">
    <w:name w:val="Footnote Text Char"/>
    <w:aliases w:val="Geneva 9 Char,Font: Geneva 9 Char,Boston 10 Char,f Char,DNV-FT Char,Footnote01 Char,-E Fußnotentext Char,ft Char,Fußnote Char,Fußnotentext Ursprung Char,fn Char,footnote text Char,Footnotes Char,Footnote ak Char,fn cafc Char"/>
    <w:basedOn w:val="DefaultParagraphFont"/>
    <w:link w:val="FootnoteText"/>
    <w:rsid w:val="0043662B"/>
    <w:rPr>
      <w:rFonts w:ascii="Times New Roman" w:eastAsia="Times New Roman" w:hAnsi="Times New Roman" w:cs="Times New Roman"/>
      <w:sz w:val="18"/>
      <w:szCs w:val="20"/>
      <w:lang w:val="en-GB" w:eastAsia="en-US"/>
    </w:rPr>
  </w:style>
  <w:style w:type="character" w:styleId="CommentReference">
    <w:name w:val="annotation reference"/>
    <w:unhideWhenUsed/>
    <w:rsid w:val="0043662B"/>
    <w:rPr>
      <w:sz w:val="18"/>
      <w:szCs w:val="18"/>
    </w:rPr>
  </w:style>
  <w:style w:type="character" w:customStyle="1" w:styleId="CH2Char">
    <w:name w:val="CH2 Char"/>
    <w:link w:val="CH2"/>
    <w:locked/>
    <w:rsid w:val="0043662B"/>
    <w:rPr>
      <w:rFonts w:ascii="Times New Roman" w:eastAsia="Times New Roman" w:hAnsi="Times New Roman" w:cs="Times New Roman"/>
      <w:b/>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11969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1</cp:revision>
  <dcterms:created xsi:type="dcterms:W3CDTF">2016-08-29T08:51:00Z</dcterms:created>
  <dcterms:modified xsi:type="dcterms:W3CDTF">2016-08-29T09:07:00Z</dcterms:modified>
</cp:coreProperties>
</file>