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33B" w:rsidRPr="002E764E" w:rsidRDefault="00F0433B" w:rsidP="00F0433B">
      <w:pPr>
        <w:tabs>
          <w:tab w:val="left" w:pos="624"/>
          <w:tab w:val="left" w:pos="1247"/>
          <w:tab w:val="left" w:pos="1814"/>
          <w:tab w:val="left" w:pos="2381"/>
          <w:tab w:val="left" w:pos="2948"/>
          <w:tab w:val="left" w:pos="3515"/>
          <w:tab w:val="left" w:pos="4082"/>
        </w:tabs>
        <w:spacing w:before="240"/>
        <w:ind w:left="1276"/>
        <w:rPr>
          <w:i/>
          <w:sz w:val="28"/>
          <w:szCs w:val="28"/>
        </w:rPr>
      </w:pPr>
      <w:r w:rsidRPr="002E764E">
        <w:rPr>
          <w:b/>
          <w:sz w:val="28"/>
          <w:szCs w:val="28"/>
        </w:rPr>
        <w:t>POPRC-</w:t>
      </w:r>
      <w:r w:rsidRPr="002E764E">
        <w:rPr>
          <w:b/>
          <w:sz w:val="28"/>
          <w:szCs w:val="28"/>
          <w:lang w:eastAsia="ja-JP"/>
        </w:rPr>
        <w:t>10</w:t>
      </w:r>
      <w:r w:rsidRPr="002E764E">
        <w:rPr>
          <w:b/>
          <w:sz w:val="28"/>
          <w:szCs w:val="28"/>
        </w:rPr>
        <w:t>/</w:t>
      </w:r>
      <w:r w:rsidRPr="002E764E">
        <w:rPr>
          <w:b/>
          <w:sz w:val="28"/>
          <w:szCs w:val="28"/>
          <w:lang w:eastAsia="ja-JP"/>
        </w:rPr>
        <w:t>3</w:t>
      </w:r>
      <w:r w:rsidRPr="002E764E">
        <w:rPr>
          <w:b/>
          <w:sz w:val="28"/>
          <w:szCs w:val="28"/>
        </w:rPr>
        <w:t xml:space="preserve">: </w:t>
      </w:r>
      <w:proofErr w:type="spellStart"/>
      <w:r w:rsidRPr="002E764E">
        <w:rPr>
          <w:b/>
          <w:sz w:val="28"/>
          <w:szCs w:val="28"/>
        </w:rPr>
        <w:t>Dicofol</w:t>
      </w:r>
      <w:proofErr w:type="spellEnd"/>
      <w:r w:rsidRPr="002E764E">
        <w:rPr>
          <w:i/>
          <w:sz w:val="28"/>
          <w:szCs w:val="28"/>
        </w:rPr>
        <w:t xml:space="preserve"> </w:t>
      </w:r>
    </w:p>
    <w:p w:rsidR="00F0433B" w:rsidRPr="002E764E" w:rsidRDefault="00F0433B" w:rsidP="00F0433B">
      <w:pPr>
        <w:tabs>
          <w:tab w:val="left" w:pos="624"/>
        </w:tabs>
        <w:ind w:left="1247" w:firstLine="624"/>
        <w:rPr>
          <w:i/>
        </w:rPr>
      </w:pPr>
      <w:r w:rsidRPr="002E764E">
        <w:rPr>
          <w:i/>
        </w:rPr>
        <w:t>The Persistent Organic Pollutants Review Committee,</w:t>
      </w:r>
    </w:p>
    <w:p w:rsidR="00F0433B" w:rsidRPr="002E764E" w:rsidRDefault="00F0433B" w:rsidP="00F0433B">
      <w:pPr>
        <w:tabs>
          <w:tab w:val="left" w:pos="624"/>
        </w:tabs>
        <w:ind w:left="1247" w:firstLine="624"/>
      </w:pPr>
      <w:r w:rsidRPr="002E764E">
        <w:rPr>
          <w:i/>
          <w:iCs/>
        </w:rPr>
        <w:t xml:space="preserve">Having examined </w:t>
      </w:r>
      <w:r w:rsidRPr="002E764E">
        <w:t xml:space="preserve">the proposal by the European Union to list </w:t>
      </w:r>
      <w:proofErr w:type="spellStart"/>
      <w:r w:rsidRPr="002E764E">
        <w:t>dicofol</w:t>
      </w:r>
      <w:proofErr w:type="spellEnd"/>
      <w:r w:rsidRPr="002E764E">
        <w:t xml:space="preserve"> in Annexes A, B and/or C to the Stockholm Convention and having applied the screening criteria specified in Annex D to the Convention,</w:t>
      </w:r>
    </w:p>
    <w:p w:rsidR="00F0433B" w:rsidRPr="002E764E" w:rsidRDefault="00F0433B" w:rsidP="00F0433B">
      <w:pPr>
        <w:tabs>
          <w:tab w:val="left" w:pos="624"/>
        </w:tabs>
        <w:ind w:left="1247" w:firstLine="624"/>
      </w:pPr>
      <w:r w:rsidRPr="002E764E">
        <w:t xml:space="preserve">1. </w:t>
      </w:r>
      <w:r w:rsidRPr="002E764E">
        <w:tab/>
      </w:r>
      <w:r w:rsidRPr="002E764E">
        <w:rPr>
          <w:i/>
          <w:iCs/>
        </w:rPr>
        <w:t xml:space="preserve">Decides, </w:t>
      </w:r>
      <w:r w:rsidRPr="002E764E">
        <w:t xml:space="preserve">in accordance with paragraph 4 (a) of Article 8 of the Convention, that it is satisfied that the screening criteria have been fulfilled for </w:t>
      </w:r>
      <w:proofErr w:type="spellStart"/>
      <w:r w:rsidRPr="002E764E">
        <w:t>dicofol</w:t>
      </w:r>
      <w:proofErr w:type="spellEnd"/>
      <w:r w:rsidRPr="002E764E">
        <w:t xml:space="preserve"> as described in the evaluation contained in the annex to the present decision;</w:t>
      </w:r>
    </w:p>
    <w:p w:rsidR="00F0433B" w:rsidRPr="002E764E" w:rsidRDefault="00F0433B" w:rsidP="00F0433B">
      <w:pPr>
        <w:tabs>
          <w:tab w:val="left" w:pos="624"/>
        </w:tabs>
        <w:ind w:left="1247" w:firstLine="624"/>
      </w:pPr>
      <w:r w:rsidRPr="002E764E">
        <w:t xml:space="preserve">2. </w:t>
      </w:r>
      <w:r w:rsidRPr="002E764E">
        <w:tab/>
      </w:r>
      <w:r w:rsidRPr="002E764E">
        <w:rPr>
          <w:i/>
        </w:rPr>
        <w:t>Also</w:t>
      </w:r>
      <w:r w:rsidRPr="002E764E">
        <w:t xml:space="preserve"> </w:t>
      </w:r>
      <w:r w:rsidRPr="002E764E">
        <w:rPr>
          <w:i/>
          <w:iCs/>
        </w:rPr>
        <w:t xml:space="preserve">decides, </w:t>
      </w:r>
      <w:r w:rsidRPr="002E764E">
        <w:t>in accordance with paragraph 6 of Article 8 of the Convention and paragraph 29 of the annex to decision SC-1/7, to establish an ad hoc working group to review the proposal further and to prepare a draft risk profile in accordance with Annex E to the Convention;</w:t>
      </w:r>
    </w:p>
    <w:p w:rsidR="00F0433B" w:rsidRPr="002E764E" w:rsidRDefault="00F0433B" w:rsidP="00F0433B">
      <w:pPr>
        <w:tabs>
          <w:tab w:val="left" w:pos="624"/>
        </w:tabs>
        <w:ind w:left="1247" w:firstLine="624"/>
      </w:pPr>
      <w:r w:rsidRPr="002E764E">
        <w:t xml:space="preserve">3. </w:t>
      </w:r>
      <w:r w:rsidRPr="002E764E">
        <w:tab/>
      </w:r>
      <w:r w:rsidRPr="002E764E">
        <w:rPr>
          <w:i/>
          <w:iCs/>
        </w:rPr>
        <w:t xml:space="preserve">Invites, </w:t>
      </w:r>
      <w:r w:rsidRPr="002E764E">
        <w:t>in accordance with paragraph 4 (a) of Article 8 of the Convention, parties and observers to submit to the Secretariat the information specified in Annex E before 5 January 2015.</w:t>
      </w:r>
    </w:p>
    <w:p w:rsidR="00F0433B" w:rsidRPr="002E764E" w:rsidRDefault="00F0433B" w:rsidP="00F0433B">
      <w:pPr>
        <w:keepNext/>
        <w:keepLines/>
        <w:tabs>
          <w:tab w:val="right" w:pos="851"/>
          <w:tab w:val="left" w:pos="1247"/>
          <w:tab w:val="left" w:pos="1814"/>
          <w:tab w:val="left" w:pos="2381"/>
          <w:tab w:val="left" w:pos="2948"/>
          <w:tab w:val="left" w:pos="3515"/>
          <w:tab w:val="left" w:pos="4082"/>
        </w:tabs>
        <w:suppressAutoHyphens/>
        <w:spacing w:before="80"/>
        <w:ind w:left="1247" w:right="284" w:hanging="1247"/>
        <w:rPr>
          <w:b/>
          <w:sz w:val="28"/>
          <w:szCs w:val="28"/>
          <w:lang w:val="en-US"/>
        </w:rPr>
      </w:pPr>
      <w:r w:rsidRPr="002E764E">
        <w:rPr>
          <w:b/>
          <w:sz w:val="24"/>
          <w:szCs w:val="24"/>
          <w:lang w:val="en-US"/>
        </w:rPr>
        <w:tab/>
      </w:r>
      <w:r w:rsidRPr="002E764E">
        <w:rPr>
          <w:b/>
          <w:sz w:val="24"/>
          <w:szCs w:val="24"/>
          <w:lang w:val="en-US"/>
        </w:rPr>
        <w:tab/>
      </w:r>
      <w:r w:rsidRPr="002E764E">
        <w:rPr>
          <w:b/>
          <w:sz w:val="28"/>
          <w:szCs w:val="28"/>
          <w:lang w:val="en-US"/>
        </w:rPr>
        <w:t>Annex to decision POPRC-10/3</w:t>
      </w:r>
    </w:p>
    <w:p w:rsidR="00F0433B" w:rsidRPr="002E764E" w:rsidRDefault="00F0433B" w:rsidP="00F0433B">
      <w:pPr>
        <w:keepNext/>
        <w:keepLines/>
        <w:tabs>
          <w:tab w:val="right" w:pos="851"/>
          <w:tab w:val="left" w:pos="1247"/>
          <w:tab w:val="left" w:pos="1814"/>
          <w:tab w:val="left" w:pos="2381"/>
          <w:tab w:val="left" w:pos="2948"/>
          <w:tab w:val="left" w:pos="3515"/>
          <w:tab w:val="left" w:pos="4082"/>
        </w:tabs>
        <w:suppressAutoHyphens/>
        <w:ind w:left="1247" w:right="284" w:hanging="1247"/>
        <w:rPr>
          <w:b/>
          <w:sz w:val="28"/>
          <w:szCs w:val="28"/>
          <w:lang w:val="en-US"/>
        </w:rPr>
      </w:pPr>
      <w:r w:rsidRPr="002E764E">
        <w:rPr>
          <w:b/>
          <w:sz w:val="28"/>
          <w:szCs w:val="28"/>
          <w:lang w:val="en-US"/>
        </w:rPr>
        <w:tab/>
      </w:r>
      <w:r w:rsidRPr="002E764E">
        <w:rPr>
          <w:b/>
          <w:sz w:val="28"/>
          <w:szCs w:val="28"/>
          <w:lang w:val="en-US"/>
        </w:rPr>
        <w:tab/>
        <w:t xml:space="preserve">Evaluation of </w:t>
      </w:r>
      <w:proofErr w:type="spellStart"/>
      <w:r w:rsidRPr="002E764E">
        <w:rPr>
          <w:b/>
          <w:sz w:val="28"/>
          <w:szCs w:val="28"/>
          <w:lang w:val="en-US"/>
        </w:rPr>
        <w:t>dicofol</w:t>
      </w:r>
      <w:proofErr w:type="spellEnd"/>
      <w:r w:rsidRPr="002E764E">
        <w:rPr>
          <w:b/>
          <w:sz w:val="28"/>
          <w:szCs w:val="28"/>
          <w:lang w:val="en-US"/>
        </w:rPr>
        <w:t xml:space="preserve"> against the criteria of Annex D</w:t>
      </w:r>
    </w:p>
    <w:p w:rsidR="00F0433B" w:rsidRPr="002E764E" w:rsidRDefault="00F0433B" w:rsidP="00F0433B">
      <w:pPr>
        <w:keepNext/>
        <w:keepLines/>
        <w:tabs>
          <w:tab w:val="right" w:pos="851"/>
          <w:tab w:val="left" w:pos="1247"/>
          <w:tab w:val="left" w:pos="1814"/>
          <w:tab w:val="left" w:pos="2381"/>
          <w:tab w:val="left" w:pos="2948"/>
          <w:tab w:val="left" w:pos="3515"/>
          <w:tab w:val="left" w:pos="4082"/>
        </w:tabs>
        <w:suppressAutoHyphens/>
        <w:spacing w:before="80"/>
        <w:ind w:left="1247" w:right="284" w:hanging="1247"/>
        <w:rPr>
          <w:b/>
          <w:sz w:val="24"/>
          <w:szCs w:val="24"/>
          <w:lang w:val="en-US"/>
        </w:rPr>
      </w:pPr>
      <w:r w:rsidRPr="002E764E">
        <w:rPr>
          <w:b/>
          <w:sz w:val="24"/>
          <w:szCs w:val="24"/>
          <w:lang w:val="en-US"/>
        </w:rPr>
        <w:tab/>
        <w:t>A.</w:t>
      </w:r>
      <w:r w:rsidRPr="002E764E">
        <w:rPr>
          <w:b/>
          <w:sz w:val="24"/>
          <w:szCs w:val="24"/>
          <w:lang w:val="en-US"/>
        </w:rPr>
        <w:tab/>
        <w:t>Background</w:t>
      </w:r>
    </w:p>
    <w:p w:rsidR="00F0433B" w:rsidRPr="002E764E" w:rsidRDefault="00F0433B" w:rsidP="00F0433B">
      <w:pPr>
        <w:tabs>
          <w:tab w:val="left" w:pos="624"/>
        </w:tabs>
        <w:ind w:left="1247"/>
      </w:pPr>
      <w:r w:rsidRPr="002E764E">
        <w:t>1.</w:t>
      </w:r>
      <w:r w:rsidRPr="002E764E">
        <w:tab/>
        <w:t>The primary source of information for the preparation of th</w:t>
      </w:r>
      <w:r>
        <w:t>e present</w:t>
      </w:r>
      <w:r w:rsidRPr="002E764E">
        <w:t xml:space="preserve"> evaluation was the proposal submitted by the European Union (UNEP/POPS/POPRC.9/3), which is a party to the Convention.</w:t>
      </w:r>
    </w:p>
    <w:p w:rsidR="00F0433B" w:rsidRPr="002E764E" w:rsidRDefault="00F0433B" w:rsidP="00F0433B">
      <w:pPr>
        <w:tabs>
          <w:tab w:val="left" w:pos="624"/>
        </w:tabs>
        <w:ind w:left="1247"/>
      </w:pPr>
      <w:r w:rsidRPr="002E764E">
        <w:t>2.</w:t>
      </w:r>
      <w:r w:rsidRPr="002E764E">
        <w:tab/>
        <w:t>Additional sources of scientific information included critical reviews prepared by recognized authorities.</w:t>
      </w:r>
    </w:p>
    <w:p w:rsidR="00F0433B" w:rsidRPr="002E764E" w:rsidRDefault="00F0433B" w:rsidP="00F0433B">
      <w:pPr>
        <w:keepNext/>
        <w:keepLines/>
        <w:tabs>
          <w:tab w:val="right" w:pos="851"/>
          <w:tab w:val="left" w:pos="1247"/>
          <w:tab w:val="left" w:pos="1814"/>
          <w:tab w:val="left" w:pos="2381"/>
          <w:tab w:val="left" w:pos="2948"/>
          <w:tab w:val="left" w:pos="3515"/>
          <w:tab w:val="left" w:pos="4082"/>
        </w:tabs>
        <w:suppressAutoHyphens/>
        <w:spacing w:before="80"/>
        <w:ind w:left="1247" w:right="284" w:hanging="1247"/>
        <w:rPr>
          <w:b/>
          <w:sz w:val="24"/>
          <w:szCs w:val="24"/>
          <w:lang w:val="en-US"/>
        </w:rPr>
      </w:pPr>
      <w:r w:rsidRPr="002E764E">
        <w:rPr>
          <w:b/>
          <w:sz w:val="24"/>
          <w:szCs w:val="24"/>
          <w:lang w:val="en-US"/>
        </w:rPr>
        <w:tab/>
        <w:t>B.</w:t>
      </w:r>
      <w:r w:rsidRPr="002E764E">
        <w:rPr>
          <w:b/>
          <w:sz w:val="24"/>
          <w:szCs w:val="24"/>
          <w:lang w:val="en-US"/>
        </w:rPr>
        <w:tab/>
        <w:t>Evaluation</w:t>
      </w:r>
    </w:p>
    <w:p w:rsidR="00F0433B" w:rsidRPr="002E764E" w:rsidRDefault="00F0433B" w:rsidP="00F0433B">
      <w:pPr>
        <w:tabs>
          <w:tab w:val="left" w:pos="624"/>
        </w:tabs>
        <w:ind w:left="1247"/>
      </w:pPr>
      <w:r w:rsidRPr="002E764E">
        <w:t>3.</w:t>
      </w:r>
      <w:r w:rsidRPr="002E764E">
        <w:tab/>
        <w:t>The proposal was evaluated in the light of the requirements of Annex D to the Convention regarding the identification of the chemical (paragraph 1 (a)) and the screening criteria (paragraphs 1 (b)–(e)):</w:t>
      </w:r>
    </w:p>
    <w:p w:rsidR="00F0433B" w:rsidRPr="002E764E" w:rsidRDefault="00F0433B" w:rsidP="00F0433B">
      <w:pPr>
        <w:keepNext/>
        <w:tabs>
          <w:tab w:val="left" w:pos="624"/>
          <w:tab w:val="left" w:pos="1247"/>
          <w:tab w:val="left" w:pos="1620"/>
          <w:tab w:val="left" w:pos="1871"/>
          <w:tab w:val="left" w:pos="2495"/>
        </w:tabs>
        <w:autoSpaceDE w:val="0"/>
        <w:autoSpaceDN w:val="0"/>
        <w:adjustRightInd w:val="0"/>
        <w:ind w:left="1871"/>
        <w:rPr>
          <w:b/>
        </w:rPr>
      </w:pPr>
      <w:r w:rsidRPr="002E764E">
        <w:rPr>
          <w:b/>
        </w:rPr>
        <w:t>(a)</w:t>
      </w:r>
      <w:r w:rsidRPr="002E764E">
        <w:rPr>
          <w:b/>
        </w:rPr>
        <w:tab/>
        <w:t>Chemical identity:</w:t>
      </w:r>
    </w:p>
    <w:p w:rsidR="00F0433B" w:rsidRPr="002E764E" w:rsidRDefault="00F0433B" w:rsidP="00F0433B">
      <w:pPr>
        <w:tabs>
          <w:tab w:val="left" w:pos="624"/>
          <w:tab w:val="left" w:pos="1247"/>
          <w:tab w:val="left" w:pos="1871"/>
          <w:tab w:val="left" w:pos="2495"/>
        </w:tabs>
        <w:ind w:left="3119" w:hanging="624"/>
        <w:rPr>
          <w:color w:val="000000"/>
        </w:rPr>
      </w:pPr>
      <w:r w:rsidRPr="002E764E">
        <w:t>(</w:t>
      </w:r>
      <w:proofErr w:type="spellStart"/>
      <w:r w:rsidRPr="002E764E">
        <w:t>i</w:t>
      </w:r>
      <w:proofErr w:type="spellEnd"/>
      <w:r w:rsidRPr="002E764E">
        <w:t>)</w:t>
      </w:r>
      <w:r w:rsidRPr="002E764E">
        <w:tab/>
        <w:t xml:space="preserve">Adequate information was provided in the proposal, which relates to </w:t>
      </w:r>
      <w:proofErr w:type="spellStart"/>
      <w:r w:rsidRPr="002E764E">
        <w:t>dicofol</w:t>
      </w:r>
      <w:proofErr w:type="spellEnd"/>
      <w:r w:rsidRPr="002E764E">
        <w:t>,</w:t>
      </w:r>
      <w:r w:rsidRPr="002E764E">
        <w:rPr>
          <w:color w:val="000000"/>
        </w:rPr>
        <w:t xml:space="preserve"> CAS No</w:t>
      </w:r>
      <w:r>
        <w:rPr>
          <w:color w:val="000000"/>
        </w:rPr>
        <w:t>.</w:t>
      </w:r>
      <w:r w:rsidRPr="002E764E">
        <w:rPr>
          <w:color w:val="000000"/>
        </w:rPr>
        <w:t xml:space="preserve"> 115-32-2 </w:t>
      </w:r>
      <w:r w:rsidRPr="002E764E">
        <w:t xml:space="preserve">and its isomers </w:t>
      </w:r>
      <w:r>
        <w:br/>
      </w:r>
      <w:r w:rsidRPr="002E764E">
        <w:t>(</w:t>
      </w:r>
      <w:proofErr w:type="spellStart"/>
      <w:r w:rsidRPr="002E764E">
        <w:rPr>
          <w:i/>
        </w:rPr>
        <w:t>p</w:t>
      </w:r>
      <w:proofErr w:type="gramStart"/>
      <w:r w:rsidRPr="002E764E">
        <w:rPr>
          <w:i/>
        </w:rPr>
        <w:t>,p'</w:t>
      </w:r>
      <w:proofErr w:type="gramEnd"/>
      <w:r w:rsidRPr="002E764E">
        <w:t>-dicofol</w:t>
      </w:r>
      <w:proofErr w:type="spellEnd"/>
      <w:r w:rsidRPr="002E764E">
        <w:t xml:space="preserve">, CAS No: 115-32-2; and </w:t>
      </w:r>
      <w:proofErr w:type="spellStart"/>
      <w:r w:rsidRPr="002E764E">
        <w:rPr>
          <w:i/>
        </w:rPr>
        <w:t>o,p'</w:t>
      </w:r>
      <w:r w:rsidRPr="002E764E">
        <w:t>-dicofol</w:t>
      </w:r>
      <w:proofErr w:type="spellEnd"/>
      <w:r w:rsidRPr="002E764E">
        <w:t>, CAS No</w:t>
      </w:r>
      <w:r>
        <w:t>.</w:t>
      </w:r>
      <w:r w:rsidRPr="002E764E">
        <w:t xml:space="preserve"> 10606-46-9);</w:t>
      </w:r>
    </w:p>
    <w:p w:rsidR="00F0433B" w:rsidRPr="002E764E" w:rsidRDefault="00F0433B" w:rsidP="00F0433B">
      <w:pPr>
        <w:keepNext/>
        <w:keepLines/>
        <w:tabs>
          <w:tab w:val="left" w:pos="624"/>
          <w:tab w:val="left" w:pos="1247"/>
          <w:tab w:val="left" w:pos="1871"/>
          <w:tab w:val="left" w:pos="2495"/>
        </w:tabs>
        <w:ind w:left="3119" w:hanging="624"/>
      </w:pPr>
      <w:r w:rsidRPr="002E764E">
        <w:t xml:space="preserve">(ii) </w:t>
      </w:r>
      <w:r w:rsidRPr="002E764E">
        <w:tab/>
        <w:t xml:space="preserve">The chemical structures were provided; </w:t>
      </w:r>
    </w:p>
    <w:p w:rsidR="00F0433B" w:rsidRPr="002E764E" w:rsidRDefault="00F0433B" w:rsidP="00F0433B">
      <w:pPr>
        <w:keepNext/>
        <w:keepLines/>
        <w:tabs>
          <w:tab w:val="left" w:pos="624"/>
          <w:tab w:val="left" w:pos="1247"/>
          <w:tab w:val="left" w:pos="1871"/>
          <w:tab w:val="left" w:pos="2495"/>
        </w:tabs>
        <w:autoSpaceDE w:val="0"/>
        <w:autoSpaceDN w:val="0"/>
        <w:adjustRightInd w:val="0"/>
      </w:pPr>
      <w:r w:rsidRPr="002E764E">
        <w:tab/>
      </w:r>
      <w:r w:rsidRPr="002E764E">
        <w:tab/>
      </w:r>
      <w:r w:rsidRPr="002E764E">
        <w:tab/>
      </w:r>
      <w:r w:rsidRPr="002E764E">
        <w:tab/>
        <w:t xml:space="preserve">The chemical identity of </w:t>
      </w:r>
      <w:proofErr w:type="spellStart"/>
      <w:r w:rsidRPr="002E764E">
        <w:t>dicofol</w:t>
      </w:r>
      <w:proofErr w:type="spellEnd"/>
      <w:r w:rsidRPr="002E764E">
        <w:t xml:space="preserve"> and its isomers is adequately established;</w:t>
      </w:r>
    </w:p>
    <w:p w:rsidR="00F0433B" w:rsidRPr="002E764E" w:rsidRDefault="00F0433B" w:rsidP="00F0433B">
      <w:pPr>
        <w:keepNext/>
        <w:tabs>
          <w:tab w:val="left" w:pos="624"/>
          <w:tab w:val="left" w:pos="1247"/>
          <w:tab w:val="left" w:pos="1620"/>
          <w:tab w:val="left" w:pos="1871"/>
          <w:tab w:val="left" w:pos="2495"/>
        </w:tabs>
        <w:autoSpaceDE w:val="0"/>
        <w:autoSpaceDN w:val="0"/>
        <w:adjustRightInd w:val="0"/>
        <w:ind w:left="1871"/>
        <w:rPr>
          <w:b/>
        </w:rPr>
      </w:pPr>
      <w:r w:rsidRPr="002E764E">
        <w:rPr>
          <w:b/>
        </w:rPr>
        <w:t>(b)</w:t>
      </w:r>
      <w:r w:rsidRPr="002E764E">
        <w:rPr>
          <w:b/>
        </w:rPr>
        <w:tab/>
        <w:t>Persistence:</w:t>
      </w:r>
    </w:p>
    <w:p w:rsidR="00F0433B" w:rsidRPr="002E764E" w:rsidRDefault="00F0433B" w:rsidP="00F0433B">
      <w:pPr>
        <w:tabs>
          <w:tab w:val="left" w:pos="624"/>
          <w:tab w:val="left" w:pos="1247"/>
          <w:tab w:val="left" w:pos="1871"/>
          <w:tab w:val="left" w:pos="2495"/>
        </w:tabs>
        <w:ind w:left="3119" w:hanging="624"/>
        <w:rPr>
          <w:color w:val="000000"/>
        </w:rPr>
      </w:pPr>
      <w:r w:rsidRPr="002E764E">
        <w:t>(</w:t>
      </w:r>
      <w:proofErr w:type="spellStart"/>
      <w:r w:rsidRPr="002E764E">
        <w:t>i</w:t>
      </w:r>
      <w:proofErr w:type="spellEnd"/>
      <w:r w:rsidRPr="002E764E">
        <w:t>)</w:t>
      </w:r>
      <w:r w:rsidRPr="002E764E">
        <w:tab/>
        <w:t xml:space="preserve">Degradation in water is primarily by hydrolysis. At </w:t>
      </w:r>
      <w:r>
        <w:t xml:space="preserve">a </w:t>
      </w:r>
      <w:r w:rsidRPr="002E764E">
        <w:t>pH</w:t>
      </w:r>
      <w:r>
        <w:t xml:space="preserve"> of </w:t>
      </w:r>
      <w:r w:rsidRPr="002E764E">
        <w:t xml:space="preserve">5, the half-life of </w:t>
      </w:r>
      <w:proofErr w:type="spellStart"/>
      <w:r w:rsidRPr="002E764E">
        <w:t>dicofol’s</w:t>
      </w:r>
      <w:proofErr w:type="spellEnd"/>
      <w:r w:rsidRPr="002E764E">
        <w:t xml:space="preserve"> main </w:t>
      </w:r>
      <w:proofErr w:type="spellStart"/>
      <w:r w:rsidRPr="002E764E">
        <w:rPr>
          <w:i/>
        </w:rPr>
        <w:t>p</w:t>
      </w:r>
      <w:proofErr w:type="gramStart"/>
      <w:r w:rsidRPr="002E764E">
        <w:rPr>
          <w:i/>
        </w:rPr>
        <w:t>,p</w:t>
      </w:r>
      <w:proofErr w:type="spellEnd"/>
      <w:r w:rsidRPr="002E764E">
        <w:rPr>
          <w:i/>
        </w:rPr>
        <w:t>’</w:t>
      </w:r>
      <w:proofErr w:type="gramEnd"/>
      <w:r w:rsidRPr="002E764E">
        <w:t xml:space="preserve">-isomer was 85 days, fulfilling the cut-off value of 60 days for persistence in water. Approximately 10 per cent of northern European Union member State surface waters have a pH of around 5 </w:t>
      </w:r>
      <w:r w:rsidRPr="002E764E">
        <w:rPr>
          <w:color w:val="000000"/>
        </w:rPr>
        <w:t>(Refs. 1, 2)</w:t>
      </w:r>
      <w:r>
        <w:rPr>
          <w:color w:val="000000"/>
        </w:rPr>
        <w:t>.</w:t>
      </w:r>
      <w:r w:rsidRPr="002E764E">
        <w:rPr>
          <w:color w:val="000000"/>
        </w:rPr>
        <w:t xml:space="preserve"> Also, </w:t>
      </w:r>
      <w:proofErr w:type="spellStart"/>
      <w:proofErr w:type="gramStart"/>
      <w:r w:rsidRPr="002E764E">
        <w:rPr>
          <w:color w:val="000000"/>
        </w:rPr>
        <w:t>blackwater</w:t>
      </w:r>
      <w:proofErr w:type="spellEnd"/>
      <w:r>
        <w:rPr>
          <w:color w:val="000000"/>
        </w:rPr>
        <w:t xml:space="preserve"> </w:t>
      </w:r>
      <w:r w:rsidRPr="002E764E">
        <w:rPr>
          <w:color w:val="000000"/>
        </w:rPr>
        <w:t>rivers</w:t>
      </w:r>
      <w:proofErr w:type="gramEnd"/>
      <w:r w:rsidRPr="002E764E">
        <w:rPr>
          <w:color w:val="000000"/>
        </w:rPr>
        <w:t xml:space="preserve"> found in several areas around the world (Australia, Amazonia, Europe, Indonesia, the Orinoco basin </w:t>
      </w:r>
      <w:r>
        <w:rPr>
          <w:color w:val="000000"/>
        </w:rPr>
        <w:t xml:space="preserve">and the </w:t>
      </w:r>
      <w:r w:rsidRPr="002E764E">
        <w:rPr>
          <w:color w:val="000000"/>
        </w:rPr>
        <w:t xml:space="preserve">northern and southern </w:t>
      </w:r>
      <w:r>
        <w:rPr>
          <w:color w:val="000000"/>
        </w:rPr>
        <w:t xml:space="preserve">areas of the </w:t>
      </w:r>
      <w:r w:rsidRPr="002E764E">
        <w:rPr>
          <w:color w:val="000000"/>
        </w:rPr>
        <w:t xml:space="preserve">United States) typically have a pH of around 5. Conservative estimates for half-life in aerobic soil of </w:t>
      </w:r>
      <w:proofErr w:type="spellStart"/>
      <w:r w:rsidRPr="002E764E">
        <w:rPr>
          <w:color w:val="000000"/>
        </w:rPr>
        <w:t>dicofol</w:t>
      </w:r>
      <w:proofErr w:type="spellEnd"/>
      <w:r w:rsidRPr="002E764E">
        <w:rPr>
          <w:color w:val="000000"/>
        </w:rPr>
        <w:t xml:space="preserve"> (considering the parent compound and its major </w:t>
      </w:r>
      <w:proofErr w:type="spellStart"/>
      <w:proofErr w:type="gramStart"/>
      <w:r w:rsidRPr="002E764E">
        <w:rPr>
          <w:color w:val="000000"/>
        </w:rPr>
        <w:t>degradates</w:t>
      </w:r>
      <w:proofErr w:type="spellEnd"/>
      <w:proofErr w:type="gramEnd"/>
      <w:r w:rsidRPr="002E764E">
        <w:rPr>
          <w:color w:val="000000"/>
        </w:rPr>
        <w:t xml:space="preserve">) are as high as 313 days, </w:t>
      </w:r>
      <w:r w:rsidRPr="002E764E">
        <w:t xml:space="preserve">fulfilling the cut-off value of 6 months for persistence in water. </w:t>
      </w:r>
      <w:r w:rsidRPr="002E764E">
        <w:rPr>
          <w:color w:val="000000"/>
        </w:rPr>
        <w:t xml:space="preserve">Isomers of </w:t>
      </w:r>
      <w:proofErr w:type="spellStart"/>
      <w:r w:rsidRPr="002E764E">
        <w:rPr>
          <w:color w:val="000000"/>
        </w:rPr>
        <w:t>dicofol</w:t>
      </w:r>
      <w:proofErr w:type="spellEnd"/>
      <w:r w:rsidRPr="002E764E">
        <w:rPr>
          <w:color w:val="000000"/>
        </w:rPr>
        <w:t xml:space="preserve"> are </w:t>
      </w:r>
      <w:proofErr w:type="spellStart"/>
      <w:r w:rsidRPr="002E764E">
        <w:rPr>
          <w:color w:val="000000"/>
        </w:rPr>
        <w:t>hydrolized</w:t>
      </w:r>
      <w:proofErr w:type="spellEnd"/>
      <w:r w:rsidRPr="002E764E">
        <w:rPr>
          <w:color w:val="000000"/>
        </w:rPr>
        <w:t xml:space="preserve"> relatively quickly at neutral and alkaline </w:t>
      </w:r>
      <w:proofErr w:type="spellStart"/>
      <w:r w:rsidRPr="002E764E">
        <w:rPr>
          <w:color w:val="000000"/>
        </w:rPr>
        <w:t>pH.</w:t>
      </w:r>
      <w:proofErr w:type="spellEnd"/>
      <w:r w:rsidRPr="002E764E">
        <w:rPr>
          <w:color w:val="000000"/>
        </w:rPr>
        <w:t xml:space="preserve"> Both isomers are </w:t>
      </w:r>
      <w:proofErr w:type="spellStart"/>
      <w:r w:rsidRPr="002E764E">
        <w:rPr>
          <w:color w:val="000000"/>
        </w:rPr>
        <w:t>hydrolized</w:t>
      </w:r>
      <w:proofErr w:type="spellEnd"/>
      <w:r w:rsidRPr="002E764E">
        <w:rPr>
          <w:color w:val="000000"/>
        </w:rPr>
        <w:t xml:space="preserve"> within 8 hours at </w:t>
      </w:r>
      <w:r>
        <w:rPr>
          <w:color w:val="000000"/>
        </w:rPr>
        <w:t xml:space="preserve">a </w:t>
      </w:r>
      <w:r w:rsidRPr="002E764E">
        <w:rPr>
          <w:color w:val="000000"/>
        </w:rPr>
        <w:t xml:space="preserve">pH </w:t>
      </w:r>
      <w:r>
        <w:rPr>
          <w:color w:val="000000"/>
        </w:rPr>
        <w:t xml:space="preserve">of </w:t>
      </w:r>
      <w:r w:rsidRPr="002E764E">
        <w:rPr>
          <w:color w:val="000000"/>
        </w:rPr>
        <w:t xml:space="preserve">7, with half-lives of 64 hours. </w:t>
      </w:r>
      <w:proofErr w:type="spellStart"/>
      <w:r w:rsidRPr="002E764E">
        <w:rPr>
          <w:color w:val="000000"/>
        </w:rPr>
        <w:t>Dicofol</w:t>
      </w:r>
      <w:proofErr w:type="spellEnd"/>
      <w:r w:rsidRPr="002E764E">
        <w:rPr>
          <w:color w:val="000000"/>
        </w:rPr>
        <w:t xml:space="preserve"> is </w:t>
      </w:r>
      <w:proofErr w:type="spellStart"/>
      <w:r w:rsidRPr="002E764E">
        <w:rPr>
          <w:color w:val="000000"/>
        </w:rPr>
        <w:t>hydrolized</w:t>
      </w:r>
      <w:proofErr w:type="spellEnd"/>
      <w:r w:rsidRPr="002E764E">
        <w:rPr>
          <w:color w:val="000000"/>
        </w:rPr>
        <w:t xml:space="preserve"> very rapidly under neutral and alkaline conditions (Ref. 3);</w:t>
      </w:r>
    </w:p>
    <w:p w:rsidR="00F0433B" w:rsidRPr="002E764E" w:rsidRDefault="00F0433B" w:rsidP="00F0433B">
      <w:pPr>
        <w:tabs>
          <w:tab w:val="left" w:pos="624"/>
          <w:tab w:val="left" w:pos="1247"/>
          <w:tab w:val="left" w:pos="1871"/>
          <w:tab w:val="left" w:pos="2495"/>
        </w:tabs>
        <w:ind w:left="3119" w:hanging="624"/>
      </w:pPr>
      <w:r w:rsidRPr="002E764E">
        <w:rPr>
          <w:color w:val="000000"/>
        </w:rPr>
        <w:lastRenderedPageBreak/>
        <w:t>(ii)</w:t>
      </w:r>
      <w:r w:rsidRPr="002E764E">
        <w:rPr>
          <w:color w:val="000000"/>
        </w:rPr>
        <w:tab/>
      </w:r>
      <w:r w:rsidRPr="002E764E">
        <w:t xml:space="preserve">According to the database of the National Institute of Technology and Evaluation (NITE) of Japan, </w:t>
      </w:r>
      <w:proofErr w:type="spellStart"/>
      <w:r w:rsidRPr="002E764E">
        <w:t>dicofol</w:t>
      </w:r>
      <w:proofErr w:type="spellEnd"/>
      <w:r w:rsidRPr="002E764E">
        <w:t xml:space="preserve"> is characterized as non</w:t>
      </w:r>
      <w:r w:rsidRPr="002E764E">
        <w:noBreakHyphen/>
      </w:r>
      <w:proofErr w:type="spellStart"/>
      <w:r w:rsidRPr="002E764E">
        <w:t>biodegradable</w:t>
      </w:r>
      <w:proofErr w:type="spellEnd"/>
      <w:r w:rsidRPr="002E764E">
        <w:t>;</w:t>
      </w:r>
    </w:p>
    <w:p w:rsidR="00F0433B" w:rsidRPr="002E764E" w:rsidRDefault="00F0433B" w:rsidP="00F0433B">
      <w:pPr>
        <w:tabs>
          <w:tab w:val="left" w:pos="624"/>
          <w:tab w:val="left" w:pos="1247"/>
          <w:tab w:val="left" w:pos="1871"/>
          <w:tab w:val="left" w:pos="2495"/>
        </w:tabs>
        <w:ind w:left="3119" w:hanging="624"/>
      </w:pPr>
      <w:r w:rsidRPr="002E764E">
        <w:t xml:space="preserve">There is sufficient evidence that </w:t>
      </w:r>
      <w:proofErr w:type="spellStart"/>
      <w:r w:rsidRPr="002E764E">
        <w:t>dicofol</w:t>
      </w:r>
      <w:proofErr w:type="spellEnd"/>
      <w:r w:rsidRPr="002E764E">
        <w:t xml:space="preserve"> meets the persistence criterion;</w:t>
      </w:r>
    </w:p>
    <w:p w:rsidR="00F0433B" w:rsidRPr="002E764E" w:rsidRDefault="00F0433B" w:rsidP="00F0433B">
      <w:pPr>
        <w:tabs>
          <w:tab w:val="left" w:pos="624"/>
          <w:tab w:val="left" w:pos="1247"/>
          <w:tab w:val="left" w:pos="1620"/>
          <w:tab w:val="left" w:pos="1871"/>
          <w:tab w:val="left" w:pos="2495"/>
        </w:tabs>
        <w:autoSpaceDE w:val="0"/>
        <w:autoSpaceDN w:val="0"/>
        <w:adjustRightInd w:val="0"/>
        <w:ind w:left="1871"/>
        <w:rPr>
          <w:b/>
          <w:bCs/>
        </w:rPr>
      </w:pPr>
      <w:r w:rsidRPr="002E764E">
        <w:rPr>
          <w:b/>
        </w:rPr>
        <w:t>(c)</w:t>
      </w:r>
      <w:r w:rsidRPr="002E764E">
        <w:rPr>
          <w:b/>
        </w:rPr>
        <w:tab/>
        <w:t>Bioaccumulation</w:t>
      </w:r>
      <w:r w:rsidRPr="002E764E">
        <w:rPr>
          <w:b/>
          <w:bCs/>
        </w:rPr>
        <w:t>:</w:t>
      </w:r>
    </w:p>
    <w:p w:rsidR="00F0433B" w:rsidRPr="002E764E" w:rsidRDefault="00F0433B" w:rsidP="00F0433B">
      <w:pPr>
        <w:tabs>
          <w:tab w:val="left" w:pos="624"/>
          <w:tab w:val="left" w:pos="1247"/>
          <w:tab w:val="left" w:pos="1871"/>
          <w:tab w:val="left" w:pos="2495"/>
        </w:tabs>
        <w:ind w:left="3119" w:hanging="624"/>
        <w:rPr>
          <w:color w:val="000000"/>
        </w:rPr>
      </w:pPr>
      <w:r w:rsidRPr="002E764E">
        <w:t>(</w:t>
      </w:r>
      <w:proofErr w:type="spellStart"/>
      <w:r w:rsidRPr="002E764E">
        <w:t>i</w:t>
      </w:r>
      <w:proofErr w:type="spellEnd"/>
      <w:r w:rsidRPr="002E764E">
        <w:t>)</w:t>
      </w:r>
      <w:r w:rsidRPr="002E764E">
        <w:tab/>
      </w:r>
      <w:r w:rsidRPr="002E764E">
        <w:rPr>
          <w:color w:val="000000"/>
        </w:rPr>
        <w:t xml:space="preserve">A study with </w:t>
      </w:r>
      <w:proofErr w:type="spellStart"/>
      <w:r w:rsidRPr="002E764E">
        <w:rPr>
          <w:i/>
          <w:color w:val="000000"/>
        </w:rPr>
        <w:t>p</w:t>
      </w:r>
      <w:proofErr w:type="gramStart"/>
      <w:r w:rsidRPr="002E764E">
        <w:rPr>
          <w:i/>
          <w:color w:val="000000"/>
        </w:rPr>
        <w:t>,p’</w:t>
      </w:r>
      <w:proofErr w:type="gramEnd"/>
      <w:r w:rsidRPr="002E764E">
        <w:rPr>
          <w:color w:val="000000"/>
        </w:rPr>
        <w:t>-dicofol</w:t>
      </w:r>
      <w:proofErr w:type="spellEnd"/>
      <w:r w:rsidRPr="002E764E">
        <w:rPr>
          <w:color w:val="000000"/>
        </w:rPr>
        <w:t xml:space="preserve"> in bluegill sunfish resulted in a </w:t>
      </w:r>
      <w:proofErr w:type="spellStart"/>
      <w:r w:rsidRPr="002E764E">
        <w:rPr>
          <w:color w:val="000000"/>
        </w:rPr>
        <w:t>bioconcentration</w:t>
      </w:r>
      <w:proofErr w:type="spellEnd"/>
      <w:r w:rsidRPr="002E764E">
        <w:rPr>
          <w:color w:val="000000"/>
        </w:rPr>
        <w:t xml:space="preserve"> factor (BCF) of 10,000. A study of fathead minnows reported BCF values as high as 43,000 after 296 days of exposure to </w:t>
      </w:r>
      <w:proofErr w:type="spellStart"/>
      <w:r w:rsidRPr="002E764E">
        <w:rPr>
          <w:color w:val="000000"/>
        </w:rPr>
        <w:t>dicofol</w:t>
      </w:r>
      <w:proofErr w:type="spellEnd"/>
      <w:r w:rsidRPr="002E764E">
        <w:rPr>
          <w:color w:val="000000"/>
        </w:rPr>
        <w:t xml:space="preserve">. </w:t>
      </w:r>
      <w:r>
        <w:rPr>
          <w:color w:val="000000"/>
        </w:rPr>
        <w:t xml:space="preserve">Residues of </w:t>
      </w:r>
      <w:proofErr w:type="spellStart"/>
      <w:r w:rsidRPr="00F22702">
        <w:rPr>
          <w:i/>
          <w:color w:val="000000"/>
        </w:rPr>
        <w:t>p</w:t>
      </w:r>
      <w:proofErr w:type="gramStart"/>
      <w:r w:rsidRPr="00F22702">
        <w:rPr>
          <w:i/>
          <w:color w:val="000000"/>
        </w:rPr>
        <w:t>,p’</w:t>
      </w:r>
      <w:proofErr w:type="gramEnd"/>
      <w:r w:rsidRPr="002E764E">
        <w:rPr>
          <w:color w:val="000000"/>
        </w:rPr>
        <w:t>-dicofol</w:t>
      </w:r>
      <w:proofErr w:type="spellEnd"/>
      <w:r w:rsidRPr="002E764E">
        <w:rPr>
          <w:color w:val="000000"/>
        </w:rPr>
        <w:t xml:space="preserve"> accumulated in bluegill sunfish with BCF of 6,600, 17,000 and 10,000 in fillet, viscera and whole fish, respectively, during 28 days of exposure. No information is available on bioaccumulation in fish for </w:t>
      </w:r>
      <w:proofErr w:type="spellStart"/>
      <w:r w:rsidRPr="00F22702">
        <w:rPr>
          <w:i/>
          <w:color w:val="000000"/>
        </w:rPr>
        <w:t>o</w:t>
      </w:r>
      <w:proofErr w:type="gramStart"/>
      <w:r w:rsidRPr="00F22702">
        <w:rPr>
          <w:i/>
          <w:color w:val="000000"/>
        </w:rPr>
        <w:t>,p’</w:t>
      </w:r>
      <w:proofErr w:type="gramEnd"/>
      <w:r w:rsidRPr="002E764E">
        <w:rPr>
          <w:color w:val="000000"/>
        </w:rPr>
        <w:t>-dicofol</w:t>
      </w:r>
      <w:proofErr w:type="spellEnd"/>
      <w:r w:rsidRPr="002E764E">
        <w:rPr>
          <w:color w:val="000000"/>
        </w:rPr>
        <w:t xml:space="preserve"> since </w:t>
      </w:r>
      <w:proofErr w:type="spellStart"/>
      <w:r w:rsidRPr="00F22702">
        <w:rPr>
          <w:i/>
          <w:color w:val="000000"/>
        </w:rPr>
        <w:t>o,p’</w:t>
      </w:r>
      <w:r w:rsidRPr="002E764E">
        <w:rPr>
          <w:color w:val="000000"/>
        </w:rPr>
        <w:t>-dicofol</w:t>
      </w:r>
      <w:proofErr w:type="spellEnd"/>
      <w:r w:rsidRPr="002E764E">
        <w:rPr>
          <w:color w:val="000000"/>
        </w:rPr>
        <w:t xml:space="preserve"> </w:t>
      </w:r>
      <w:proofErr w:type="spellStart"/>
      <w:r w:rsidRPr="002E764E">
        <w:rPr>
          <w:color w:val="000000"/>
        </w:rPr>
        <w:t>hydrolizes</w:t>
      </w:r>
      <w:proofErr w:type="spellEnd"/>
      <w:r w:rsidRPr="002E764E">
        <w:rPr>
          <w:color w:val="000000"/>
        </w:rPr>
        <w:t xml:space="preserve"> quickly (Ref. 3). BCF values of 8,200 and 6,100 obtained for common carp were available in the NITE database, which were in the same range as the BCF values found in another study</w:t>
      </w:r>
      <w:r>
        <w:rPr>
          <w:color w:val="000000"/>
        </w:rPr>
        <w:t xml:space="preserve"> involving</w:t>
      </w:r>
      <w:r w:rsidRPr="002E764E">
        <w:rPr>
          <w:color w:val="000000"/>
        </w:rPr>
        <w:t xml:space="preserve"> zebra fish. Comparison with BCF values obtained from QSAR models showed good agreement with those obtained in the study with zebra fish. There is </w:t>
      </w:r>
      <w:r>
        <w:rPr>
          <w:color w:val="000000"/>
        </w:rPr>
        <w:t xml:space="preserve">therefore </w:t>
      </w:r>
      <w:r w:rsidRPr="002E764E">
        <w:rPr>
          <w:color w:val="000000"/>
        </w:rPr>
        <w:t>strong evidence from several fish studies indicating that BCF values are above the threshold of 5,000;</w:t>
      </w:r>
    </w:p>
    <w:p w:rsidR="00F0433B" w:rsidRPr="002E764E" w:rsidRDefault="00F0433B" w:rsidP="00F0433B">
      <w:pPr>
        <w:tabs>
          <w:tab w:val="left" w:pos="624"/>
          <w:tab w:val="left" w:pos="1247"/>
          <w:tab w:val="left" w:pos="1871"/>
          <w:tab w:val="left" w:pos="2495"/>
        </w:tabs>
        <w:ind w:left="3119"/>
        <w:rPr>
          <w:color w:val="000000"/>
        </w:rPr>
      </w:pPr>
      <w:r w:rsidRPr="002E764E">
        <w:rPr>
          <w:color w:val="000000"/>
        </w:rPr>
        <w:t xml:space="preserve">Metabolism testing on rat elimination half-lives were estimated to be </w:t>
      </w:r>
      <w:r>
        <w:rPr>
          <w:color w:val="000000"/>
        </w:rPr>
        <w:br/>
      </w:r>
      <w:r w:rsidRPr="002E764E">
        <w:rPr>
          <w:color w:val="000000"/>
        </w:rPr>
        <w:t>1.5</w:t>
      </w:r>
      <w:r>
        <w:rPr>
          <w:color w:val="000000"/>
        </w:rPr>
        <w:t>–</w:t>
      </w:r>
      <w:r w:rsidRPr="002E764E">
        <w:rPr>
          <w:color w:val="000000"/>
        </w:rPr>
        <w:t xml:space="preserve">4 days for </w:t>
      </w:r>
      <w:proofErr w:type="spellStart"/>
      <w:r w:rsidRPr="00F22702">
        <w:rPr>
          <w:i/>
          <w:color w:val="000000"/>
        </w:rPr>
        <w:t>o</w:t>
      </w:r>
      <w:proofErr w:type="gramStart"/>
      <w:r w:rsidRPr="00F22702">
        <w:rPr>
          <w:i/>
          <w:color w:val="000000"/>
        </w:rPr>
        <w:t>,p’</w:t>
      </w:r>
      <w:proofErr w:type="gramEnd"/>
      <w:r w:rsidRPr="002E764E">
        <w:rPr>
          <w:color w:val="000000"/>
        </w:rPr>
        <w:t>-dicofol</w:t>
      </w:r>
      <w:proofErr w:type="spellEnd"/>
      <w:r w:rsidRPr="002E764E">
        <w:rPr>
          <w:color w:val="000000"/>
        </w:rPr>
        <w:t xml:space="preserve"> and 4</w:t>
      </w:r>
      <w:r>
        <w:rPr>
          <w:color w:val="000000"/>
        </w:rPr>
        <w:t>–</w:t>
      </w:r>
      <w:r w:rsidRPr="002E764E">
        <w:rPr>
          <w:color w:val="000000"/>
        </w:rPr>
        <w:t xml:space="preserve">7 days for </w:t>
      </w:r>
      <w:proofErr w:type="spellStart"/>
      <w:r w:rsidRPr="00F22702">
        <w:rPr>
          <w:i/>
          <w:color w:val="000000"/>
        </w:rPr>
        <w:t>p,p’-</w:t>
      </w:r>
      <w:r w:rsidRPr="002E764E">
        <w:rPr>
          <w:color w:val="000000"/>
        </w:rPr>
        <w:t>dicofol</w:t>
      </w:r>
      <w:proofErr w:type="spellEnd"/>
      <w:r w:rsidRPr="002E764E">
        <w:rPr>
          <w:color w:val="000000"/>
        </w:rPr>
        <w:t xml:space="preserve"> (Ref. 4);</w:t>
      </w:r>
    </w:p>
    <w:p w:rsidR="00F0433B" w:rsidRPr="002E764E" w:rsidRDefault="00F0433B" w:rsidP="00F0433B">
      <w:pPr>
        <w:tabs>
          <w:tab w:val="left" w:pos="624"/>
          <w:tab w:val="left" w:pos="1247"/>
          <w:tab w:val="left" w:pos="1871"/>
          <w:tab w:val="left" w:pos="2495"/>
        </w:tabs>
        <w:ind w:left="3119"/>
        <w:rPr>
          <w:color w:val="000000"/>
        </w:rPr>
      </w:pPr>
      <w:r>
        <w:rPr>
          <w:color w:val="000000"/>
        </w:rPr>
        <w:t>The m</w:t>
      </w:r>
      <w:r w:rsidRPr="002E764E">
        <w:rPr>
          <w:color w:val="000000"/>
        </w:rPr>
        <w:t xml:space="preserve">easured log </w:t>
      </w:r>
      <w:proofErr w:type="spellStart"/>
      <w:r w:rsidRPr="002E764E">
        <w:rPr>
          <w:color w:val="000000"/>
        </w:rPr>
        <w:t>Kow</w:t>
      </w:r>
      <w:proofErr w:type="spellEnd"/>
      <w:r w:rsidRPr="002E764E">
        <w:rPr>
          <w:color w:val="000000"/>
        </w:rPr>
        <w:t xml:space="preserve"> value of </w:t>
      </w:r>
      <w:proofErr w:type="spellStart"/>
      <w:r w:rsidRPr="002E764E">
        <w:rPr>
          <w:color w:val="000000"/>
        </w:rPr>
        <w:t>dicofol</w:t>
      </w:r>
      <w:proofErr w:type="spellEnd"/>
      <w:r w:rsidRPr="002E764E">
        <w:rPr>
          <w:color w:val="000000"/>
        </w:rPr>
        <w:t xml:space="preserve"> is 4.30 </w:t>
      </w:r>
      <w:r>
        <w:rPr>
          <w:color w:val="000000"/>
        </w:rPr>
        <w:t>according to</w:t>
      </w:r>
      <w:r w:rsidRPr="002E764E">
        <w:rPr>
          <w:color w:val="000000"/>
        </w:rPr>
        <w:t xml:space="preserve"> the Pesticide Manual </w:t>
      </w:r>
      <w:r>
        <w:rPr>
          <w:color w:val="000000"/>
        </w:rPr>
        <w:t>(</w:t>
      </w:r>
      <w:r w:rsidRPr="002E764E">
        <w:rPr>
          <w:color w:val="000000"/>
        </w:rPr>
        <w:t>14</w:t>
      </w:r>
      <w:r w:rsidRPr="002E764E">
        <w:rPr>
          <w:color w:val="000000"/>
          <w:vertAlign w:val="superscript"/>
        </w:rPr>
        <w:t>th </w:t>
      </w:r>
      <w:r w:rsidRPr="002E764E">
        <w:rPr>
          <w:color w:val="000000"/>
        </w:rPr>
        <w:t>edition 2012</w:t>
      </w:r>
      <w:r>
        <w:rPr>
          <w:color w:val="000000"/>
        </w:rPr>
        <w:t>)</w:t>
      </w:r>
      <w:r w:rsidRPr="002E764E">
        <w:rPr>
          <w:color w:val="000000"/>
        </w:rPr>
        <w:t xml:space="preserve">. Measured log </w:t>
      </w:r>
      <w:proofErr w:type="spellStart"/>
      <w:r w:rsidRPr="002E764E">
        <w:rPr>
          <w:color w:val="000000"/>
        </w:rPr>
        <w:t>Kow</w:t>
      </w:r>
      <w:proofErr w:type="spellEnd"/>
      <w:r w:rsidRPr="002E764E">
        <w:rPr>
          <w:color w:val="000000"/>
        </w:rPr>
        <w:t xml:space="preserve"> values vary from 4.08 to 5.02. A high log </w:t>
      </w:r>
      <w:proofErr w:type="spellStart"/>
      <w:r w:rsidRPr="002E764E">
        <w:rPr>
          <w:color w:val="000000"/>
        </w:rPr>
        <w:t>Kow</w:t>
      </w:r>
      <w:proofErr w:type="spellEnd"/>
      <w:r w:rsidRPr="002E764E">
        <w:rPr>
          <w:color w:val="000000"/>
        </w:rPr>
        <w:t xml:space="preserve"> of 6.06 has been reported (Ref. 3). A high log Koa of 8.9 is reported in air</w:t>
      </w:r>
      <w:r>
        <w:rPr>
          <w:color w:val="000000"/>
        </w:rPr>
        <w:t>-</w:t>
      </w:r>
      <w:r w:rsidRPr="002E764E">
        <w:rPr>
          <w:color w:val="000000"/>
        </w:rPr>
        <w:t xml:space="preserve">breathing organisms (Ref. 5); </w:t>
      </w:r>
    </w:p>
    <w:p w:rsidR="00F0433B" w:rsidRPr="002E764E" w:rsidRDefault="00F0433B" w:rsidP="00F0433B">
      <w:pPr>
        <w:tabs>
          <w:tab w:val="left" w:pos="624"/>
          <w:tab w:val="left" w:pos="1247"/>
          <w:tab w:val="left" w:pos="1871"/>
          <w:tab w:val="left" w:pos="2495"/>
        </w:tabs>
        <w:ind w:left="3119" w:hanging="624"/>
        <w:rPr>
          <w:color w:val="000000"/>
        </w:rPr>
      </w:pPr>
      <w:r w:rsidRPr="002E764E">
        <w:rPr>
          <w:color w:val="000000"/>
        </w:rPr>
        <w:t xml:space="preserve">There is sufficient evidence that </w:t>
      </w:r>
      <w:proofErr w:type="spellStart"/>
      <w:r w:rsidRPr="002E764E">
        <w:rPr>
          <w:color w:val="000000"/>
        </w:rPr>
        <w:t>dicofol</w:t>
      </w:r>
      <w:proofErr w:type="spellEnd"/>
      <w:r w:rsidRPr="002E764E">
        <w:rPr>
          <w:color w:val="000000"/>
        </w:rPr>
        <w:t xml:space="preserve"> meets the bioaccumulation criterion;</w:t>
      </w:r>
    </w:p>
    <w:p w:rsidR="00F0433B" w:rsidRPr="00783511" w:rsidRDefault="00F0433B" w:rsidP="00F0433B">
      <w:pPr>
        <w:tabs>
          <w:tab w:val="left" w:pos="624"/>
          <w:tab w:val="left" w:pos="1247"/>
          <w:tab w:val="left" w:pos="1620"/>
          <w:tab w:val="left" w:pos="1871"/>
          <w:tab w:val="left" w:pos="2495"/>
        </w:tabs>
        <w:autoSpaceDE w:val="0"/>
        <w:autoSpaceDN w:val="0"/>
        <w:adjustRightInd w:val="0"/>
        <w:ind w:left="1871"/>
        <w:rPr>
          <w:b/>
        </w:rPr>
      </w:pPr>
      <w:r w:rsidRPr="002E764E">
        <w:rPr>
          <w:b/>
        </w:rPr>
        <w:t xml:space="preserve">(d) </w:t>
      </w:r>
      <w:r w:rsidRPr="002E764E">
        <w:rPr>
          <w:b/>
        </w:rPr>
        <w:tab/>
      </w:r>
      <w:r w:rsidRPr="00783511">
        <w:rPr>
          <w:b/>
        </w:rPr>
        <w:t>Potential for long-range environmental transport:</w:t>
      </w:r>
    </w:p>
    <w:p w:rsidR="00F0433B" w:rsidRPr="002E764E" w:rsidRDefault="00F0433B" w:rsidP="00F0433B">
      <w:pPr>
        <w:tabs>
          <w:tab w:val="left" w:pos="624"/>
          <w:tab w:val="left" w:pos="1247"/>
          <w:tab w:val="left" w:pos="1871"/>
          <w:tab w:val="left" w:pos="2495"/>
        </w:tabs>
        <w:ind w:left="3119" w:hanging="624"/>
      </w:pPr>
      <w:r w:rsidRPr="00783511">
        <w:t>(</w:t>
      </w:r>
      <w:proofErr w:type="spellStart"/>
      <w:r w:rsidRPr="00783511">
        <w:t>i</w:t>
      </w:r>
      <w:proofErr w:type="spellEnd"/>
      <w:r w:rsidRPr="00783511">
        <w:t xml:space="preserve">) </w:t>
      </w:r>
      <w:proofErr w:type="gramStart"/>
      <w:r w:rsidRPr="00783511">
        <w:t>and</w:t>
      </w:r>
      <w:proofErr w:type="gramEnd"/>
      <w:r w:rsidRPr="00783511">
        <w:t xml:space="preserve"> (ii) There are little data on the presence of </w:t>
      </w:r>
      <w:proofErr w:type="spellStart"/>
      <w:r w:rsidRPr="00783511">
        <w:t>dicofol</w:t>
      </w:r>
      <w:proofErr w:type="spellEnd"/>
      <w:r w:rsidRPr="00783511">
        <w:t xml:space="preserve"> in remote areas. </w:t>
      </w:r>
      <w:proofErr w:type="spellStart"/>
      <w:r w:rsidRPr="00783511">
        <w:t>Dicofol</w:t>
      </w:r>
      <w:proofErr w:type="spellEnd"/>
      <w:r w:rsidRPr="00783511">
        <w:t xml:space="preserve"> has been detected in the</w:t>
      </w:r>
      <w:r w:rsidRPr="002E764E">
        <w:t xml:space="preserve"> Arctic environment (Ref. 6);</w:t>
      </w:r>
    </w:p>
    <w:p w:rsidR="00F0433B" w:rsidRPr="00F22702" w:rsidRDefault="00F0433B" w:rsidP="00F0433B">
      <w:pPr>
        <w:tabs>
          <w:tab w:val="left" w:pos="624"/>
          <w:tab w:val="left" w:pos="1247"/>
          <w:tab w:val="left" w:pos="1871"/>
          <w:tab w:val="left" w:pos="2495"/>
        </w:tabs>
        <w:ind w:left="3119" w:hanging="624"/>
        <w:rPr>
          <w:b/>
        </w:rPr>
      </w:pPr>
      <w:r w:rsidRPr="00F22702">
        <w:t>(iii)</w:t>
      </w:r>
      <w:r w:rsidRPr="00F22702">
        <w:tab/>
        <w:t xml:space="preserve">The estimated atmospheric half-life exceeds the screening criteria of 2 days </w:t>
      </w:r>
      <w:r>
        <w:br/>
      </w:r>
      <w:r w:rsidRPr="00F22702">
        <w:t xml:space="preserve">(3–10.5 days). The calculated transport distance in Europe is 1,650 km for </w:t>
      </w:r>
      <w:proofErr w:type="spellStart"/>
      <w:r w:rsidRPr="00F22702">
        <w:t>dicofol</w:t>
      </w:r>
      <w:proofErr w:type="spellEnd"/>
      <w:r w:rsidRPr="00F22702">
        <w:t xml:space="preserve"> (Ref.1);   </w:t>
      </w:r>
    </w:p>
    <w:p w:rsidR="00F0433B" w:rsidRPr="002E764E" w:rsidRDefault="00F0433B" w:rsidP="00F0433B">
      <w:pPr>
        <w:tabs>
          <w:tab w:val="left" w:pos="624"/>
          <w:tab w:val="left" w:pos="1247"/>
          <w:tab w:val="left" w:pos="1871"/>
          <w:tab w:val="left" w:pos="2495"/>
        </w:tabs>
        <w:ind w:left="2495"/>
        <w:rPr>
          <w:color w:val="000000"/>
        </w:rPr>
      </w:pPr>
      <w:r w:rsidRPr="002E764E">
        <w:rPr>
          <w:color w:val="000000"/>
        </w:rPr>
        <w:t xml:space="preserve">There is sufficient evidence that </w:t>
      </w:r>
      <w:proofErr w:type="spellStart"/>
      <w:r w:rsidRPr="002E764E">
        <w:rPr>
          <w:color w:val="000000"/>
        </w:rPr>
        <w:t>dicofol</w:t>
      </w:r>
      <w:proofErr w:type="spellEnd"/>
      <w:r w:rsidRPr="002E764E">
        <w:rPr>
          <w:color w:val="000000"/>
        </w:rPr>
        <w:t xml:space="preserve"> meets the criterion on potential for long-range environmental transport;</w:t>
      </w:r>
    </w:p>
    <w:p w:rsidR="00F0433B" w:rsidRPr="002E764E" w:rsidRDefault="00F0433B" w:rsidP="00F0433B">
      <w:pPr>
        <w:tabs>
          <w:tab w:val="left" w:pos="624"/>
          <w:tab w:val="left" w:pos="1247"/>
          <w:tab w:val="left" w:pos="1620"/>
          <w:tab w:val="left" w:pos="1871"/>
          <w:tab w:val="left" w:pos="2495"/>
        </w:tabs>
        <w:autoSpaceDE w:val="0"/>
        <w:autoSpaceDN w:val="0"/>
        <w:adjustRightInd w:val="0"/>
        <w:ind w:left="1871"/>
        <w:rPr>
          <w:b/>
        </w:rPr>
      </w:pPr>
      <w:r w:rsidRPr="002E764E">
        <w:rPr>
          <w:b/>
        </w:rPr>
        <w:t>(e)</w:t>
      </w:r>
      <w:r w:rsidRPr="002E764E">
        <w:rPr>
          <w:b/>
        </w:rPr>
        <w:tab/>
        <w:t>Adverse effects:</w:t>
      </w:r>
    </w:p>
    <w:p w:rsidR="00F0433B" w:rsidRPr="002E764E" w:rsidRDefault="00F0433B" w:rsidP="00F0433B">
      <w:pPr>
        <w:tabs>
          <w:tab w:val="left" w:pos="624"/>
          <w:tab w:val="left" w:pos="1247"/>
          <w:tab w:val="left" w:pos="1871"/>
          <w:tab w:val="left" w:pos="2495"/>
        </w:tabs>
        <w:ind w:left="3119" w:hanging="624"/>
      </w:pPr>
      <w:r w:rsidRPr="002E764E">
        <w:t>(</w:t>
      </w:r>
      <w:proofErr w:type="spellStart"/>
      <w:r w:rsidRPr="002E764E">
        <w:t>i</w:t>
      </w:r>
      <w:proofErr w:type="spellEnd"/>
      <w:r w:rsidRPr="002E764E">
        <w:t xml:space="preserve">) </w:t>
      </w:r>
      <w:r w:rsidRPr="002E764E">
        <w:tab/>
        <w:t>There are no specific data available;</w:t>
      </w:r>
    </w:p>
    <w:p w:rsidR="00F0433B" w:rsidRPr="002E764E" w:rsidRDefault="00F0433B" w:rsidP="00F0433B">
      <w:pPr>
        <w:tabs>
          <w:tab w:val="left" w:pos="624"/>
          <w:tab w:val="left" w:pos="1247"/>
          <w:tab w:val="left" w:pos="1871"/>
          <w:tab w:val="left" w:pos="2495"/>
        </w:tabs>
        <w:ind w:left="3119" w:hanging="624"/>
      </w:pPr>
      <w:r w:rsidRPr="002E764E">
        <w:t>(ii)</w:t>
      </w:r>
      <w:r w:rsidRPr="002E764E">
        <w:tab/>
        <w:t xml:space="preserve">There are animal data showing a potential of </w:t>
      </w:r>
      <w:proofErr w:type="spellStart"/>
      <w:r w:rsidRPr="002E764E">
        <w:rPr>
          <w:color w:val="000000"/>
        </w:rPr>
        <w:t>dicofol</w:t>
      </w:r>
      <w:proofErr w:type="spellEnd"/>
      <w:r w:rsidRPr="002E764E">
        <w:t xml:space="preserve"> to have adverse effects on human health, including effects on the liver, kidney, adrenal gland and urinary bladder. The no observed adverse effect level (NOAEL) for induction in mice is 2.1 mg/kg </w:t>
      </w:r>
      <w:proofErr w:type="spellStart"/>
      <w:r w:rsidRPr="002E764E">
        <w:t>bw</w:t>
      </w:r>
      <w:proofErr w:type="spellEnd"/>
      <w:r w:rsidRPr="002E764E">
        <w:t xml:space="preserve">/day. In document UNEP/POPS/POPRC.8/INF/13, the Committee concluded that based on available data there was no evidence </w:t>
      </w:r>
      <w:r>
        <w:t>of the</w:t>
      </w:r>
      <w:r w:rsidRPr="002E764E">
        <w:t xml:space="preserve"> carcinogenicity of </w:t>
      </w:r>
      <w:proofErr w:type="spellStart"/>
      <w:r w:rsidRPr="002E764E">
        <w:t>dicofol</w:t>
      </w:r>
      <w:proofErr w:type="spellEnd"/>
      <w:r w:rsidRPr="002E764E">
        <w:t xml:space="preserve">. However, a recent study (Ref. 7) indicates that </w:t>
      </w:r>
      <w:proofErr w:type="spellStart"/>
      <w:r w:rsidRPr="002E764E">
        <w:t>dicofol</w:t>
      </w:r>
      <w:proofErr w:type="spellEnd"/>
      <w:r w:rsidRPr="002E764E">
        <w:t xml:space="preserve"> might raise the risk of cancer incidence through effects on </w:t>
      </w:r>
      <w:r>
        <w:t xml:space="preserve">the </w:t>
      </w:r>
      <w:r w:rsidRPr="002E764E">
        <w:t>frame conformation of proteins, disturbing the</w:t>
      </w:r>
      <w:r>
        <w:t>ir</w:t>
      </w:r>
      <w:r w:rsidRPr="002E764E">
        <w:t xml:space="preserve"> physiological function;</w:t>
      </w:r>
    </w:p>
    <w:p w:rsidR="00F0433B" w:rsidRPr="002E764E" w:rsidRDefault="00F0433B" w:rsidP="00F0433B">
      <w:pPr>
        <w:tabs>
          <w:tab w:val="left" w:pos="624"/>
          <w:tab w:val="left" w:pos="1247"/>
          <w:tab w:val="left" w:pos="1871"/>
          <w:tab w:val="left" w:pos="2495"/>
        </w:tabs>
        <w:ind w:left="3119"/>
        <w:rPr>
          <w:color w:val="000000"/>
        </w:rPr>
      </w:pPr>
      <w:r w:rsidRPr="002E764E" w:rsidDel="007E5E3A">
        <w:tab/>
      </w:r>
      <w:r w:rsidRPr="002E764E">
        <w:t>In a</w:t>
      </w:r>
      <w:r w:rsidRPr="002E764E">
        <w:rPr>
          <w:color w:val="000000"/>
        </w:rPr>
        <w:t xml:space="preserve"> two-year study of rats, growth, enzyme induction and other changes in the liver, adrenal gland and urinary bladder were observed at doses of 2.5 mg/kg/day, resulting in a limit dose value, acceptable daily intake (ADI), of 0.0022 mg/kg </w:t>
      </w:r>
      <w:proofErr w:type="spellStart"/>
      <w:r w:rsidRPr="002E764E">
        <w:rPr>
          <w:color w:val="000000"/>
        </w:rPr>
        <w:t>bw</w:t>
      </w:r>
      <w:proofErr w:type="spellEnd"/>
      <w:r w:rsidRPr="002E764E">
        <w:rPr>
          <w:color w:val="000000"/>
        </w:rPr>
        <w:t>/day (Ref. 8);</w:t>
      </w:r>
    </w:p>
    <w:p w:rsidR="00F0433B" w:rsidRPr="002E764E" w:rsidRDefault="00F0433B" w:rsidP="00F0433B">
      <w:pPr>
        <w:tabs>
          <w:tab w:val="left" w:pos="624"/>
          <w:tab w:val="left" w:pos="1247"/>
          <w:tab w:val="left" w:pos="1871"/>
          <w:tab w:val="left" w:pos="2495"/>
        </w:tabs>
        <w:ind w:left="3119"/>
        <w:rPr>
          <w:color w:val="000000"/>
        </w:rPr>
      </w:pPr>
      <w:r w:rsidRPr="002E764E" w:rsidDel="007E5E3A">
        <w:rPr>
          <w:color w:val="000000"/>
        </w:rPr>
        <w:tab/>
      </w:r>
      <w:r w:rsidRPr="002E764E">
        <w:rPr>
          <w:color w:val="000000"/>
        </w:rPr>
        <w:t>In another two-year study on hormonal effects in dogs a NOAEL of 0.22</w:t>
      </w:r>
      <w:r>
        <w:rPr>
          <w:color w:val="000000"/>
        </w:rPr>
        <w:t> </w:t>
      </w:r>
      <w:r w:rsidRPr="002E764E">
        <w:rPr>
          <w:color w:val="000000"/>
        </w:rPr>
        <w:t>mg/kg/day has been determined</w:t>
      </w:r>
      <w:r>
        <w:rPr>
          <w:color w:val="000000"/>
        </w:rPr>
        <w:t>,</w:t>
      </w:r>
      <w:r w:rsidRPr="002E764E">
        <w:rPr>
          <w:color w:val="000000"/>
        </w:rPr>
        <w:t xml:space="preserve"> leading to a reference dose (</w:t>
      </w:r>
      <w:proofErr w:type="spellStart"/>
      <w:r w:rsidRPr="002E764E">
        <w:rPr>
          <w:color w:val="000000"/>
        </w:rPr>
        <w:t>RfD</w:t>
      </w:r>
      <w:proofErr w:type="spellEnd"/>
      <w:r w:rsidRPr="002E764E">
        <w:rPr>
          <w:color w:val="000000"/>
        </w:rPr>
        <w:t>)</w:t>
      </w:r>
      <w:r>
        <w:rPr>
          <w:color w:val="000000"/>
        </w:rPr>
        <w:t xml:space="preserve"> </w:t>
      </w:r>
      <w:r w:rsidRPr="002E764E">
        <w:rPr>
          <w:color w:val="000000"/>
        </w:rPr>
        <w:t>of 0.0004 mg/kg/day (Ref. 3);</w:t>
      </w:r>
    </w:p>
    <w:p w:rsidR="00F0433B" w:rsidRPr="002E764E" w:rsidRDefault="00F0433B" w:rsidP="00F0433B">
      <w:pPr>
        <w:tabs>
          <w:tab w:val="left" w:pos="624"/>
          <w:tab w:val="left" w:pos="1247"/>
          <w:tab w:val="left" w:pos="1871"/>
          <w:tab w:val="left" w:pos="2495"/>
        </w:tabs>
        <w:ind w:left="3119"/>
        <w:rPr>
          <w:color w:val="000000"/>
        </w:rPr>
      </w:pPr>
      <w:r w:rsidRPr="002E764E" w:rsidDel="00A22565">
        <w:rPr>
          <w:color w:val="000000"/>
        </w:rPr>
        <w:lastRenderedPageBreak/>
        <w:tab/>
      </w:r>
      <w:r w:rsidRPr="002E764E">
        <w:rPr>
          <w:color w:val="000000"/>
        </w:rPr>
        <w:t xml:space="preserve">A dietary concentration of 7 mg/kg of </w:t>
      </w:r>
      <w:proofErr w:type="spellStart"/>
      <w:r w:rsidRPr="002E764E">
        <w:rPr>
          <w:color w:val="000000"/>
        </w:rPr>
        <w:t>dicofol</w:t>
      </w:r>
      <w:proofErr w:type="spellEnd"/>
      <w:r w:rsidRPr="002E764E">
        <w:rPr>
          <w:color w:val="000000"/>
        </w:rPr>
        <w:t xml:space="preserve"> fed to mice for </w:t>
      </w:r>
      <w:r>
        <w:rPr>
          <w:color w:val="000000"/>
        </w:rPr>
        <w:t>three</w:t>
      </w:r>
      <w:r w:rsidRPr="002E764E">
        <w:rPr>
          <w:color w:val="000000"/>
        </w:rPr>
        <w:t xml:space="preserve"> generations produced defects in 12-day-old offspring of the third generation. Effects, however, were not identified in another study with rabbits at similar or higher exposure levels;</w:t>
      </w:r>
    </w:p>
    <w:p w:rsidR="00F0433B" w:rsidRPr="002E764E" w:rsidRDefault="00F0433B" w:rsidP="00F0433B">
      <w:pPr>
        <w:tabs>
          <w:tab w:val="left" w:pos="624"/>
          <w:tab w:val="left" w:pos="1247"/>
          <w:tab w:val="left" w:pos="1871"/>
          <w:tab w:val="left" w:pos="2495"/>
        </w:tabs>
        <w:ind w:left="3119"/>
        <w:rPr>
          <w:color w:val="000000"/>
        </w:rPr>
      </w:pPr>
      <w:r w:rsidRPr="002E764E" w:rsidDel="00A22565">
        <w:rPr>
          <w:color w:val="000000"/>
        </w:rPr>
        <w:tab/>
      </w:r>
      <w:proofErr w:type="spellStart"/>
      <w:r w:rsidRPr="002E764E">
        <w:rPr>
          <w:color w:val="000000"/>
        </w:rPr>
        <w:t>Dicofol</w:t>
      </w:r>
      <w:proofErr w:type="spellEnd"/>
      <w:r w:rsidRPr="002E764E">
        <w:rPr>
          <w:color w:val="000000"/>
        </w:rPr>
        <w:t xml:space="preserve"> is highly toxic to aquatic animals as defined in the Globally Harmonized System of Classification and Labelling of Chemicals (GHS). It is classified as aquatic acute and chronic category 1 in the European Union’s regulation on the classification, labelling and packing of substances and mixtures (Regulation (EC) No. 1272/2008);</w:t>
      </w:r>
    </w:p>
    <w:p w:rsidR="00F0433B" w:rsidRPr="002E764E" w:rsidRDefault="00F0433B" w:rsidP="00F0433B">
      <w:pPr>
        <w:tabs>
          <w:tab w:val="left" w:pos="624"/>
          <w:tab w:val="left" w:pos="1247"/>
          <w:tab w:val="left" w:pos="1871"/>
          <w:tab w:val="left" w:pos="2495"/>
        </w:tabs>
        <w:ind w:left="3119"/>
        <w:rPr>
          <w:color w:val="000000"/>
        </w:rPr>
      </w:pPr>
      <w:r w:rsidRPr="002E764E" w:rsidDel="00A22565">
        <w:rPr>
          <w:color w:val="000000"/>
        </w:rPr>
        <w:tab/>
      </w:r>
      <w:r w:rsidRPr="002E764E">
        <w:rPr>
          <w:color w:val="000000"/>
        </w:rPr>
        <w:t>The lowest LC</w:t>
      </w:r>
      <w:r w:rsidRPr="00F22702">
        <w:rPr>
          <w:color w:val="000000"/>
          <w:vertAlign w:val="subscript"/>
        </w:rPr>
        <w:t>50</w:t>
      </w:r>
      <w:r w:rsidRPr="002E764E">
        <w:rPr>
          <w:color w:val="000000"/>
        </w:rPr>
        <w:t xml:space="preserve"> for fish is 0.053 mg/</w:t>
      </w:r>
      <w:r>
        <w:rPr>
          <w:color w:val="000000"/>
        </w:rPr>
        <w:t>l</w:t>
      </w:r>
      <w:r w:rsidRPr="002E764E">
        <w:rPr>
          <w:color w:val="000000"/>
        </w:rPr>
        <w:t>; the lowest value for crustaceans is 0.06 mg/l (Ref.9);</w:t>
      </w:r>
    </w:p>
    <w:p w:rsidR="00F0433B" w:rsidRPr="00F22702" w:rsidRDefault="00F0433B" w:rsidP="00F0433B">
      <w:pPr>
        <w:tabs>
          <w:tab w:val="left" w:pos="624"/>
          <w:tab w:val="left" w:pos="1247"/>
          <w:tab w:val="left" w:pos="1871"/>
          <w:tab w:val="left" w:pos="2495"/>
        </w:tabs>
        <w:ind w:left="3119"/>
        <w:rPr>
          <w:color w:val="000000"/>
        </w:rPr>
      </w:pPr>
      <w:r w:rsidRPr="00F22702">
        <w:rPr>
          <w:color w:val="000000"/>
        </w:rPr>
        <w:t>The no observed effect concentration (NOEC) in a 60-d fish early life stag</w:t>
      </w:r>
      <w:r w:rsidRPr="00245EBE">
        <w:rPr>
          <w:color w:val="000000"/>
        </w:rPr>
        <w:t>e test wa</w:t>
      </w:r>
      <w:r w:rsidRPr="00F22702">
        <w:rPr>
          <w:color w:val="000000"/>
        </w:rPr>
        <w:t xml:space="preserve">s </w:t>
      </w:r>
      <w:proofErr w:type="gramStart"/>
      <w:r w:rsidRPr="00F22702">
        <w:rPr>
          <w:color w:val="000000"/>
        </w:rPr>
        <w:t xml:space="preserve">4.4 </w:t>
      </w:r>
      <w:proofErr w:type="spellStart"/>
      <w:r w:rsidRPr="00F22702">
        <w:rPr>
          <w:color w:val="000000"/>
        </w:rPr>
        <w:t>μg</w:t>
      </w:r>
      <w:proofErr w:type="spellEnd"/>
      <w:r w:rsidRPr="00F22702">
        <w:rPr>
          <w:color w:val="000000"/>
        </w:rPr>
        <w:t>/l</w:t>
      </w:r>
      <w:proofErr w:type="gramEnd"/>
      <w:r w:rsidRPr="00F22702">
        <w:rPr>
          <w:color w:val="000000"/>
        </w:rPr>
        <w:t xml:space="preserve"> and</w:t>
      </w:r>
      <w:r w:rsidRPr="002E764E">
        <w:rPr>
          <w:color w:val="000000"/>
        </w:rPr>
        <w:t xml:space="preserve"> NOEC for chronic exposure was </w:t>
      </w:r>
      <w:r w:rsidRPr="00F22702">
        <w:rPr>
          <w:color w:val="000000"/>
        </w:rPr>
        <w:t xml:space="preserve">4.5 – 9 </w:t>
      </w:r>
      <w:proofErr w:type="spellStart"/>
      <w:r w:rsidRPr="00F22702">
        <w:rPr>
          <w:color w:val="000000"/>
        </w:rPr>
        <w:t>μg</w:t>
      </w:r>
      <w:proofErr w:type="spellEnd"/>
      <w:r w:rsidRPr="00F22702">
        <w:rPr>
          <w:color w:val="000000"/>
        </w:rPr>
        <w:t>/l. The United</w:t>
      </w:r>
      <w:r>
        <w:rPr>
          <w:color w:val="000000"/>
        </w:rPr>
        <w:t> </w:t>
      </w:r>
      <w:r w:rsidRPr="00F22702">
        <w:rPr>
          <w:color w:val="000000"/>
        </w:rPr>
        <w:t xml:space="preserve">States Environmental Protection Agency </w:t>
      </w:r>
      <w:proofErr w:type="spellStart"/>
      <w:r w:rsidRPr="00F22702">
        <w:rPr>
          <w:color w:val="000000"/>
        </w:rPr>
        <w:t>reregistration</w:t>
      </w:r>
      <w:proofErr w:type="spellEnd"/>
      <w:r w:rsidRPr="00F22702">
        <w:rPr>
          <w:color w:val="000000"/>
        </w:rPr>
        <w:t xml:space="preserve"> eligibility decision for </w:t>
      </w:r>
      <w:proofErr w:type="spellStart"/>
      <w:r w:rsidRPr="00F22702">
        <w:rPr>
          <w:color w:val="000000"/>
        </w:rPr>
        <w:t>dicofol</w:t>
      </w:r>
      <w:proofErr w:type="spellEnd"/>
      <w:r w:rsidRPr="002E764E">
        <w:rPr>
          <w:color w:val="000000"/>
        </w:rPr>
        <w:t xml:space="preserve"> (1998) (Ref. 3) cites effects on the reproductive </w:t>
      </w:r>
      <w:r w:rsidRPr="00F22702">
        <w:rPr>
          <w:color w:val="000000"/>
        </w:rPr>
        <w:t xml:space="preserve">physiology of the fathead minnow from concentrations as low as 5 </w:t>
      </w:r>
      <w:proofErr w:type="spellStart"/>
      <w:r w:rsidRPr="00F22702">
        <w:rPr>
          <w:color w:val="000000"/>
        </w:rPr>
        <w:t>μg</w:t>
      </w:r>
      <w:proofErr w:type="spellEnd"/>
      <w:r w:rsidRPr="00F22702">
        <w:rPr>
          <w:color w:val="000000"/>
        </w:rPr>
        <w:t>/l;</w:t>
      </w:r>
    </w:p>
    <w:p w:rsidR="00F0433B" w:rsidRPr="002E764E" w:rsidRDefault="00F0433B" w:rsidP="00F0433B">
      <w:pPr>
        <w:tabs>
          <w:tab w:val="left" w:pos="624"/>
          <w:tab w:val="left" w:pos="1247"/>
          <w:tab w:val="left" w:pos="1871"/>
          <w:tab w:val="left" w:pos="2495"/>
        </w:tabs>
        <w:ind w:left="3119"/>
        <w:rPr>
          <w:color w:val="000000"/>
        </w:rPr>
      </w:pPr>
      <w:r w:rsidRPr="00F22702" w:rsidDel="00A22565">
        <w:rPr>
          <w:color w:val="000000"/>
        </w:rPr>
        <w:tab/>
      </w:r>
      <w:r w:rsidRPr="00F22702">
        <w:rPr>
          <w:color w:val="000000"/>
        </w:rPr>
        <w:t xml:space="preserve">A two-generation study </w:t>
      </w:r>
      <w:r w:rsidRPr="00F22702">
        <w:t xml:space="preserve">of reproductive and morphological effects of </w:t>
      </w:r>
      <w:proofErr w:type="spellStart"/>
      <w:r w:rsidRPr="00F22702">
        <w:t>dicofol</w:t>
      </w:r>
      <w:proofErr w:type="spellEnd"/>
      <w:r w:rsidRPr="00F22702">
        <w:t xml:space="preserve"> on captive American kestrels</w:t>
      </w:r>
      <w:r w:rsidRPr="00F22702">
        <w:rPr>
          <w:b/>
          <w:color w:val="000000"/>
        </w:rPr>
        <w:t xml:space="preserve"> </w:t>
      </w:r>
      <w:r w:rsidRPr="00F22702">
        <w:rPr>
          <w:color w:val="000000"/>
        </w:rPr>
        <w:t xml:space="preserve">by </w:t>
      </w:r>
      <w:proofErr w:type="spellStart"/>
      <w:r w:rsidRPr="00F22702">
        <w:rPr>
          <w:color w:val="000000"/>
        </w:rPr>
        <w:t>MacLellan</w:t>
      </w:r>
      <w:proofErr w:type="spellEnd"/>
      <w:r w:rsidRPr="00F22702">
        <w:rPr>
          <w:color w:val="000000"/>
        </w:rPr>
        <w:t xml:space="preserve"> </w:t>
      </w:r>
      <w:r w:rsidRPr="00F22702">
        <w:rPr>
          <w:i/>
          <w:color w:val="000000"/>
        </w:rPr>
        <w:t>et al.</w:t>
      </w:r>
      <w:r w:rsidRPr="00F22702">
        <w:rPr>
          <w:color w:val="000000"/>
        </w:rPr>
        <w:t xml:space="preserve"> (1996) showed significantly thinner egg shells at 20 mg/kg of</w:t>
      </w:r>
      <w:r w:rsidRPr="002E764E">
        <w:rPr>
          <w:color w:val="000000"/>
        </w:rPr>
        <w:t xml:space="preserve"> </w:t>
      </w:r>
      <w:proofErr w:type="spellStart"/>
      <w:r w:rsidRPr="002E764E">
        <w:rPr>
          <w:color w:val="000000"/>
        </w:rPr>
        <w:t>dicofol</w:t>
      </w:r>
      <w:proofErr w:type="spellEnd"/>
      <w:r w:rsidRPr="002E764E">
        <w:rPr>
          <w:color w:val="000000"/>
        </w:rPr>
        <w:t xml:space="preserve">. Male embryos from females dosed with 5 and 20 mg/kg of </w:t>
      </w:r>
      <w:proofErr w:type="spellStart"/>
      <w:r w:rsidRPr="002E764E">
        <w:rPr>
          <w:color w:val="000000"/>
        </w:rPr>
        <w:t>dicofol</w:t>
      </w:r>
      <w:proofErr w:type="spellEnd"/>
      <w:r w:rsidRPr="002E764E">
        <w:rPr>
          <w:color w:val="000000"/>
        </w:rPr>
        <w:t xml:space="preserve"> had gonads that were significantly different from those of control chicks (Ref. 10);</w:t>
      </w:r>
    </w:p>
    <w:p w:rsidR="00F0433B" w:rsidRPr="002E764E" w:rsidRDefault="00F0433B" w:rsidP="00F0433B">
      <w:pPr>
        <w:tabs>
          <w:tab w:val="left" w:pos="624"/>
          <w:tab w:val="left" w:pos="1247"/>
          <w:tab w:val="left" w:pos="1871"/>
          <w:tab w:val="left" w:pos="2495"/>
        </w:tabs>
        <w:ind w:left="3119"/>
        <w:rPr>
          <w:color w:val="000000"/>
        </w:rPr>
      </w:pPr>
      <w:proofErr w:type="spellStart"/>
      <w:r w:rsidRPr="002E764E">
        <w:rPr>
          <w:color w:val="000000"/>
        </w:rPr>
        <w:t>Wiemeyer</w:t>
      </w:r>
      <w:proofErr w:type="spellEnd"/>
      <w:r w:rsidRPr="002E764E">
        <w:rPr>
          <w:color w:val="000000"/>
        </w:rPr>
        <w:t xml:space="preserve"> </w:t>
      </w:r>
      <w:r w:rsidRPr="00F22702">
        <w:rPr>
          <w:i/>
          <w:color w:val="000000"/>
        </w:rPr>
        <w:t>et al.</w:t>
      </w:r>
      <w:r w:rsidRPr="002E764E">
        <w:rPr>
          <w:color w:val="000000"/>
        </w:rPr>
        <w:t xml:space="preserve"> (2001) reported that the lowest observed dietary effect concentration for eggshell thinning was 3 mg/kg and that the no observed adverse effect concentration (NOAEC) was 1 </w:t>
      </w:r>
      <w:proofErr w:type="spellStart"/>
      <w:r w:rsidRPr="002E764E">
        <w:rPr>
          <w:color w:val="000000"/>
        </w:rPr>
        <w:t>μg</w:t>
      </w:r>
      <w:proofErr w:type="spellEnd"/>
      <w:r w:rsidRPr="002E764E">
        <w:rPr>
          <w:color w:val="000000"/>
        </w:rPr>
        <w:t>/g</w:t>
      </w:r>
      <w:r>
        <w:rPr>
          <w:color w:val="000000"/>
        </w:rPr>
        <w:t xml:space="preserve"> </w:t>
      </w:r>
      <w:r w:rsidRPr="002E764E">
        <w:rPr>
          <w:color w:val="000000"/>
        </w:rPr>
        <w:t xml:space="preserve">(Ref. 11). This is slightly lower than the NOEC of 2.5 mg/kg for eggshell thinning in ducks reported </w:t>
      </w:r>
      <w:r>
        <w:rPr>
          <w:color w:val="000000"/>
        </w:rPr>
        <w:t xml:space="preserve">by </w:t>
      </w:r>
      <w:proofErr w:type="spellStart"/>
      <w:r w:rsidRPr="00F22702">
        <w:rPr>
          <w:lang w:val="en-US"/>
        </w:rPr>
        <w:t>Belfroid</w:t>
      </w:r>
      <w:proofErr w:type="spellEnd"/>
      <w:r w:rsidRPr="00F22702">
        <w:rPr>
          <w:lang w:val="en-US"/>
        </w:rPr>
        <w:t xml:space="preserve"> A. </w:t>
      </w:r>
      <w:r w:rsidRPr="00F22702">
        <w:rPr>
          <w:i/>
          <w:lang w:val="en-US"/>
        </w:rPr>
        <w:t>et al.</w:t>
      </w:r>
      <w:r>
        <w:rPr>
          <w:i/>
          <w:lang w:val="en-US"/>
        </w:rPr>
        <w:t xml:space="preserve"> </w:t>
      </w:r>
      <w:r>
        <w:rPr>
          <w:lang w:val="en-US"/>
        </w:rPr>
        <w:t>(2005) (Ref.1)</w:t>
      </w:r>
      <w:r w:rsidRPr="002E764E">
        <w:rPr>
          <w:color w:val="000000"/>
        </w:rPr>
        <w:t>;</w:t>
      </w:r>
    </w:p>
    <w:p w:rsidR="00F0433B" w:rsidRPr="002E764E" w:rsidRDefault="00F0433B" w:rsidP="00F0433B">
      <w:pPr>
        <w:tabs>
          <w:tab w:val="left" w:pos="624"/>
          <w:tab w:val="left" w:pos="1247"/>
          <w:tab w:val="left" w:pos="1871"/>
          <w:tab w:val="left" w:pos="2495"/>
        </w:tabs>
        <w:ind w:left="3119"/>
        <w:rPr>
          <w:color w:val="000000"/>
        </w:rPr>
      </w:pPr>
      <w:r w:rsidRPr="002E764E" w:rsidDel="00FD1AE2">
        <w:rPr>
          <w:color w:val="000000"/>
        </w:rPr>
        <w:tab/>
      </w:r>
      <w:r w:rsidRPr="002E764E">
        <w:rPr>
          <w:color w:val="000000"/>
        </w:rPr>
        <w:t xml:space="preserve">According to the OSPAR document on </w:t>
      </w:r>
      <w:proofErr w:type="spellStart"/>
      <w:r w:rsidRPr="002E764E">
        <w:rPr>
          <w:color w:val="000000"/>
        </w:rPr>
        <w:t>dicofol</w:t>
      </w:r>
      <w:proofErr w:type="spellEnd"/>
      <w:r w:rsidRPr="002E764E">
        <w:rPr>
          <w:color w:val="000000"/>
        </w:rPr>
        <w:t xml:space="preserve"> (Ref. 9), the pattern and magnitude of </w:t>
      </w:r>
      <w:proofErr w:type="spellStart"/>
      <w:r w:rsidRPr="002E764E">
        <w:rPr>
          <w:color w:val="000000"/>
        </w:rPr>
        <w:t>dicofol</w:t>
      </w:r>
      <w:proofErr w:type="spellEnd"/>
      <w:r w:rsidRPr="002E764E">
        <w:rPr>
          <w:color w:val="000000"/>
        </w:rPr>
        <w:t xml:space="preserve"> on eggshell thinning was similar as </w:t>
      </w:r>
      <w:r>
        <w:rPr>
          <w:color w:val="000000"/>
        </w:rPr>
        <w:t xml:space="preserve">that </w:t>
      </w:r>
      <w:r w:rsidRPr="002E764E">
        <w:rPr>
          <w:color w:val="000000"/>
        </w:rPr>
        <w:t xml:space="preserve">observed with </w:t>
      </w:r>
      <w:r w:rsidRPr="002E764E">
        <w:rPr>
          <w:color w:val="000000"/>
        </w:rPr>
        <w:br/>
      </w:r>
      <w:proofErr w:type="spellStart"/>
      <w:r w:rsidRPr="00F22702">
        <w:rPr>
          <w:i/>
          <w:color w:val="000000"/>
        </w:rPr>
        <w:t>p</w:t>
      </w:r>
      <w:proofErr w:type="gramStart"/>
      <w:r w:rsidRPr="00F22702">
        <w:rPr>
          <w:i/>
          <w:color w:val="000000"/>
        </w:rPr>
        <w:t>,p</w:t>
      </w:r>
      <w:proofErr w:type="spellEnd"/>
      <w:r w:rsidRPr="00F22702">
        <w:rPr>
          <w:i/>
          <w:color w:val="000000"/>
        </w:rPr>
        <w:t>’</w:t>
      </w:r>
      <w:proofErr w:type="gramEnd"/>
      <w:r w:rsidRPr="002E764E">
        <w:rPr>
          <w:color w:val="000000"/>
        </w:rPr>
        <w:t xml:space="preserve">-DDE. </w:t>
      </w:r>
      <w:proofErr w:type="spellStart"/>
      <w:r w:rsidRPr="002E764E">
        <w:rPr>
          <w:color w:val="000000"/>
        </w:rPr>
        <w:t>Schwarzbach</w:t>
      </w:r>
      <w:proofErr w:type="spellEnd"/>
      <w:r w:rsidRPr="002E764E">
        <w:rPr>
          <w:color w:val="000000"/>
        </w:rPr>
        <w:t xml:space="preserve"> </w:t>
      </w:r>
      <w:r w:rsidRPr="00F22702">
        <w:rPr>
          <w:i/>
          <w:color w:val="000000"/>
        </w:rPr>
        <w:t>et al</w:t>
      </w:r>
      <w:r w:rsidRPr="002E764E">
        <w:rPr>
          <w:i/>
          <w:color w:val="000000"/>
        </w:rPr>
        <w:t>.</w:t>
      </w:r>
      <w:r w:rsidRPr="002E764E">
        <w:rPr>
          <w:color w:val="000000"/>
        </w:rPr>
        <w:t xml:space="preserve"> (1988), cited in OSPAR (2002) (Ref.9), showed that </w:t>
      </w:r>
      <w:proofErr w:type="spellStart"/>
      <w:r w:rsidRPr="002E764E">
        <w:rPr>
          <w:color w:val="000000"/>
        </w:rPr>
        <w:t>dicofol</w:t>
      </w:r>
      <w:proofErr w:type="spellEnd"/>
      <w:r w:rsidRPr="002E764E">
        <w:rPr>
          <w:color w:val="000000"/>
        </w:rPr>
        <w:t xml:space="preserve"> was not metaboli</w:t>
      </w:r>
      <w:r>
        <w:rPr>
          <w:color w:val="000000"/>
        </w:rPr>
        <w:t>z</w:t>
      </w:r>
      <w:r w:rsidRPr="002E764E">
        <w:rPr>
          <w:color w:val="000000"/>
        </w:rPr>
        <w:t xml:space="preserve">ed to DDE in birds and therefore concluded that the adverse effect was caused by </w:t>
      </w:r>
      <w:proofErr w:type="spellStart"/>
      <w:r w:rsidRPr="002E764E">
        <w:rPr>
          <w:color w:val="000000"/>
        </w:rPr>
        <w:t>dicofol</w:t>
      </w:r>
      <w:proofErr w:type="spellEnd"/>
      <w:r w:rsidRPr="002E764E">
        <w:rPr>
          <w:color w:val="000000"/>
        </w:rPr>
        <w:t xml:space="preserve"> itself;</w:t>
      </w:r>
    </w:p>
    <w:p w:rsidR="00F0433B" w:rsidRPr="002E764E" w:rsidRDefault="00F0433B" w:rsidP="00F0433B">
      <w:pPr>
        <w:tabs>
          <w:tab w:val="left" w:pos="624"/>
          <w:tab w:val="left" w:pos="1247"/>
          <w:tab w:val="left" w:pos="1871"/>
          <w:tab w:val="left" w:pos="2495"/>
        </w:tabs>
        <w:ind w:left="3119"/>
        <w:rPr>
          <w:color w:val="000000"/>
        </w:rPr>
      </w:pPr>
      <w:r w:rsidRPr="002E764E" w:rsidDel="00FD1AE2">
        <w:rPr>
          <w:color w:val="000000"/>
        </w:rPr>
        <w:tab/>
      </w:r>
      <w:r w:rsidRPr="002E764E">
        <w:rPr>
          <w:color w:val="000000"/>
        </w:rPr>
        <w:t xml:space="preserve">In a study with earthworms by Shi </w:t>
      </w:r>
      <w:r w:rsidRPr="00F22702">
        <w:rPr>
          <w:i/>
          <w:color w:val="000000"/>
        </w:rPr>
        <w:t>et al.</w:t>
      </w:r>
      <w:r w:rsidRPr="002E764E">
        <w:rPr>
          <w:color w:val="000000"/>
        </w:rPr>
        <w:t xml:space="preserve"> (2006), </w:t>
      </w:r>
      <w:proofErr w:type="spellStart"/>
      <w:r w:rsidRPr="002E764E">
        <w:rPr>
          <w:color w:val="000000"/>
        </w:rPr>
        <w:t>dicofol</w:t>
      </w:r>
      <w:proofErr w:type="spellEnd"/>
      <w:r w:rsidRPr="002E764E">
        <w:rPr>
          <w:color w:val="000000"/>
        </w:rPr>
        <w:t xml:space="preserve"> significantly inhibited the reproductive ability of earthworms (Ref. 12);</w:t>
      </w:r>
    </w:p>
    <w:p w:rsidR="00F0433B" w:rsidRPr="002E764E" w:rsidRDefault="00F0433B" w:rsidP="00F0433B">
      <w:pPr>
        <w:tabs>
          <w:tab w:val="left" w:pos="624"/>
          <w:tab w:val="left" w:pos="1247"/>
          <w:tab w:val="left" w:pos="1871"/>
          <w:tab w:val="left" w:pos="2495"/>
        </w:tabs>
        <w:ind w:left="3119"/>
        <w:rPr>
          <w:color w:val="000000"/>
        </w:rPr>
      </w:pPr>
      <w:r w:rsidRPr="002E764E" w:rsidDel="00FD1AE2">
        <w:rPr>
          <w:color w:val="000000"/>
        </w:rPr>
        <w:tab/>
      </w:r>
      <w:proofErr w:type="spellStart"/>
      <w:r w:rsidRPr="002E764E">
        <w:rPr>
          <w:color w:val="000000"/>
        </w:rPr>
        <w:t>Lavado</w:t>
      </w:r>
      <w:proofErr w:type="spellEnd"/>
      <w:r w:rsidRPr="002E764E">
        <w:rPr>
          <w:color w:val="000000"/>
        </w:rPr>
        <w:t xml:space="preserve"> </w:t>
      </w:r>
      <w:r w:rsidRPr="00F22702">
        <w:rPr>
          <w:i/>
          <w:color w:val="000000"/>
        </w:rPr>
        <w:t>et al.</w:t>
      </w:r>
      <w:r w:rsidRPr="002E764E">
        <w:rPr>
          <w:color w:val="000000"/>
        </w:rPr>
        <w:t xml:space="preserve"> (2004) (Ref. 13) and </w:t>
      </w:r>
      <w:proofErr w:type="spellStart"/>
      <w:r w:rsidRPr="002E764E">
        <w:rPr>
          <w:color w:val="000000"/>
        </w:rPr>
        <w:t>Thibaut</w:t>
      </w:r>
      <w:proofErr w:type="spellEnd"/>
      <w:r w:rsidRPr="002E764E">
        <w:rPr>
          <w:color w:val="000000"/>
        </w:rPr>
        <w:t xml:space="preserve"> and Porte (2004) (Ref. 14) showed that </w:t>
      </w:r>
      <w:proofErr w:type="spellStart"/>
      <w:r w:rsidRPr="002E764E">
        <w:rPr>
          <w:color w:val="000000"/>
        </w:rPr>
        <w:t>dicofol</w:t>
      </w:r>
      <w:proofErr w:type="spellEnd"/>
      <w:r w:rsidRPr="002E764E">
        <w:rPr>
          <w:color w:val="000000"/>
        </w:rPr>
        <w:t xml:space="preserve"> could interfere with the synthesis of sex hormones in fish </w:t>
      </w:r>
      <w:proofErr w:type="spellStart"/>
      <w:r w:rsidRPr="002E764E">
        <w:rPr>
          <w:color w:val="000000"/>
        </w:rPr>
        <w:t>microsomes</w:t>
      </w:r>
      <w:proofErr w:type="spellEnd"/>
      <w:r w:rsidRPr="002E764E">
        <w:rPr>
          <w:color w:val="000000"/>
        </w:rPr>
        <w:t>;</w:t>
      </w:r>
    </w:p>
    <w:p w:rsidR="00F0433B" w:rsidRPr="002E764E" w:rsidRDefault="00F0433B" w:rsidP="00F0433B">
      <w:pPr>
        <w:tabs>
          <w:tab w:val="left" w:pos="624"/>
          <w:tab w:val="left" w:pos="1247"/>
          <w:tab w:val="left" w:pos="1871"/>
          <w:tab w:val="left" w:pos="2495"/>
        </w:tabs>
        <w:ind w:left="3119"/>
        <w:rPr>
          <w:color w:val="000000"/>
        </w:rPr>
      </w:pPr>
      <w:r w:rsidRPr="002E764E" w:rsidDel="00E32262">
        <w:rPr>
          <w:color w:val="000000"/>
        </w:rPr>
        <w:tab/>
      </w:r>
      <w:proofErr w:type="spellStart"/>
      <w:r w:rsidRPr="002E764E">
        <w:rPr>
          <w:color w:val="000000"/>
        </w:rPr>
        <w:t>Haeba</w:t>
      </w:r>
      <w:proofErr w:type="spellEnd"/>
      <w:r w:rsidRPr="002E764E">
        <w:rPr>
          <w:color w:val="000000"/>
        </w:rPr>
        <w:t xml:space="preserve"> </w:t>
      </w:r>
      <w:r w:rsidRPr="00F22702">
        <w:rPr>
          <w:i/>
          <w:color w:val="000000"/>
        </w:rPr>
        <w:t>et al.</w:t>
      </w:r>
      <w:r w:rsidRPr="002E764E">
        <w:rPr>
          <w:color w:val="000000"/>
        </w:rPr>
        <w:t xml:space="preserve"> (2008) (Ref. 15) demonstrated in daphnia that 0.1 mg/</w:t>
      </w:r>
      <w:r>
        <w:rPr>
          <w:color w:val="000000"/>
        </w:rPr>
        <w:t>l</w:t>
      </w:r>
      <w:r w:rsidRPr="002E764E">
        <w:rPr>
          <w:color w:val="000000"/>
        </w:rPr>
        <w:t xml:space="preserve"> of </w:t>
      </w:r>
      <w:proofErr w:type="spellStart"/>
      <w:r w:rsidRPr="002E764E">
        <w:rPr>
          <w:color w:val="000000"/>
        </w:rPr>
        <w:t>dicofol</w:t>
      </w:r>
      <w:proofErr w:type="spellEnd"/>
      <w:r w:rsidRPr="002E764E">
        <w:rPr>
          <w:color w:val="000000"/>
        </w:rPr>
        <w:t xml:space="preserve"> resulted in a significant shift of the sex ratio in favour of males at 0.1 mg/</w:t>
      </w:r>
      <w:r>
        <w:rPr>
          <w:color w:val="000000"/>
        </w:rPr>
        <w:t>l</w:t>
      </w:r>
      <w:r w:rsidRPr="002E764E">
        <w:rPr>
          <w:color w:val="000000"/>
        </w:rPr>
        <w:t xml:space="preserve">. Kojima </w:t>
      </w:r>
      <w:r w:rsidRPr="00F22702">
        <w:rPr>
          <w:i/>
          <w:color w:val="000000"/>
        </w:rPr>
        <w:t>et al.</w:t>
      </w:r>
      <w:r w:rsidRPr="002E764E">
        <w:rPr>
          <w:color w:val="000000"/>
        </w:rPr>
        <w:t xml:space="preserve"> (2004) (Ref. 16) showed estrogenic activity of </w:t>
      </w:r>
      <w:proofErr w:type="spellStart"/>
      <w:r w:rsidRPr="002E764E">
        <w:rPr>
          <w:color w:val="000000"/>
        </w:rPr>
        <w:t>dicofol</w:t>
      </w:r>
      <w:proofErr w:type="spellEnd"/>
      <w:r w:rsidRPr="002E764E">
        <w:rPr>
          <w:color w:val="000000"/>
        </w:rPr>
        <w:t xml:space="preserve"> in an in vitro test;</w:t>
      </w:r>
    </w:p>
    <w:p w:rsidR="00F0433B" w:rsidRPr="00F22702" w:rsidRDefault="00F0433B" w:rsidP="00F0433B">
      <w:pPr>
        <w:tabs>
          <w:tab w:val="left" w:pos="624"/>
          <w:tab w:val="left" w:pos="1247"/>
          <w:tab w:val="left" w:pos="1871"/>
          <w:tab w:val="left" w:pos="2495"/>
        </w:tabs>
        <w:ind w:left="3119"/>
        <w:rPr>
          <w:color w:val="000000"/>
          <w:lang w:val="en-US"/>
        </w:rPr>
      </w:pPr>
      <w:r w:rsidRPr="002E764E" w:rsidDel="00E32262">
        <w:rPr>
          <w:color w:val="000000"/>
        </w:rPr>
        <w:tab/>
      </w:r>
      <w:r w:rsidRPr="002E764E">
        <w:rPr>
          <w:color w:val="000000"/>
        </w:rPr>
        <w:t xml:space="preserve">Endocrine effects were also observed by </w:t>
      </w:r>
      <w:proofErr w:type="spellStart"/>
      <w:r w:rsidRPr="002E764E">
        <w:rPr>
          <w:color w:val="000000"/>
        </w:rPr>
        <w:t>Vinggaard</w:t>
      </w:r>
      <w:proofErr w:type="spellEnd"/>
      <w:r w:rsidRPr="002E764E">
        <w:rPr>
          <w:color w:val="000000"/>
        </w:rPr>
        <w:t xml:space="preserve"> </w:t>
      </w:r>
      <w:r w:rsidRPr="00F22702">
        <w:rPr>
          <w:i/>
          <w:color w:val="000000"/>
        </w:rPr>
        <w:t>et al.</w:t>
      </w:r>
      <w:r w:rsidRPr="002E764E">
        <w:rPr>
          <w:color w:val="000000"/>
        </w:rPr>
        <w:t xml:space="preserve"> </w:t>
      </w:r>
      <w:r w:rsidRPr="00F22702">
        <w:rPr>
          <w:color w:val="000000"/>
          <w:lang w:val="fr-CH"/>
        </w:rPr>
        <w:t>(2000) (</w:t>
      </w:r>
      <w:proofErr w:type="spellStart"/>
      <w:r w:rsidRPr="00F22702">
        <w:rPr>
          <w:color w:val="000000"/>
          <w:lang w:val="fr-CH"/>
        </w:rPr>
        <w:t>Ref</w:t>
      </w:r>
      <w:proofErr w:type="spellEnd"/>
      <w:r w:rsidRPr="00F22702">
        <w:rPr>
          <w:color w:val="000000"/>
          <w:lang w:val="fr-CH"/>
        </w:rPr>
        <w:t>. 17)</w:t>
      </w:r>
      <w:r w:rsidRPr="002E764E">
        <w:rPr>
          <w:color w:val="000000"/>
          <w:lang w:val="fr-CH"/>
        </w:rPr>
        <w:t>,</w:t>
      </w:r>
      <w:r w:rsidRPr="00F22702">
        <w:rPr>
          <w:color w:val="000000"/>
          <w:lang w:val="fr-CH"/>
        </w:rPr>
        <w:t xml:space="preserve"> </w:t>
      </w:r>
      <w:proofErr w:type="spellStart"/>
      <w:r w:rsidRPr="00F22702">
        <w:rPr>
          <w:color w:val="000000"/>
          <w:lang w:val="fr-CH"/>
        </w:rPr>
        <w:t>Okubo</w:t>
      </w:r>
      <w:proofErr w:type="spellEnd"/>
      <w:r w:rsidRPr="00F22702">
        <w:rPr>
          <w:color w:val="000000"/>
          <w:lang w:val="fr-CH"/>
        </w:rPr>
        <w:t xml:space="preserve"> </w:t>
      </w:r>
      <w:r w:rsidRPr="00F22702">
        <w:rPr>
          <w:i/>
          <w:color w:val="000000"/>
          <w:lang w:val="fr-CH"/>
        </w:rPr>
        <w:t>et al</w:t>
      </w:r>
      <w:proofErr w:type="gramStart"/>
      <w:r w:rsidRPr="00F22702">
        <w:rPr>
          <w:i/>
          <w:color w:val="000000"/>
          <w:lang w:val="fr-CH"/>
        </w:rPr>
        <w:t>.</w:t>
      </w:r>
      <w:r w:rsidRPr="00F22702">
        <w:rPr>
          <w:color w:val="000000"/>
          <w:lang w:val="fr-BE"/>
        </w:rPr>
        <w:t>(</w:t>
      </w:r>
      <w:proofErr w:type="gramEnd"/>
      <w:r w:rsidRPr="00F22702">
        <w:rPr>
          <w:color w:val="000000"/>
          <w:lang w:val="fr-BE"/>
        </w:rPr>
        <w:t>2004) (</w:t>
      </w:r>
      <w:proofErr w:type="spellStart"/>
      <w:r w:rsidRPr="00F22702">
        <w:rPr>
          <w:color w:val="000000"/>
          <w:lang w:val="fr-BE"/>
        </w:rPr>
        <w:t>Ref</w:t>
      </w:r>
      <w:proofErr w:type="spellEnd"/>
      <w:r w:rsidRPr="00F22702">
        <w:rPr>
          <w:color w:val="000000"/>
          <w:lang w:val="fr-BE"/>
        </w:rPr>
        <w:t xml:space="preserve">. 18), </w:t>
      </w:r>
      <w:proofErr w:type="spellStart"/>
      <w:r w:rsidRPr="00F22702">
        <w:rPr>
          <w:color w:val="000000"/>
          <w:lang w:val="fr-BE"/>
        </w:rPr>
        <w:t>Hoekstra</w:t>
      </w:r>
      <w:proofErr w:type="spellEnd"/>
      <w:r w:rsidRPr="00F22702">
        <w:rPr>
          <w:color w:val="000000"/>
          <w:lang w:val="fr-BE"/>
        </w:rPr>
        <w:t xml:space="preserve"> </w:t>
      </w:r>
      <w:r w:rsidRPr="00F22702">
        <w:rPr>
          <w:i/>
          <w:color w:val="000000"/>
          <w:lang w:val="fr-BE"/>
        </w:rPr>
        <w:t>et al.</w:t>
      </w:r>
      <w:r w:rsidRPr="00F22702">
        <w:rPr>
          <w:color w:val="000000"/>
          <w:lang w:val="fr-BE"/>
        </w:rPr>
        <w:t xml:space="preserve"> </w:t>
      </w:r>
      <w:r w:rsidRPr="00F22702">
        <w:rPr>
          <w:color w:val="000000"/>
          <w:lang w:val="en-US"/>
        </w:rPr>
        <w:t xml:space="preserve">(2006) (Ref. 19) and </w:t>
      </w:r>
      <w:proofErr w:type="spellStart"/>
      <w:r w:rsidRPr="00F22702">
        <w:rPr>
          <w:color w:val="000000"/>
          <w:lang w:val="en-US"/>
        </w:rPr>
        <w:t>Thiel</w:t>
      </w:r>
      <w:proofErr w:type="spellEnd"/>
      <w:r w:rsidRPr="00F22702">
        <w:rPr>
          <w:color w:val="000000"/>
          <w:lang w:val="en-US"/>
        </w:rPr>
        <w:t xml:space="preserve"> </w:t>
      </w:r>
      <w:r w:rsidRPr="00F22702">
        <w:rPr>
          <w:i/>
          <w:color w:val="000000"/>
          <w:lang w:val="en-US"/>
        </w:rPr>
        <w:t>et al.</w:t>
      </w:r>
      <w:r w:rsidRPr="00F22702">
        <w:rPr>
          <w:color w:val="000000"/>
          <w:lang w:val="en-US"/>
        </w:rPr>
        <w:t xml:space="preserve"> (2011) (Ref. 20</w:t>
      </w:r>
      <w:bookmarkStart w:id="0" w:name="_GoBack"/>
      <w:bookmarkEnd w:id="0"/>
      <w:r w:rsidRPr="00F22702">
        <w:rPr>
          <w:color w:val="000000"/>
          <w:lang w:val="en-US"/>
        </w:rPr>
        <w:t>).</w:t>
      </w:r>
    </w:p>
    <w:p w:rsidR="00F0433B" w:rsidRPr="002E764E" w:rsidRDefault="00F0433B" w:rsidP="00F0433B">
      <w:pPr>
        <w:tabs>
          <w:tab w:val="left" w:pos="624"/>
          <w:tab w:val="left" w:pos="1247"/>
          <w:tab w:val="left" w:pos="1871"/>
          <w:tab w:val="left" w:pos="2495"/>
        </w:tabs>
        <w:ind w:left="3119" w:hanging="624"/>
      </w:pPr>
      <w:r w:rsidRPr="002E764E">
        <w:t xml:space="preserve">There is sufficient evidence that </w:t>
      </w:r>
      <w:proofErr w:type="spellStart"/>
      <w:r w:rsidRPr="002E764E">
        <w:t>dicofol</w:t>
      </w:r>
      <w:proofErr w:type="spellEnd"/>
      <w:r w:rsidRPr="002E764E">
        <w:t xml:space="preserve"> meets the criterion on adverse effects;</w:t>
      </w:r>
    </w:p>
    <w:p w:rsidR="00F0433B" w:rsidRPr="002E764E" w:rsidRDefault="00F0433B" w:rsidP="00F0433B">
      <w:pPr>
        <w:tabs>
          <w:tab w:val="right" w:pos="851"/>
          <w:tab w:val="left" w:pos="1247"/>
          <w:tab w:val="left" w:pos="1814"/>
          <w:tab w:val="left" w:pos="2381"/>
          <w:tab w:val="left" w:pos="2948"/>
          <w:tab w:val="left" w:pos="3515"/>
          <w:tab w:val="left" w:pos="4082"/>
        </w:tabs>
        <w:suppressAutoHyphens/>
        <w:spacing w:before="80"/>
        <w:ind w:left="1247" w:right="284" w:hanging="1247"/>
        <w:rPr>
          <w:b/>
          <w:sz w:val="24"/>
          <w:szCs w:val="24"/>
          <w:lang w:val="en-US"/>
        </w:rPr>
      </w:pPr>
      <w:r w:rsidRPr="002E764E">
        <w:rPr>
          <w:b/>
          <w:sz w:val="24"/>
          <w:szCs w:val="24"/>
          <w:lang w:val="en-US"/>
        </w:rPr>
        <w:tab/>
        <w:t xml:space="preserve">C. </w:t>
      </w:r>
      <w:r w:rsidRPr="002E764E">
        <w:rPr>
          <w:b/>
          <w:sz w:val="24"/>
          <w:szCs w:val="24"/>
          <w:lang w:val="en-US"/>
        </w:rPr>
        <w:tab/>
        <w:t>Conclusion</w:t>
      </w:r>
    </w:p>
    <w:p w:rsidR="00F0433B" w:rsidRPr="002E764E" w:rsidRDefault="00F0433B" w:rsidP="00F0433B">
      <w:pPr>
        <w:tabs>
          <w:tab w:val="left" w:pos="624"/>
          <w:tab w:val="left" w:pos="1247"/>
          <w:tab w:val="left" w:pos="1871"/>
          <w:tab w:val="left" w:pos="2495"/>
        </w:tabs>
        <w:ind w:left="1247"/>
      </w:pPr>
      <w:r w:rsidRPr="002E764E">
        <w:t xml:space="preserve">4. </w:t>
      </w:r>
      <w:r w:rsidRPr="002E764E">
        <w:tab/>
        <w:t xml:space="preserve">The Committee concluded that </w:t>
      </w:r>
      <w:proofErr w:type="spellStart"/>
      <w:r w:rsidRPr="002E764E">
        <w:t>dicofol</w:t>
      </w:r>
      <w:proofErr w:type="spellEnd"/>
      <w:r w:rsidRPr="002E764E">
        <w:t xml:space="preserve"> me</w:t>
      </w:r>
      <w:r>
        <w:t>t</w:t>
      </w:r>
      <w:r w:rsidRPr="002E764E">
        <w:t xml:space="preserve"> the screening criteria specified in Annex D.</w:t>
      </w:r>
    </w:p>
    <w:p w:rsidR="00F0433B" w:rsidRPr="002E764E" w:rsidRDefault="00F0433B" w:rsidP="00F0433B">
      <w:pPr>
        <w:keepNext/>
        <w:keepLines/>
        <w:tabs>
          <w:tab w:val="left" w:pos="624"/>
          <w:tab w:val="left" w:pos="1247"/>
          <w:tab w:val="left" w:pos="1871"/>
          <w:tab w:val="left" w:pos="2495"/>
        </w:tabs>
        <w:ind w:left="624"/>
        <w:rPr>
          <w:b/>
          <w:bCs/>
          <w:i/>
          <w:sz w:val="24"/>
          <w:szCs w:val="24"/>
        </w:rPr>
      </w:pPr>
      <w:r w:rsidRPr="002E764E">
        <w:rPr>
          <w:b/>
          <w:bCs/>
          <w:i/>
          <w:sz w:val="24"/>
          <w:szCs w:val="24"/>
        </w:rPr>
        <w:lastRenderedPageBreak/>
        <w:t>References</w:t>
      </w:r>
    </w:p>
    <w:p w:rsidR="00F0433B" w:rsidRPr="002E764E" w:rsidRDefault="00F0433B" w:rsidP="00F0433B">
      <w:pPr>
        <w:keepNext/>
        <w:keepLines/>
        <w:numPr>
          <w:ilvl w:val="0"/>
          <w:numId w:val="1"/>
        </w:numPr>
        <w:tabs>
          <w:tab w:val="left" w:pos="624"/>
        </w:tabs>
        <w:snapToGrid w:val="0"/>
        <w:ind w:left="1871" w:hanging="624"/>
      </w:pPr>
      <w:proofErr w:type="spellStart"/>
      <w:r w:rsidRPr="00F22702">
        <w:t>Belfroid</w:t>
      </w:r>
      <w:proofErr w:type="spellEnd"/>
      <w:r w:rsidRPr="00F22702">
        <w:t xml:space="preserve"> A. </w:t>
      </w:r>
      <w:r w:rsidRPr="00F22702">
        <w:rPr>
          <w:i/>
        </w:rPr>
        <w:t>et al.</w:t>
      </w:r>
      <w:r w:rsidRPr="00F22702">
        <w:t xml:space="preserve"> (2005). </w:t>
      </w:r>
      <w:r w:rsidRPr="002E764E">
        <w:t xml:space="preserve">Addendum to the risk profile of </w:t>
      </w:r>
      <w:proofErr w:type="spellStart"/>
      <w:r w:rsidRPr="002E764E">
        <w:t>Dicofol</w:t>
      </w:r>
      <w:proofErr w:type="spellEnd"/>
      <w:r w:rsidRPr="002E764E">
        <w:t xml:space="preserve">. Royal </w:t>
      </w:r>
      <w:proofErr w:type="spellStart"/>
      <w:r w:rsidRPr="002E764E">
        <w:t>Haskoning</w:t>
      </w:r>
      <w:proofErr w:type="spellEnd"/>
      <w:r w:rsidRPr="002E764E">
        <w:t xml:space="preserve"> report 9R5744.01/R0007/ABE/CKV/</w:t>
      </w:r>
      <w:proofErr w:type="spellStart"/>
      <w:r w:rsidRPr="002E764E">
        <w:t>Nijm</w:t>
      </w:r>
      <w:proofErr w:type="spellEnd"/>
      <w:r w:rsidRPr="002E764E">
        <w:t>.</w:t>
      </w:r>
    </w:p>
    <w:p w:rsidR="00F0433B" w:rsidRPr="002E764E" w:rsidRDefault="00F0433B" w:rsidP="00F0433B">
      <w:pPr>
        <w:keepNext/>
        <w:keepLines/>
        <w:numPr>
          <w:ilvl w:val="0"/>
          <w:numId w:val="1"/>
        </w:numPr>
        <w:tabs>
          <w:tab w:val="left" w:pos="624"/>
        </w:tabs>
        <w:snapToGrid w:val="0"/>
        <w:ind w:left="1871" w:hanging="624"/>
      </w:pPr>
      <w:proofErr w:type="spellStart"/>
      <w:r w:rsidRPr="002E764E">
        <w:t>Belfroid</w:t>
      </w:r>
      <w:proofErr w:type="spellEnd"/>
      <w:r w:rsidRPr="002E764E">
        <w:t xml:space="preserve"> A, </w:t>
      </w:r>
      <w:proofErr w:type="spellStart"/>
      <w:r w:rsidRPr="002E764E">
        <w:t>Schoep</w:t>
      </w:r>
      <w:proofErr w:type="spellEnd"/>
      <w:r w:rsidRPr="002E764E">
        <w:t xml:space="preserve">, P. (2009). Second addendum to the risk profile of </w:t>
      </w:r>
      <w:proofErr w:type="spellStart"/>
      <w:r w:rsidRPr="002E764E">
        <w:t>Dicofol</w:t>
      </w:r>
      <w:proofErr w:type="spellEnd"/>
      <w:r w:rsidRPr="002E764E">
        <w:t xml:space="preserve">. Royal </w:t>
      </w:r>
      <w:proofErr w:type="spellStart"/>
      <w:r w:rsidRPr="002E764E">
        <w:t>Haskoning</w:t>
      </w:r>
      <w:proofErr w:type="spellEnd"/>
      <w:r w:rsidRPr="002E764E">
        <w:t xml:space="preserve"> report 9T7379.01/R0003//</w:t>
      </w:r>
      <w:proofErr w:type="spellStart"/>
      <w:r w:rsidRPr="002E764E">
        <w:t>Nijm</w:t>
      </w:r>
      <w:proofErr w:type="spellEnd"/>
      <w:r w:rsidRPr="002E764E">
        <w:t>.</w:t>
      </w:r>
    </w:p>
    <w:p w:rsidR="00F0433B" w:rsidRPr="002E764E" w:rsidRDefault="00F0433B" w:rsidP="00F0433B">
      <w:pPr>
        <w:keepNext/>
        <w:keepLines/>
        <w:numPr>
          <w:ilvl w:val="0"/>
          <w:numId w:val="1"/>
        </w:numPr>
        <w:tabs>
          <w:tab w:val="left" w:pos="624"/>
        </w:tabs>
        <w:snapToGrid w:val="0"/>
        <w:ind w:left="1871" w:hanging="624"/>
      </w:pPr>
      <w:r w:rsidRPr="002E764E">
        <w:t>EPA RED (1998). United States Environment</w:t>
      </w:r>
      <w:r>
        <w:t>al</w:t>
      </w:r>
      <w:r w:rsidRPr="002E764E">
        <w:t xml:space="preserve"> Protection Agency </w:t>
      </w:r>
      <w:proofErr w:type="spellStart"/>
      <w:r>
        <w:t>r</w:t>
      </w:r>
      <w:r w:rsidRPr="002E764E">
        <w:t>eregistration</w:t>
      </w:r>
      <w:proofErr w:type="spellEnd"/>
      <w:r w:rsidRPr="002E764E">
        <w:t xml:space="preserve"> </w:t>
      </w:r>
      <w:r>
        <w:t>e</w:t>
      </w:r>
      <w:r w:rsidRPr="002E764E">
        <w:t xml:space="preserve">ligibility </w:t>
      </w:r>
      <w:r>
        <w:t>decision</w:t>
      </w:r>
      <w:r w:rsidRPr="002E764E">
        <w:t xml:space="preserve"> for </w:t>
      </w:r>
      <w:proofErr w:type="spellStart"/>
      <w:r w:rsidRPr="002E764E">
        <w:t>dicofol</w:t>
      </w:r>
      <w:proofErr w:type="spellEnd"/>
      <w:r w:rsidRPr="002E764E">
        <w:t xml:space="preserve">. Available at: </w:t>
      </w:r>
      <w:hyperlink r:id="rId5" w:history="1">
        <w:r w:rsidRPr="002E764E">
          <w:t>http://www.epa.gov/pesticides/reregistration/REDs/0021red.pdf</w:t>
        </w:r>
      </w:hyperlink>
      <w:r w:rsidRPr="002E764E">
        <w:rPr>
          <w:sz w:val="18"/>
        </w:rPr>
        <w:t>.</w:t>
      </w:r>
    </w:p>
    <w:p w:rsidR="00F0433B" w:rsidRPr="002E764E" w:rsidRDefault="00F0433B" w:rsidP="00F0433B">
      <w:pPr>
        <w:keepNext/>
        <w:keepLines/>
        <w:numPr>
          <w:ilvl w:val="0"/>
          <w:numId w:val="1"/>
        </w:numPr>
        <w:tabs>
          <w:tab w:val="left" w:pos="624"/>
        </w:tabs>
        <w:snapToGrid w:val="0"/>
        <w:ind w:left="1871" w:hanging="624"/>
      </w:pPr>
      <w:r w:rsidRPr="002E764E">
        <w:t>OECD (1995). Final report on the OECD pilot project to compare pesticide data reviews; OECD Environment Monographs No.108; http://www.oecd.org/env/ehs/pesticides-biocides/32478823.pdf.</w:t>
      </w:r>
    </w:p>
    <w:p w:rsidR="00F0433B" w:rsidRPr="002E764E" w:rsidRDefault="00F0433B" w:rsidP="00F0433B">
      <w:pPr>
        <w:numPr>
          <w:ilvl w:val="0"/>
          <w:numId w:val="1"/>
        </w:numPr>
        <w:tabs>
          <w:tab w:val="left" w:pos="624"/>
        </w:tabs>
        <w:snapToGrid w:val="0"/>
        <w:ind w:left="1871" w:hanging="624"/>
        <w:rPr>
          <w:color w:val="000000"/>
        </w:rPr>
      </w:pPr>
      <w:r w:rsidRPr="00F22702">
        <w:rPr>
          <w:color w:val="000000"/>
          <w:lang w:val="fr-CH"/>
        </w:rPr>
        <w:t xml:space="preserve">Kelly B.C. </w:t>
      </w:r>
      <w:r w:rsidRPr="00F22702">
        <w:rPr>
          <w:i/>
          <w:color w:val="000000"/>
          <w:lang w:val="fr-CH"/>
        </w:rPr>
        <w:t>et al.</w:t>
      </w:r>
      <w:r w:rsidRPr="00F22702">
        <w:rPr>
          <w:color w:val="000000"/>
          <w:lang w:val="fr-CH"/>
        </w:rPr>
        <w:t xml:space="preserve"> </w:t>
      </w:r>
      <w:r w:rsidRPr="00F22702">
        <w:rPr>
          <w:color w:val="000000"/>
          <w:lang w:val="en-US"/>
        </w:rPr>
        <w:t xml:space="preserve">(2007). </w:t>
      </w:r>
      <w:r w:rsidRPr="002E764E">
        <w:rPr>
          <w:color w:val="000000"/>
        </w:rPr>
        <w:t xml:space="preserve">Food Web–Specific </w:t>
      </w:r>
      <w:proofErr w:type="spellStart"/>
      <w:r w:rsidRPr="002E764E">
        <w:rPr>
          <w:color w:val="000000"/>
        </w:rPr>
        <w:t>Biomagnification</w:t>
      </w:r>
      <w:proofErr w:type="spellEnd"/>
      <w:r w:rsidRPr="002E764E">
        <w:rPr>
          <w:color w:val="000000"/>
        </w:rPr>
        <w:t xml:space="preserve"> of Persistent Organic Pollutants. Science 317, 236 (2007); DOI: 10.1126/science.1138275.</w:t>
      </w:r>
    </w:p>
    <w:p w:rsidR="00F0433B" w:rsidRPr="002E764E" w:rsidRDefault="00F0433B" w:rsidP="00F0433B">
      <w:pPr>
        <w:numPr>
          <w:ilvl w:val="0"/>
          <w:numId w:val="1"/>
        </w:numPr>
        <w:tabs>
          <w:tab w:val="left" w:pos="624"/>
        </w:tabs>
        <w:snapToGrid w:val="0"/>
        <w:ind w:left="1871" w:hanging="624"/>
      </w:pPr>
      <w:proofErr w:type="spellStart"/>
      <w:r w:rsidRPr="002E764E">
        <w:t>Zhong</w:t>
      </w:r>
      <w:proofErr w:type="spellEnd"/>
      <w:r w:rsidRPr="002E764E">
        <w:t xml:space="preserve"> G. </w:t>
      </w:r>
      <w:r w:rsidRPr="002E764E">
        <w:rPr>
          <w:i/>
        </w:rPr>
        <w:t>et al.</w:t>
      </w:r>
      <w:r w:rsidRPr="002E764E">
        <w:t xml:space="preserve"> (2012). Distribution and Air-Sea Exchange of Current-Use Pesticides (CUPs) from East Asia to the High Arctic Ocean. Environmental Science &amp; Technology, 46: 259</w:t>
      </w:r>
      <w:r>
        <w:t>–</w:t>
      </w:r>
      <w:r w:rsidRPr="002E764E">
        <w:t>267.</w:t>
      </w:r>
    </w:p>
    <w:p w:rsidR="00F0433B" w:rsidRPr="002E764E" w:rsidRDefault="00F0433B" w:rsidP="00F0433B">
      <w:pPr>
        <w:numPr>
          <w:ilvl w:val="0"/>
          <w:numId w:val="1"/>
        </w:numPr>
        <w:tabs>
          <w:tab w:val="left" w:pos="624"/>
        </w:tabs>
        <w:snapToGrid w:val="0"/>
        <w:ind w:left="1871" w:hanging="624"/>
      </w:pPr>
      <w:r w:rsidRPr="002E764E">
        <w:t>Liu Y., Liu R.</w:t>
      </w:r>
      <w:r w:rsidRPr="002E764E">
        <w:rPr>
          <w:i/>
        </w:rPr>
        <w:t xml:space="preserve"> </w:t>
      </w:r>
      <w:r w:rsidRPr="002E764E">
        <w:t>(2012). The interaction of α-</w:t>
      </w:r>
      <w:proofErr w:type="spellStart"/>
      <w:r w:rsidRPr="002E764E">
        <w:t>chymotrypsin</w:t>
      </w:r>
      <w:proofErr w:type="spellEnd"/>
      <w:r w:rsidRPr="002E764E">
        <w:t xml:space="preserve"> with one persistent organic pollutant (</w:t>
      </w:r>
      <w:proofErr w:type="spellStart"/>
      <w:r w:rsidRPr="002E764E">
        <w:t>dicofol</w:t>
      </w:r>
      <w:proofErr w:type="spellEnd"/>
      <w:r w:rsidRPr="002E764E">
        <w:t xml:space="preserve">): Spectroscope and molecular </w:t>
      </w:r>
      <w:proofErr w:type="spellStart"/>
      <w:r w:rsidRPr="002E764E">
        <w:t>modeling</w:t>
      </w:r>
      <w:proofErr w:type="spellEnd"/>
      <w:r w:rsidRPr="002E764E">
        <w:t xml:space="preserve"> identification. Food and Chemical Toxicology, 50: 3298</w:t>
      </w:r>
      <w:r w:rsidRPr="002E764E">
        <w:noBreakHyphen/>
        <w:t>3305.</w:t>
      </w:r>
    </w:p>
    <w:p w:rsidR="00F0433B" w:rsidRPr="002E764E" w:rsidRDefault="00F0433B" w:rsidP="00F0433B">
      <w:pPr>
        <w:numPr>
          <w:ilvl w:val="0"/>
          <w:numId w:val="1"/>
        </w:numPr>
        <w:tabs>
          <w:tab w:val="left" w:pos="624"/>
        </w:tabs>
        <w:snapToGrid w:val="0"/>
        <w:ind w:left="1871" w:hanging="624"/>
        <w:rPr>
          <w:lang w:val="es-ES"/>
        </w:rPr>
      </w:pPr>
      <w:r w:rsidRPr="002E764E">
        <w:rPr>
          <w:lang w:val="es-ES"/>
        </w:rPr>
        <w:t xml:space="preserve">JMPR (2011). </w:t>
      </w:r>
      <w:proofErr w:type="spellStart"/>
      <w:r w:rsidRPr="002E764E">
        <w:rPr>
          <w:lang w:val="es-ES"/>
        </w:rPr>
        <w:t>Joint</w:t>
      </w:r>
      <w:proofErr w:type="spellEnd"/>
      <w:r w:rsidRPr="002E764E">
        <w:rPr>
          <w:lang w:val="es-ES"/>
        </w:rPr>
        <w:t xml:space="preserve"> FAO/WHO Meeting </w:t>
      </w:r>
      <w:proofErr w:type="spellStart"/>
      <w:r w:rsidRPr="002E764E">
        <w:rPr>
          <w:lang w:val="es-ES"/>
        </w:rPr>
        <w:t>on</w:t>
      </w:r>
      <w:proofErr w:type="spellEnd"/>
      <w:r w:rsidRPr="002E764E">
        <w:rPr>
          <w:lang w:val="es-ES"/>
        </w:rPr>
        <w:t xml:space="preserve"> </w:t>
      </w:r>
      <w:proofErr w:type="spellStart"/>
      <w:r w:rsidRPr="002E764E">
        <w:rPr>
          <w:lang w:val="es-ES"/>
        </w:rPr>
        <w:t>Pesticide</w:t>
      </w:r>
      <w:proofErr w:type="spellEnd"/>
      <w:r w:rsidRPr="002E764E">
        <w:rPr>
          <w:lang w:val="es-ES"/>
        </w:rPr>
        <w:t xml:space="preserve"> </w:t>
      </w:r>
      <w:proofErr w:type="spellStart"/>
      <w:r w:rsidRPr="002E764E">
        <w:rPr>
          <w:lang w:val="es-ES"/>
        </w:rPr>
        <w:t>Residues</w:t>
      </w:r>
      <w:proofErr w:type="spellEnd"/>
      <w:r w:rsidRPr="002E764E">
        <w:rPr>
          <w:lang w:val="es-ES"/>
        </w:rPr>
        <w:t xml:space="preserve">, </w:t>
      </w:r>
      <w:proofErr w:type="spellStart"/>
      <w:r w:rsidRPr="002E764E">
        <w:rPr>
          <w:lang w:val="es-ES"/>
        </w:rPr>
        <w:t>Dicofol</w:t>
      </w:r>
      <w:proofErr w:type="spellEnd"/>
      <w:r w:rsidRPr="002E764E">
        <w:rPr>
          <w:lang w:val="es-ES"/>
        </w:rPr>
        <w:t xml:space="preserve"> (026), http://www.fao.org/fileadmin/templates/agphome/documents/Pests_Pesticides/JMPR/Report11/Dicofol.pdf.</w:t>
      </w:r>
    </w:p>
    <w:p w:rsidR="00F0433B" w:rsidRPr="002E764E" w:rsidRDefault="00F0433B" w:rsidP="00F0433B">
      <w:pPr>
        <w:numPr>
          <w:ilvl w:val="0"/>
          <w:numId w:val="1"/>
        </w:numPr>
        <w:tabs>
          <w:tab w:val="left" w:pos="624"/>
        </w:tabs>
        <w:snapToGrid w:val="0"/>
        <w:ind w:left="1871" w:hanging="624"/>
      </w:pPr>
      <w:r w:rsidRPr="002E764E">
        <w:t xml:space="preserve">OSPAR (2002). OSPAR Commission, Background Document on </w:t>
      </w:r>
      <w:proofErr w:type="spellStart"/>
      <w:r w:rsidRPr="002E764E">
        <w:t>Dicofol</w:t>
      </w:r>
      <w:proofErr w:type="spellEnd"/>
      <w:r w:rsidRPr="002E764E">
        <w:t>, 2002. Hazardous Substances Series. ISBN 0 946956 97 9.</w:t>
      </w:r>
    </w:p>
    <w:p w:rsidR="00F0433B" w:rsidRPr="002E764E" w:rsidRDefault="00F0433B" w:rsidP="00F0433B">
      <w:pPr>
        <w:numPr>
          <w:ilvl w:val="0"/>
          <w:numId w:val="1"/>
        </w:numPr>
        <w:tabs>
          <w:tab w:val="left" w:pos="624"/>
        </w:tabs>
        <w:snapToGrid w:val="0"/>
        <w:ind w:left="1871" w:hanging="624"/>
      </w:pPr>
      <w:proofErr w:type="spellStart"/>
      <w:r w:rsidRPr="00F22702">
        <w:rPr>
          <w:lang w:val="fr-CH"/>
        </w:rPr>
        <w:t>MacLellan</w:t>
      </w:r>
      <w:proofErr w:type="spellEnd"/>
      <w:r w:rsidRPr="00F22702">
        <w:rPr>
          <w:lang w:val="fr-CH"/>
        </w:rPr>
        <w:t xml:space="preserve"> K.N. </w:t>
      </w:r>
      <w:r w:rsidRPr="00F22702">
        <w:rPr>
          <w:i/>
          <w:lang w:val="fr-CH"/>
        </w:rPr>
        <w:t xml:space="preserve">et al. </w:t>
      </w:r>
      <w:r w:rsidRPr="002E764E">
        <w:t xml:space="preserve">(1996). Reproductive and morphological effects of </w:t>
      </w:r>
      <w:proofErr w:type="spellStart"/>
      <w:r w:rsidRPr="00F22702">
        <w:rPr>
          <w:i/>
        </w:rPr>
        <w:t>o</w:t>
      </w:r>
      <w:proofErr w:type="gramStart"/>
      <w:r w:rsidRPr="00F22702">
        <w:rPr>
          <w:i/>
        </w:rPr>
        <w:t>,p’</w:t>
      </w:r>
      <w:proofErr w:type="gramEnd"/>
      <w:r w:rsidRPr="002E764E">
        <w:t>-dicofol</w:t>
      </w:r>
      <w:proofErr w:type="spellEnd"/>
      <w:r w:rsidRPr="002E764E">
        <w:t xml:space="preserve"> on two generations of captive American kestrels. Arch. Environ. </w:t>
      </w:r>
      <w:proofErr w:type="spellStart"/>
      <w:r w:rsidRPr="002E764E">
        <w:t>Contam</w:t>
      </w:r>
      <w:proofErr w:type="spellEnd"/>
      <w:r w:rsidRPr="002E764E">
        <w:t xml:space="preserve">. </w:t>
      </w:r>
      <w:proofErr w:type="spellStart"/>
      <w:r w:rsidRPr="002E764E">
        <w:t>Toxicol</w:t>
      </w:r>
      <w:proofErr w:type="spellEnd"/>
      <w:r w:rsidRPr="002E764E">
        <w:t>. 30, 364</w:t>
      </w:r>
      <w:r>
        <w:t>–</w:t>
      </w:r>
      <w:r w:rsidRPr="002E764E">
        <w:t>372.</w:t>
      </w:r>
    </w:p>
    <w:p w:rsidR="00F0433B" w:rsidRPr="002E764E" w:rsidRDefault="00F0433B" w:rsidP="00F0433B">
      <w:pPr>
        <w:numPr>
          <w:ilvl w:val="0"/>
          <w:numId w:val="1"/>
        </w:numPr>
        <w:tabs>
          <w:tab w:val="left" w:pos="624"/>
        </w:tabs>
        <w:snapToGrid w:val="0"/>
        <w:ind w:left="1871" w:hanging="624"/>
      </w:pPr>
      <w:proofErr w:type="spellStart"/>
      <w:r w:rsidRPr="00F22702">
        <w:rPr>
          <w:lang w:val="fr-CH"/>
        </w:rPr>
        <w:t>Wiemeyer</w:t>
      </w:r>
      <w:proofErr w:type="spellEnd"/>
      <w:r w:rsidRPr="00F22702">
        <w:rPr>
          <w:lang w:val="fr-CH"/>
        </w:rPr>
        <w:t xml:space="preserve"> S.N. </w:t>
      </w:r>
      <w:r w:rsidRPr="00F22702">
        <w:rPr>
          <w:i/>
          <w:lang w:val="fr-CH"/>
        </w:rPr>
        <w:t>et al.</w:t>
      </w:r>
      <w:r w:rsidRPr="00F22702">
        <w:rPr>
          <w:lang w:val="fr-CH"/>
        </w:rPr>
        <w:t xml:space="preserve"> </w:t>
      </w:r>
      <w:r w:rsidRPr="002E764E">
        <w:t xml:space="preserve">(2001). </w:t>
      </w:r>
      <w:proofErr w:type="spellStart"/>
      <w:r w:rsidRPr="002E764E">
        <w:t>Dicofol</w:t>
      </w:r>
      <w:proofErr w:type="spellEnd"/>
      <w:r w:rsidRPr="002E764E">
        <w:t xml:space="preserve"> residues in eggs and carcasses of captive American kestrels. Environ. </w:t>
      </w:r>
      <w:proofErr w:type="spellStart"/>
      <w:r w:rsidRPr="002E764E">
        <w:t>Toxicol</w:t>
      </w:r>
      <w:proofErr w:type="spellEnd"/>
      <w:r w:rsidRPr="002E764E">
        <w:t>. Chem. 20: 2848</w:t>
      </w:r>
      <w:r>
        <w:t>–</w:t>
      </w:r>
      <w:r w:rsidRPr="002E764E">
        <w:t>2851.</w:t>
      </w:r>
    </w:p>
    <w:p w:rsidR="00F0433B" w:rsidRPr="002E764E" w:rsidRDefault="00F0433B" w:rsidP="00F0433B">
      <w:pPr>
        <w:numPr>
          <w:ilvl w:val="0"/>
          <w:numId w:val="1"/>
        </w:numPr>
        <w:tabs>
          <w:tab w:val="left" w:pos="624"/>
        </w:tabs>
        <w:snapToGrid w:val="0"/>
        <w:ind w:left="1871" w:hanging="624"/>
      </w:pPr>
      <w:r w:rsidRPr="002E764E">
        <w:t xml:space="preserve">Shi Y.J. </w:t>
      </w:r>
      <w:r w:rsidRPr="00F22702">
        <w:rPr>
          <w:i/>
        </w:rPr>
        <w:t>et al.</w:t>
      </w:r>
      <w:r w:rsidRPr="002E764E">
        <w:t xml:space="preserve"> (2006). Acute and subtle toxicological effects of DDT and </w:t>
      </w:r>
      <w:proofErr w:type="spellStart"/>
      <w:r w:rsidRPr="002E764E">
        <w:t>dicofol</w:t>
      </w:r>
      <w:proofErr w:type="spellEnd"/>
      <w:r w:rsidRPr="002E764E">
        <w:t xml:space="preserve"> on earthworms (</w:t>
      </w:r>
      <w:proofErr w:type="spellStart"/>
      <w:r w:rsidRPr="00F22702">
        <w:rPr>
          <w:i/>
        </w:rPr>
        <w:t>Eisenia</w:t>
      </w:r>
      <w:proofErr w:type="spellEnd"/>
      <w:r w:rsidRPr="00F22702">
        <w:rPr>
          <w:i/>
        </w:rPr>
        <w:t xml:space="preserve"> </w:t>
      </w:r>
      <w:proofErr w:type="spellStart"/>
      <w:r w:rsidRPr="00F22702">
        <w:rPr>
          <w:i/>
        </w:rPr>
        <w:t>foetida</w:t>
      </w:r>
      <w:proofErr w:type="spellEnd"/>
      <w:r w:rsidRPr="002E764E">
        <w:t xml:space="preserve">). </w:t>
      </w:r>
      <w:proofErr w:type="spellStart"/>
      <w:r w:rsidRPr="002E764E">
        <w:t>Acta</w:t>
      </w:r>
      <w:proofErr w:type="spellEnd"/>
      <w:r w:rsidRPr="002E764E">
        <w:t xml:space="preserve"> Scientiae </w:t>
      </w:r>
      <w:proofErr w:type="spellStart"/>
      <w:r w:rsidRPr="002E764E">
        <w:t>Circumstantiae</w:t>
      </w:r>
      <w:proofErr w:type="spellEnd"/>
      <w:r w:rsidRPr="002E764E">
        <w:t>, 26 (5): 851</w:t>
      </w:r>
      <w:r>
        <w:t>–</w:t>
      </w:r>
      <w:r w:rsidRPr="002E764E">
        <w:t>857.</w:t>
      </w:r>
    </w:p>
    <w:p w:rsidR="00F0433B" w:rsidRPr="002E764E" w:rsidRDefault="00F0433B" w:rsidP="00F0433B">
      <w:pPr>
        <w:numPr>
          <w:ilvl w:val="0"/>
          <w:numId w:val="1"/>
        </w:numPr>
        <w:tabs>
          <w:tab w:val="left" w:pos="624"/>
        </w:tabs>
        <w:snapToGrid w:val="0"/>
        <w:ind w:left="1871" w:hanging="624"/>
      </w:pPr>
      <w:r w:rsidRPr="002E764E">
        <w:rPr>
          <w:lang w:val="es-ES"/>
        </w:rPr>
        <w:t xml:space="preserve">Lavado R. </w:t>
      </w:r>
      <w:r w:rsidRPr="00F22702">
        <w:rPr>
          <w:i/>
          <w:lang w:val="es-ES"/>
        </w:rPr>
        <w:t>et al.</w:t>
      </w:r>
      <w:r w:rsidRPr="002E764E">
        <w:rPr>
          <w:lang w:val="es-ES"/>
        </w:rPr>
        <w:t xml:space="preserve"> (2004). </w:t>
      </w:r>
      <w:proofErr w:type="spellStart"/>
      <w:r w:rsidRPr="002E764E">
        <w:rPr>
          <w:lang w:val="es-ES"/>
        </w:rPr>
        <w:t>Toxicol</w:t>
      </w:r>
      <w:proofErr w:type="spellEnd"/>
      <w:r w:rsidRPr="002E764E">
        <w:rPr>
          <w:lang w:val="es-ES"/>
        </w:rPr>
        <w:t xml:space="preserve">. </w:t>
      </w:r>
      <w:proofErr w:type="spellStart"/>
      <w:r w:rsidRPr="002E764E">
        <w:rPr>
          <w:lang w:val="es-ES"/>
        </w:rPr>
        <w:t>Appl</w:t>
      </w:r>
      <w:proofErr w:type="spellEnd"/>
      <w:r w:rsidRPr="002E764E">
        <w:rPr>
          <w:lang w:val="es-ES"/>
        </w:rPr>
        <w:t xml:space="preserve">. </w:t>
      </w:r>
      <w:proofErr w:type="spellStart"/>
      <w:r w:rsidRPr="002E764E">
        <w:rPr>
          <w:lang w:val="es-ES"/>
        </w:rPr>
        <w:t>Pharmacol</w:t>
      </w:r>
      <w:proofErr w:type="spellEnd"/>
      <w:r w:rsidRPr="002E764E">
        <w:rPr>
          <w:lang w:val="es-ES"/>
        </w:rPr>
        <w:t xml:space="preserve">. </w:t>
      </w:r>
      <w:r w:rsidRPr="002E764E">
        <w:t>2004 Apr 15; 196(2):247</w:t>
      </w:r>
      <w:r>
        <w:t>–</w:t>
      </w:r>
      <w:r w:rsidRPr="002E764E">
        <w:t>57.</w:t>
      </w:r>
    </w:p>
    <w:p w:rsidR="00F0433B" w:rsidRPr="002E764E" w:rsidRDefault="00F0433B" w:rsidP="00F0433B">
      <w:pPr>
        <w:numPr>
          <w:ilvl w:val="0"/>
          <w:numId w:val="1"/>
        </w:numPr>
        <w:tabs>
          <w:tab w:val="left" w:pos="624"/>
        </w:tabs>
        <w:snapToGrid w:val="0"/>
        <w:ind w:left="1871" w:hanging="624"/>
      </w:pPr>
      <w:proofErr w:type="spellStart"/>
      <w:r w:rsidRPr="002E764E">
        <w:t>Thibaut</w:t>
      </w:r>
      <w:proofErr w:type="spellEnd"/>
      <w:r w:rsidRPr="002E764E">
        <w:t xml:space="preserve"> R., Porte C. (2004). Effects of endocrine disrupters on sex steroid synthesis and metabolism pathways in fish. J Steroid </w:t>
      </w:r>
      <w:proofErr w:type="spellStart"/>
      <w:r w:rsidRPr="002E764E">
        <w:t>Biochem</w:t>
      </w:r>
      <w:proofErr w:type="spellEnd"/>
      <w:r w:rsidRPr="002E764E">
        <w:t xml:space="preserve"> Mol Biol. 2004 Dec; 92(5):485</w:t>
      </w:r>
      <w:r>
        <w:t>–</w:t>
      </w:r>
      <w:r w:rsidRPr="002E764E">
        <w:t>94.</w:t>
      </w:r>
    </w:p>
    <w:p w:rsidR="00F0433B" w:rsidRPr="002E764E" w:rsidRDefault="00F0433B" w:rsidP="00F0433B">
      <w:pPr>
        <w:numPr>
          <w:ilvl w:val="0"/>
          <w:numId w:val="1"/>
        </w:numPr>
        <w:tabs>
          <w:tab w:val="left" w:pos="624"/>
        </w:tabs>
        <w:snapToGrid w:val="0"/>
        <w:ind w:left="1871" w:hanging="624"/>
      </w:pPr>
      <w:proofErr w:type="spellStart"/>
      <w:r w:rsidRPr="00064DE9">
        <w:rPr>
          <w:lang w:val="es-ES"/>
        </w:rPr>
        <w:t>Haeba</w:t>
      </w:r>
      <w:proofErr w:type="spellEnd"/>
      <w:r w:rsidRPr="00064DE9">
        <w:rPr>
          <w:lang w:val="es-ES"/>
        </w:rPr>
        <w:t xml:space="preserve"> M.H. </w:t>
      </w:r>
      <w:r w:rsidRPr="00064DE9">
        <w:rPr>
          <w:i/>
          <w:lang w:val="es-ES"/>
        </w:rPr>
        <w:t>et al.</w:t>
      </w:r>
      <w:r w:rsidRPr="00064DE9">
        <w:rPr>
          <w:lang w:val="es-ES"/>
        </w:rPr>
        <w:t xml:space="preserve"> </w:t>
      </w:r>
      <w:r w:rsidRPr="002E764E">
        <w:t>(2008). Selected Endocrine Disrupting Compounds (</w:t>
      </w:r>
      <w:proofErr w:type="spellStart"/>
      <w:r w:rsidRPr="002E764E">
        <w:t>Vinclozolin</w:t>
      </w:r>
      <w:proofErr w:type="spellEnd"/>
      <w:r w:rsidRPr="002E764E">
        <w:t xml:space="preserve">, </w:t>
      </w:r>
      <w:proofErr w:type="spellStart"/>
      <w:r w:rsidRPr="002E764E">
        <w:t>Flutamide</w:t>
      </w:r>
      <w:proofErr w:type="spellEnd"/>
      <w:r w:rsidRPr="002E764E">
        <w:t xml:space="preserve">, </w:t>
      </w:r>
      <w:proofErr w:type="spellStart"/>
      <w:r w:rsidRPr="002E764E">
        <w:t>Ketoconazole</w:t>
      </w:r>
      <w:proofErr w:type="spellEnd"/>
      <w:r w:rsidRPr="002E764E">
        <w:t xml:space="preserve"> and </w:t>
      </w:r>
      <w:proofErr w:type="spellStart"/>
      <w:r w:rsidRPr="002E764E">
        <w:t>Dicofol</w:t>
      </w:r>
      <w:proofErr w:type="spellEnd"/>
      <w:r w:rsidRPr="002E764E">
        <w:t xml:space="preserve">): Effects on Survival, Occurrence of Males, </w:t>
      </w:r>
      <w:proofErr w:type="gramStart"/>
      <w:r w:rsidRPr="002E764E">
        <w:t>Growth</w:t>
      </w:r>
      <w:proofErr w:type="gramEnd"/>
      <w:r w:rsidRPr="002E764E">
        <w:t xml:space="preserve">, </w:t>
      </w:r>
      <w:proofErr w:type="spellStart"/>
      <w:r w:rsidRPr="002E764E">
        <w:t>Molting</w:t>
      </w:r>
      <w:proofErr w:type="spellEnd"/>
      <w:r w:rsidRPr="002E764E">
        <w:t xml:space="preserve"> and Reproduction of Daphnia magna. Environmental Science and Pollution Research, 15 (3): </w:t>
      </w:r>
      <w:r>
        <w:br/>
      </w:r>
      <w:r w:rsidRPr="002E764E">
        <w:t>222</w:t>
      </w:r>
      <w:r>
        <w:t>–</w:t>
      </w:r>
      <w:r w:rsidRPr="002E764E">
        <w:t>227.</w:t>
      </w:r>
    </w:p>
    <w:p w:rsidR="00F0433B" w:rsidRPr="002E764E" w:rsidRDefault="00F0433B" w:rsidP="00F0433B">
      <w:pPr>
        <w:numPr>
          <w:ilvl w:val="0"/>
          <w:numId w:val="1"/>
        </w:numPr>
        <w:tabs>
          <w:tab w:val="left" w:pos="624"/>
        </w:tabs>
        <w:snapToGrid w:val="0"/>
        <w:ind w:left="1871" w:hanging="624"/>
      </w:pPr>
      <w:r w:rsidRPr="002E764E">
        <w:t xml:space="preserve">Kojima H. </w:t>
      </w:r>
      <w:r w:rsidRPr="00F22702">
        <w:rPr>
          <w:i/>
        </w:rPr>
        <w:t>et al.</w:t>
      </w:r>
      <w:r w:rsidRPr="002E764E">
        <w:t xml:space="preserve"> (2004). Screening for </w:t>
      </w:r>
      <w:proofErr w:type="spellStart"/>
      <w:r w:rsidRPr="002E764E">
        <w:t>estrogen</w:t>
      </w:r>
      <w:proofErr w:type="spellEnd"/>
      <w:r w:rsidRPr="002E764E">
        <w:t xml:space="preserve"> and androgen receptor activities in 200 pesticides by in vitro receptor gene assays using Chinese Hamster ovary cells. Environ. Health </w:t>
      </w:r>
      <w:proofErr w:type="spellStart"/>
      <w:r w:rsidRPr="002E764E">
        <w:t>Perspect</w:t>
      </w:r>
      <w:proofErr w:type="spellEnd"/>
      <w:r w:rsidRPr="002E764E">
        <w:t>. 2004: 112: 524</w:t>
      </w:r>
      <w:r>
        <w:t>–</w:t>
      </w:r>
      <w:r w:rsidRPr="002E764E">
        <w:t>531.</w:t>
      </w:r>
    </w:p>
    <w:p w:rsidR="00F0433B" w:rsidRPr="002E764E" w:rsidRDefault="00F0433B" w:rsidP="00F0433B">
      <w:pPr>
        <w:numPr>
          <w:ilvl w:val="0"/>
          <w:numId w:val="1"/>
        </w:numPr>
        <w:tabs>
          <w:tab w:val="left" w:pos="624"/>
        </w:tabs>
        <w:snapToGrid w:val="0"/>
        <w:ind w:left="1871" w:hanging="624"/>
      </w:pPr>
      <w:proofErr w:type="spellStart"/>
      <w:r w:rsidRPr="002E764E">
        <w:t>Vinggaard</w:t>
      </w:r>
      <w:proofErr w:type="spellEnd"/>
      <w:r w:rsidRPr="002E764E">
        <w:t xml:space="preserve"> A.M. </w:t>
      </w:r>
      <w:r w:rsidRPr="00F22702">
        <w:rPr>
          <w:i/>
        </w:rPr>
        <w:t>et al.</w:t>
      </w:r>
      <w:r w:rsidRPr="002E764E">
        <w:t xml:space="preserve"> (2000). Screening of selected pesticides for inhibition of CYP19 </w:t>
      </w:r>
      <w:proofErr w:type="spellStart"/>
      <w:r w:rsidRPr="002E764E">
        <w:t>aromatase</w:t>
      </w:r>
      <w:proofErr w:type="spellEnd"/>
      <w:r w:rsidRPr="002E764E">
        <w:t xml:space="preserve"> activity in vitro; </w:t>
      </w:r>
      <w:proofErr w:type="spellStart"/>
      <w:r w:rsidRPr="002E764E">
        <w:t>Toxicol</w:t>
      </w:r>
      <w:proofErr w:type="spellEnd"/>
      <w:r w:rsidRPr="002E764E">
        <w:t xml:space="preserve"> </w:t>
      </w:r>
      <w:proofErr w:type="gramStart"/>
      <w:r w:rsidRPr="002E764E">
        <w:t>In</w:t>
      </w:r>
      <w:proofErr w:type="gramEnd"/>
      <w:r w:rsidRPr="002E764E">
        <w:t xml:space="preserve"> Vitro. 2000 Jun; 14(3):227</w:t>
      </w:r>
      <w:r>
        <w:t>–</w:t>
      </w:r>
      <w:r w:rsidRPr="002E764E">
        <w:t>34.</w:t>
      </w:r>
    </w:p>
    <w:p w:rsidR="00F0433B" w:rsidRPr="002E764E" w:rsidRDefault="00F0433B" w:rsidP="00F0433B">
      <w:pPr>
        <w:numPr>
          <w:ilvl w:val="0"/>
          <w:numId w:val="1"/>
        </w:numPr>
        <w:tabs>
          <w:tab w:val="left" w:pos="624"/>
        </w:tabs>
        <w:snapToGrid w:val="0"/>
        <w:ind w:left="1871" w:hanging="624"/>
      </w:pPr>
      <w:r w:rsidRPr="002E764E">
        <w:t xml:space="preserve">Okubo T. </w:t>
      </w:r>
      <w:r w:rsidRPr="00F22702">
        <w:rPr>
          <w:i/>
        </w:rPr>
        <w:t>et al.</w:t>
      </w:r>
      <w:r w:rsidRPr="002E764E">
        <w:t xml:space="preserve"> (2004). Estimation of estrogenic and </w:t>
      </w:r>
      <w:proofErr w:type="spellStart"/>
      <w:r w:rsidRPr="002E764E">
        <w:t>antiestrogenic</w:t>
      </w:r>
      <w:proofErr w:type="spellEnd"/>
      <w:r w:rsidRPr="002E764E">
        <w:t xml:space="preserve"> activities of selected pesticides by MCF-7 cell proliferation assay; Arch. Environ. </w:t>
      </w:r>
      <w:proofErr w:type="spellStart"/>
      <w:r w:rsidRPr="002E764E">
        <w:t>Contam</w:t>
      </w:r>
      <w:proofErr w:type="spellEnd"/>
      <w:r w:rsidRPr="002E764E">
        <w:t xml:space="preserve">. </w:t>
      </w:r>
      <w:proofErr w:type="spellStart"/>
      <w:r w:rsidRPr="002E764E">
        <w:t>Toxicol</w:t>
      </w:r>
      <w:proofErr w:type="spellEnd"/>
      <w:r w:rsidRPr="002E764E">
        <w:t>. 2004 May; 46(4):445</w:t>
      </w:r>
      <w:r w:rsidRPr="002E764E">
        <w:noBreakHyphen/>
        <w:t>53.</w:t>
      </w:r>
    </w:p>
    <w:p w:rsidR="00F0433B" w:rsidRPr="002E764E" w:rsidRDefault="00F0433B" w:rsidP="00F0433B">
      <w:pPr>
        <w:numPr>
          <w:ilvl w:val="0"/>
          <w:numId w:val="1"/>
        </w:numPr>
        <w:tabs>
          <w:tab w:val="left" w:pos="624"/>
        </w:tabs>
        <w:snapToGrid w:val="0"/>
        <w:ind w:left="1871" w:hanging="624"/>
      </w:pPr>
      <w:proofErr w:type="spellStart"/>
      <w:r w:rsidRPr="00F22702">
        <w:rPr>
          <w:lang w:val="fr-CH"/>
        </w:rPr>
        <w:t>Hoe</w:t>
      </w:r>
      <w:r w:rsidRPr="006C0DD6">
        <w:rPr>
          <w:lang w:val="fr-CH"/>
        </w:rPr>
        <w:t>kstra</w:t>
      </w:r>
      <w:proofErr w:type="spellEnd"/>
      <w:r w:rsidRPr="006C0DD6">
        <w:rPr>
          <w:lang w:val="fr-CH"/>
        </w:rPr>
        <w:t xml:space="preserve"> P.F. </w:t>
      </w:r>
      <w:r w:rsidRPr="006C0DD6">
        <w:rPr>
          <w:i/>
          <w:lang w:val="fr-CH"/>
        </w:rPr>
        <w:t>et al.</w:t>
      </w:r>
      <w:r w:rsidRPr="006C0DD6">
        <w:rPr>
          <w:lang w:val="fr-CH"/>
        </w:rPr>
        <w:t xml:space="preserve"> </w:t>
      </w:r>
      <w:r w:rsidRPr="002E764E">
        <w:t xml:space="preserve">(2006). Estrogenic activity of </w:t>
      </w:r>
      <w:proofErr w:type="spellStart"/>
      <w:r w:rsidRPr="002E764E">
        <w:t>dicofol</w:t>
      </w:r>
      <w:proofErr w:type="spellEnd"/>
      <w:r w:rsidRPr="002E764E">
        <w:t xml:space="preserve"> with the human </w:t>
      </w:r>
      <w:proofErr w:type="spellStart"/>
      <w:r w:rsidRPr="002E764E">
        <w:t>estrogen</w:t>
      </w:r>
      <w:proofErr w:type="spellEnd"/>
      <w:r w:rsidRPr="002E764E">
        <w:t xml:space="preserve"> receptor: Isomer</w:t>
      </w:r>
      <w:r w:rsidRPr="002E764E">
        <w:noBreakHyphen/>
        <w:t xml:space="preserve"> and </w:t>
      </w:r>
      <w:proofErr w:type="spellStart"/>
      <w:r w:rsidRPr="002E764E">
        <w:t>enantiomer</w:t>
      </w:r>
      <w:proofErr w:type="spellEnd"/>
      <w:r w:rsidRPr="002E764E">
        <w:t>-specific implications. Chemosphere, 64: 174</w:t>
      </w:r>
      <w:r>
        <w:t>–</w:t>
      </w:r>
      <w:r w:rsidRPr="002E764E">
        <w:t>177.</w:t>
      </w:r>
    </w:p>
    <w:p w:rsidR="000B18ED" w:rsidRDefault="00F0433B" w:rsidP="00F0433B">
      <w:pPr>
        <w:numPr>
          <w:ilvl w:val="0"/>
          <w:numId w:val="1"/>
        </w:numPr>
        <w:tabs>
          <w:tab w:val="left" w:pos="624"/>
        </w:tabs>
        <w:snapToGrid w:val="0"/>
        <w:ind w:left="1871" w:hanging="624"/>
      </w:pPr>
      <w:proofErr w:type="spellStart"/>
      <w:r w:rsidRPr="002E764E">
        <w:t>Thiel</w:t>
      </w:r>
      <w:proofErr w:type="spellEnd"/>
      <w:r w:rsidRPr="002E764E">
        <w:t xml:space="preserve"> A. </w:t>
      </w:r>
      <w:r w:rsidRPr="00F22702">
        <w:rPr>
          <w:i/>
        </w:rPr>
        <w:t>et al.</w:t>
      </w:r>
      <w:r w:rsidRPr="002E764E">
        <w:t xml:space="preserve"> (2011). </w:t>
      </w:r>
      <w:proofErr w:type="spellStart"/>
      <w:r w:rsidRPr="002E764E">
        <w:t>Dicofol</w:t>
      </w:r>
      <w:proofErr w:type="spellEnd"/>
      <w:r w:rsidRPr="002E764E">
        <w:t xml:space="preserve"> degradation to </w:t>
      </w:r>
      <w:proofErr w:type="spellStart"/>
      <w:r w:rsidRPr="00F22702">
        <w:rPr>
          <w:i/>
        </w:rPr>
        <w:t>p</w:t>
      </w:r>
      <w:proofErr w:type="gramStart"/>
      <w:r w:rsidRPr="00F22702">
        <w:rPr>
          <w:i/>
        </w:rPr>
        <w:t>,p</w:t>
      </w:r>
      <w:proofErr w:type="gramEnd"/>
      <w:r w:rsidRPr="00F22702">
        <w:rPr>
          <w:i/>
        </w:rPr>
        <w:t>-</w:t>
      </w:r>
      <w:r w:rsidRPr="002E764E">
        <w:t>dichlorobenzophenone</w:t>
      </w:r>
      <w:proofErr w:type="spellEnd"/>
      <w:r w:rsidRPr="002E764E">
        <w:t xml:space="preserve"> – A potential </w:t>
      </w:r>
      <w:proofErr w:type="spellStart"/>
      <w:r w:rsidRPr="002E764E">
        <w:t>antiandrogen</w:t>
      </w:r>
      <w:proofErr w:type="spellEnd"/>
      <w:r w:rsidRPr="002E764E">
        <w:t>. Toxicology, 282: 88</w:t>
      </w:r>
      <w:r>
        <w:t>–</w:t>
      </w:r>
      <w:r w:rsidRPr="002E764E">
        <w:t>93.</w:t>
      </w:r>
    </w:p>
    <w:sectPr w:rsidR="000B18ED" w:rsidSect="00F0433B">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0652A"/>
    <w:multiLevelType w:val="hybridMultilevel"/>
    <w:tmpl w:val="20364144"/>
    <w:lvl w:ilvl="0" w:tplc="B278251C">
      <w:start w:val="1"/>
      <w:numFmt w:val="decimal"/>
      <w:lvlText w:val="%1."/>
      <w:lvlJc w:val="left"/>
      <w:pPr>
        <w:ind w:left="1710" w:hanging="360"/>
      </w:pPr>
      <w:rPr>
        <w:rFonts w:hint="default"/>
      </w:r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0433B"/>
    <w:rsid w:val="00045F3B"/>
    <w:rsid w:val="000B18ED"/>
    <w:rsid w:val="00475D4E"/>
    <w:rsid w:val="009358FE"/>
    <w:rsid w:val="00B33BA9"/>
    <w:rsid w:val="00BA076F"/>
    <w:rsid w:val="00BE6CAD"/>
    <w:rsid w:val="00C21410"/>
    <w:rsid w:val="00F0433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33B"/>
    <w:pPr>
      <w:spacing w:after="12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pa.gov/pesticides/reregistration/REDs/0021r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1876</Words>
  <Characters>10694</Characters>
  <Application>Microsoft Office Word</Application>
  <DocSecurity>0</DocSecurity>
  <Lines>89</Lines>
  <Paragraphs>25</Paragraphs>
  <ScaleCrop>false</ScaleCrop>
  <Company/>
  <LinksUpToDate>false</LinksUpToDate>
  <CharactersWithSpaces>12545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2015-09-08T13:21:00Z</dcterms:created>
  <dcterms:modified xsi:type="dcterms:W3CDTF">2015-09-08T13:21:00Z</dcterms:modified>
</cp:coreProperties>
</file>