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5E6" w:rsidRPr="002E764E" w:rsidRDefault="00EF35E6" w:rsidP="00EF35E6">
      <w:pPr>
        <w:keepNext/>
        <w:tabs>
          <w:tab w:val="left" w:pos="624"/>
          <w:tab w:val="left" w:pos="1247"/>
          <w:tab w:val="left" w:pos="1814"/>
          <w:tab w:val="left" w:pos="2381"/>
          <w:tab w:val="left" w:pos="2948"/>
          <w:tab w:val="left" w:pos="3515"/>
          <w:tab w:val="left" w:pos="4082"/>
        </w:tabs>
        <w:spacing w:before="240"/>
        <w:ind w:left="1276"/>
        <w:rPr>
          <w:i/>
          <w:sz w:val="28"/>
          <w:szCs w:val="28"/>
        </w:rPr>
      </w:pPr>
      <w:r w:rsidRPr="002E764E">
        <w:rPr>
          <w:b/>
          <w:sz w:val="28"/>
          <w:szCs w:val="28"/>
        </w:rPr>
        <w:t>POPRC-</w:t>
      </w:r>
      <w:r w:rsidRPr="002E764E">
        <w:rPr>
          <w:b/>
          <w:sz w:val="28"/>
          <w:szCs w:val="28"/>
          <w:lang w:eastAsia="ja-JP"/>
        </w:rPr>
        <w:t>10</w:t>
      </w:r>
      <w:r w:rsidRPr="002E764E">
        <w:rPr>
          <w:b/>
          <w:sz w:val="28"/>
          <w:szCs w:val="28"/>
        </w:rPr>
        <w:t>/</w:t>
      </w:r>
      <w:r w:rsidRPr="002E764E">
        <w:rPr>
          <w:b/>
          <w:sz w:val="28"/>
          <w:szCs w:val="28"/>
          <w:lang w:eastAsia="ja-JP"/>
        </w:rPr>
        <w:t>5</w:t>
      </w:r>
      <w:r w:rsidRPr="002E764E">
        <w:rPr>
          <w:b/>
          <w:sz w:val="28"/>
          <w:szCs w:val="28"/>
        </w:rPr>
        <w:t xml:space="preserve">: Guidance on alternatives to </w:t>
      </w:r>
      <w:proofErr w:type="spellStart"/>
      <w:r w:rsidRPr="002E764E">
        <w:rPr>
          <w:b/>
          <w:sz w:val="28"/>
          <w:szCs w:val="28"/>
        </w:rPr>
        <w:t>perfluorooctane</w:t>
      </w:r>
      <w:proofErr w:type="spellEnd"/>
      <w:r w:rsidRPr="002E764E">
        <w:rPr>
          <w:b/>
          <w:sz w:val="28"/>
          <w:szCs w:val="28"/>
        </w:rPr>
        <w:t xml:space="preserve"> </w:t>
      </w:r>
      <w:proofErr w:type="spellStart"/>
      <w:r w:rsidRPr="002E764E">
        <w:rPr>
          <w:b/>
          <w:sz w:val="28"/>
          <w:szCs w:val="28"/>
        </w:rPr>
        <w:t>sulfonic</w:t>
      </w:r>
      <w:proofErr w:type="spellEnd"/>
      <w:r w:rsidRPr="002E764E">
        <w:rPr>
          <w:b/>
          <w:sz w:val="28"/>
          <w:szCs w:val="28"/>
        </w:rPr>
        <w:t xml:space="preserve"> acid, its salts, </w:t>
      </w:r>
      <w:proofErr w:type="spellStart"/>
      <w:r w:rsidRPr="002E764E">
        <w:rPr>
          <w:b/>
          <w:sz w:val="28"/>
          <w:szCs w:val="28"/>
        </w:rPr>
        <w:t>perfluorooctane</w:t>
      </w:r>
      <w:proofErr w:type="spellEnd"/>
      <w:r w:rsidRPr="002E764E">
        <w:rPr>
          <w:b/>
          <w:sz w:val="28"/>
          <w:szCs w:val="28"/>
        </w:rPr>
        <w:t xml:space="preserve"> </w:t>
      </w:r>
      <w:proofErr w:type="spellStart"/>
      <w:r w:rsidRPr="002E764E">
        <w:rPr>
          <w:b/>
          <w:sz w:val="28"/>
          <w:szCs w:val="28"/>
        </w:rPr>
        <w:t>sulfonyl</w:t>
      </w:r>
      <w:proofErr w:type="spellEnd"/>
      <w:r w:rsidRPr="002E764E">
        <w:rPr>
          <w:b/>
          <w:sz w:val="28"/>
          <w:szCs w:val="28"/>
        </w:rPr>
        <w:t xml:space="preserve"> fluoride and their related chemicals</w:t>
      </w:r>
      <w:r w:rsidRPr="002E764E">
        <w:rPr>
          <w:i/>
          <w:sz w:val="28"/>
          <w:szCs w:val="28"/>
        </w:rPr>
        <w:t xml:space="preserve"> </w:t>
      </w:r>
    </w:p>
    <w:p w:rsidR="00EF35E6" w:rsidRPr="002E764E" w:rsidRDefault="00EF35E6" w:rsidP="00EF35E6">
      <w:pPr>
        <w:tabs>
          <w:tab w:val="left" w:pos="624"/>
        </w:tabs>
        <w:ind w:left="1814"/>
        <w:rPr>
          <w:i/>
          <w:lang w:val="en-US"/>
        </w:rPr>
      </w:pPr>
      <w:r w:rsidRPr="002E764E">
        <w:rPr>
          <w:i/>
          <w:lang w:val="en-US"/>
        </w:rPr>
        <w:t>The Persistent Organic Pollutants Review Committee</w:t>
      </w:r>
    </w:p>
    <w:p w:rsidR="00EF35E6" w:rsidRPr="002E764E" w:rsidRDefault="00EF35E6" w:rsidP="00EF35E6">
      <w:pPr>
        <w:ind w:left="1247" w:firstLine="624"/>
      </w:pPr>
      <w:r w:rsidRPr="002E764E">
        <w:rPr>
          <w:rFonts w:eastAsia="MS Mincho"/>
          <w:iCs/>
          <w:lang w:val="en-US"/>
        </w:rPr>
        <w:tab/>
        <w:t>1.</w:t>
      </w:r>
      <w:r w:rsidRPr="002E764E">
        <w:rPr>
          <w:rFonts w:eastAsia="MS Mincho"/>
          <w:i/>
          <w:iCs/>
          <w:lang w:val="en-US"/>
        </w:rPr>
        <w:tab/>
      </w:r>
      <w:r w:rsidRPr="002E764E">
        <w:rPr>
          <w:i/>
          <w:color w:val="000000"/>
        </w:rPr>
        <w:t>Concludes</w:t>
      </w:r>
      <w:r w:rsidRPr="002E764E">
        <w:rPr>
          <w:color w:val="000000"/>
        </w:rPr>
        <w:t xml:space="preserve"> that </w:t>
      </w:r>
      <w:r w:rsidRPr="002E764E">
        <w:t xml:space="preserve">the guidance on alternatives to </w:t>
      </w:r>
      <w:proofErr w:type="spellStart"/>
      <w:r w:rsidRPr="002E764E">
        <w:t>perfluorooctane</w:t>
      </w:r>
      <w:proofErr w:type="spellEnd"/>
      <w:r w:rsidRPr="002E764E">
        <w:t xml:space="preserve"> </w:t>
      </w:r>
      <w:proofErr w:type="spellStart"/>
      <w:r w:rsidRPr="002E764E">
        <w:t>sulfonic</w:t>
      </w:r>
      <w:proofErr w:type="spellEnd"/>
      <w:r w:rsidRPr="002E764E">
        <w:t xml:space="preserve"> acid, its salts, </w:t>
      </w:r>
      <w:proofErr w:type="spellStart"/>
      <w:r w:rsidRPr="002E764E">
        <w:t>perfluorooctane</w:t>
      </w:r>
      <w:proofErr w:type="spellEnd"/>
      <w:r w:rsidRPr="002E764E">
        <w:t xml:space="preserve"> </w:t>
      </w:r>
      <w:proofErr w:type="spellStart"/>
      <w:r w:rsidRPr="002E764E">
        <w:t>sulfonyl</w:t>
      </w:r>
      <w:proofErr w:type="spellEnd"/>
      <w:r w:rsidRPr="002E764E">
        <w:t xml:space="preserve"> fluoride and their related chemicals</w:t>
      </w:r>
      <w:r w:rsidRPr="002E764E">
        <w:rPr>
          <w:szCs w:val="18"/>
          <w:vertAlign w:val="superscript"/>
        </w:rPr>
        <w:footnoteReference w:id="1"/>
      </w:r>
      <w:r w:rsidRPr="002E764E">
        <w:t xml:space="preserve"> should be revised to incorporate pertinent information contained in the </w:t>
      </w:r>
      <w:r w:rsidRPr="002E764E">
        <w:rPr>
          <w:rFonts w:eastAsia="MS Mincho"/>
        </w:rPr>
        <w:t xml:space="preserve">report on </w:t>
      </w:r>
      <w:r w:rsidRPr="002E764E">
        <w:t xml:space="preserve">the assessment of alternatives to </w:t>
      </w:r>
      <w:proofErr w:type="spellStart"/>
      <w:r w:rsidRPr="002E764E">
        <w:t>perfluorooctane</w:t>
      </w:r>
      <w:proofErr w:type="spellEnd"/>
      <w:r w:rsidRPr="002E764E">
        <w:t xml:space="preserve"> </w:t>
      </w:r>
      <w:proofErr w:type="spellStart"/>
      <w:r w:rsidRPr="002E764E">
        <w:t>sulfonic</w:t>
      </w:r>
      <w:proofErr w:type="spellEnd"/>
      <w:r w:rsidRPr="002E764E">
        <w:t xml:space="preserve"> acid, its salts and </w:t>
      </w:r>
      <w:proofErr w:type="spellStart"/>
      <w:r w:rsidRPr="002E764E">
        <w:t>perfluorooctane</w:t>
      </w:r>
      <w:proofErr w:type="spellEnd"/>
      <w:r w:rsidRPr="002E764E">
        <w:t xml:space="preserve"> </w:t>
      </w:r>
      <w:proofErr w:type="spellStart"/>
      <w:r w:rsidRPr="002E764E">
        <w:t>sulfonyl</w:t>
      </w:r>
      <w:proofErr w:type="spellEnd"/>
      <w:r w:rsidRPr="002E764E">
        <w:t xml:space="preserve"> fluoride,</w:t>
      </w:r>
      <w:r w:rsidRPr="002E764E">
        <w:rPr>
          <w:szCs w:val="18"/>
          <w:vertAlign w:val="superscript"/>
        </w:rPr>
        <w:footnoteReference w:id="2"/>
      </w:r>
      <w:r w:rsidRPr="002E764E">
        <w:t xml:space="preserve"> in addition to the information contained in the technical paper on the identification and assessment of alternatives to the use of </w:t>
      </w:r>
      <w:proofErr w:type="spellStart"/>
      <w:r w:rsidRPr="002E764E">
        <w:t>perfl</w:t>
      </w:r>
      <w:r w:rsidRPr="002E764E">
        <w:rPr>
          <w:color w:val="000000"/>
        </w:rPr>
        <w:t>uorooctane</w:t>
      </w:r>
      <w:proofErr w:type="spellEnd"/>
      <w:r w:rsidRPr="002E764E">
        <w:rPr>
          <w:color w:val="000000"/>
        </w:rPr>
        <w:t xml:space="preserve"> </w:t>
      </w:r>
      <w:proofErr w:type="spellStart"/>
      <w:r w:rsidRPr="002E764E">
        <w:rPr>
          <w:color w:val="000000"/>
        </w:rPr>
        <w:t>sulf</w:t>
      </w:r>
      <w:r w:rsidRPr="002E764E">
        <w:t>onic</w:t>
      </w:r>
      <w:proofErr w:type="spellEnd"/>
      <w:r w:rsidRPr="002E764E">
        <w:t xml:space="preserve"> acid, its salts, </w:t>
      </w:r>
      <w:proofErr w:type="spellStart"/>
      <w:r w:rsidRPr="002E764E">
        <w:t>perfluorooctane</w:t>
      </w:r>
      <w:proofErr w:type="spellEnd"/>
      <w:r w:rsidRPr="002E764E">
        <w:t xml:space="preserve"> </w:t>
      </w:r>
      <w:proofErr w:type="spellStart"/>
      <w:r w:rsidRPr="002E764E">
        <w:t>sulfonyl</w:t>
      </w:r>
      <w:proofErr w:type="spellEnd"/>
      <w:r w:rsidRPr="002E764E">
        <w:t xml:space="preserve"> fluoride and their related chemicals in open applications</w:t>
      </w:r>
      <w:r w:rsidRPr="002E764E">
        <w:rPr>
          <w:szCs w:val="18"/>
          <w:vertAlign w:val="superscript"/>
        </w:rPr>
        <w:footnoteReference w:id="3"/>
      </w:r>
      <w:r w:rsidRPr="002E764E">
        <w:t xml:space="preserve"> and</w:t>
      </w:r>
      <w:r>
        <w:t>, as so revised,</w:t>
      </w:r>
      <w:r w:rsidRPr="002E764E">
        <w:t xml:space="preserve"> should be submitted to the Conference of the Parties to the Stockholm Conv</w:t>
      </w:r>
      <w:r w:rsidRPr="002E764E">
        <w:rPr>
          <w:rFonts w:eastAsia="MS Mincho"/>
        </w:rPr>
        <w:t xml:space="preserve">ention at its </w:t>
      </w:r>
      <w:r w:rsidRPr="002E764E">
        <w:t xml:space="preserve">eighth meeting, </w:t>
      </w:r>
      <w:r w:rsidRPr="002E764E">
        <w:rPr>
          <w:rFonts w:eastAsia="MS Mincho"/>
        </w:rPr>
        <w:t xml:space="preserve">in </w:t>
      </w:r>
      <w:r w:rsidRPr="002E764E">
        <w:t>2017;</w:t>
      </w:r>
    </w:p>
    <w:p w:rsidR="00EF35E6" w:rsidRPr="002E764E" w:rsidRDefault="00EF35E6" w:rsidP="00EF35E6">
      <w:pPr>
        <w:ind w:left="1247" w:firstLine="624"/>
      </w:pPr>
      <w:r w:rsidRPr="002E764E">
        <w:rPr>
          <w:i/>
          <w:color w:val="000000"/>
        </w:rPr>
        <w:tab/>
      </w:r>
      <w:r w:rsidRPr="002E764E">
        <w:rPr>
          <w:color w:val="000000"/>
        </w:rPr>
        <w:t>2.</w:t>
      </w:r>
      <w:r w:rsidRPr="002E764E">
        <w:rPr>
          <w:i/>
          <w:color w:val="000000"/>
        </w:rPr>
        <w:tab/>
        <w:t xml:space="preserve">Notes </w:t>
      </w:r>
      <w:r w:rsidRPr="002E764E">
        <w:rPr>
          <w:iCs/>
        </w:rPr>
        <w:t xml:space="preserve">that the inclusion of the information referred to in paragraph 1 of the present decision in the guidance on </w:t>
      </w:r>
      <w:r w:rsidRPr="002E764E">
        <w:t xml:space="preserve">alternatives to </w:t>
      </w:r>
      <w:proofErr w:type="spellStart"/>
      <w:r w:rsidRPr="002E764E">
        <w:t>perfluorooctane</w:t>
      </w:r>
      <w:proofErr w:type="spellEnd"/>
      <w:r w:rsidRPr="002E764E">
        <w:t xml:space="preserve"> </w:t>
      </w:r>
      <w:proofErr w:type="spellStart"/>
      <w:r w:rsidRPr="002E764E">
        <w:t>sulfonic</w:t>
      </w:r>
      <w:proofErr w:type="spellEnd"/>
      <w:r w:rsidRPr="002E764E">
        <w:t xml:space="preserve"> acid, its salts, </w:t>
      </w:r>
      <w:proofErr w:type="spellStart"/>
      <w:r w:rsidRPr="002E764E">
        <w:t>perfluorooctane</w:t>
      </w:r>
      <w:proofErr w:type="spellEnd"/>
      <w:r w:rsidRPr="002E764E">
        <w:t xml:space="preserve"> </w:t>
      </w:r>
      <w:proofErr w:type="spellStart"/>
      <w:r w:rsidRPr="002E764E">
        <w:t>sulfonyl</w:t>
      </w:r>
      <w:proofErr w:type="spellEnd"/>
      <w:r w:rsidRPr="002E764E">
        <w:t xml:space="preserve"> fluoride and their related chemicals could enhance parties’ understanding of such information and facilitate the work of the Committee in undertaking any future assessments that the Conference of the Parties might request it to undertake as part of the</w:t>
      </w:r>
      <w:r w:rsidRPr="002E764E">
        <w:rPr>
          <w:iCs/>
        </w:rPr>
        <w:t xml:space="preserve"> process for the evaluation of </w:t>
      </w:r>
      <w:proofErr w:type="spellStart"/>
      <w:r w:rsidRPr="002E764E">
        <w:t>perfluorooctane</w:t>
      </w:r>
      <w:proofErr w:type="spellEnd"/>
      <w:r w:rsidRPr="002E764E">
        <w:t xml:space="preserve"> </w:t>
      </w:r>
      <w:proofErr w:type="spellStart"/>
      <w:r w:rsidRPr="002E764E">
        <w:t>sulfonic</w:t>
      </w:r>
      <w:proofErr w:type="spellEnd"/>
      <w:r w:rsidRPr="002E764E">
        <w:t xml:space="preserve"> acid, its salts and </w:t>
      </w:r>
      <w:proofErr w:type="spellStart"/>
      <w:r w:rsidRPr="002E764E">
        <w:t>perfluorooctane</w:t>
      </w:r>
      <w:proofErr w:type="spellEnd"/>
      <w:r w:rsidRPr="002E764E">
        <w:t xml:space="preserve"> </w:t>
      </w:r>
      <w:proofErr w:type="spellStart"/>
      <w:r w:rsidRPr="002E764E">
        <w:t>sulfonyl</w:t>
      </w:r>
      <w:proofErr w:type="spellEnd"/>
      <w:r w:rsidRPr="002E764E">
        <w:t xml:space="preserve"> fluoride pursuant to </w:t>
      </w:r>
      <w:r w:rsidRPr="002E764E">
        <w:rPr>
          <w:iCs/>
        </w:rPr>
        <w:t>paragraphs 5 and 6 of part III of Annex B to the Convention;</w:t>
      </w:r>
      <w:r w:rsidRPr="002E764E">
        <w:rPr>
          <w:iCs/>
          <w:szCs w:val="18"/>
          <w:vertAlign w:val="superscript"/>
        </w:rPr>
        <w:footnoteReference w:id="4"/>
      </w:r>
    </w:p>
    <w:p w:rsidR="00EF35E6" w:rsidRPr="002E764E" w:rsidRDefault="00EF35E6" w:rsidP="00EF35E6">
      <w:pPr>
        <w:ind w:left="1247" w:firstLine="624"/>
      </w:pPr>
      <w:r w:rsidRPr="002E764E">
        <w:rPr>
          <w:color w:val="000000"/>
        </w:rPr>
        <w:tab/>
        <w:t>3.</w:t>
      </w:r>
      <w:r w:rsidRPr="002E764E">
        <w:rPr>
          <w:color w:val="000000"/>
        </w:rPr>
        <w:tab/>
      </w:r>
      <w:r w:rsidRPr="002E764E">
        <w:rPr>
          <w:i/>
        </w:rPr>
        <w:t>Decides</w:t>
      </w:r>
      <w:r w:rsidRPr="002E764E">
        <w:t xml:space="preserve"> to establish an </w:t>
      </w:r>
      <w:proofErr w:type="spellStart"/>
      <w:r w:rsidRPr="002E764E">
        <w:t>intersessional</w:t>
      </w:r>
      <w:proofErr w:type="spellEnd"/>
      <w:r w:rsidRPr="002E764E">
        <w:t xml:space="preserve"> working group to prepare, for consideration and adoption by the Committee at its eleventh meeting, a proposal for preparing a revision of the guidance on alternatives to </w:t>
      </w:r>
      <w:proofErr w:type="spellStart"/>
      <w:r w:rsidRPr="002E764E">
        <w:t>perfluorooctane</w:t>
      </w:r>
      <w:proofErr w:type="spellEnd"/>
      <w:r w:rsidRPr="002E764E">
        <w:t xml:space="preserve"> </w:t>
      </w:r>
      <w:proofErr w:type="spellStart"/>
      <w:r w:rsidRPr="002E764E">
        <w:t>sulfonic</w:t>
      </w:r>
      <w:proofErr w:type="spellEnd"/>
      <w:r w:rsidRPr="002E764E">
        <w:t xml:space="preserve"> acid, its salts, </w:t>
      </w:r>
      <w:proofErr w:type="spellStart"/>
      <w:r w:rsidRPr="002E764E">
        <w:t>perfluorooctane</w:t>
      </w:r>
      <w:proofErr w:type="spellEnd"/>
      <w:r w:rsidRPr="002E764E">
        <w:t xml:space="preserve"> </w:t>
      </w:r>
      <w:proofErr w:type="spellStart"/>
      <w:r w:rsidRPr="002E764E">
        <w:t>sulfonyl</w:t>
      </w:r>
      <w:proofErr w:type="spellEnd"/>
      <w:r w:rsidRPr="002E764E">
        <w:t xml:space="preserve"> fluoride and their related chemicals that consolidates the information on alternatives to these chemicals in accordance with paragraph 1 of the present decision for consideration by the Committee at its twelfth meeting;</w:t>
      </w:r>
    </w:p>
    <w:p w:rsidR="00EF35E6" w:rsidRPr="002E764E" w:rsidRDefault="00EF35E6" w:rsidP="00EF35E6">
      <w:pPr>
        <w:ind w:left="1247" w:firstLine="624"/>
      </w:pPr>
      <w:r w:rsidRPr="002E764E">
        <w:rPr>
          <w:color w:val="000000"/>
        </w:rPr>
        <w:tab/>
        <w:t>4.</w:t>
      </w:r>
      <w:r w:rsidRPr="002E764E">
        <w:rPr>
          <w:color w:val="000000"/>
        </w:rPr>
        <w:tab/>
      </w:r>
      <w:r w:rsidRPr="002E764E">
        <w:rPr>
          <w:i/>
        </w:rPr>
        <w:t>Invites</w:t>
      </w:r>
      <w:r w:rsidRPr="002E764E">
        <w:t xml:space="preserve"> parties and observers in a position to do so to provide financial support to enable the Secretariat to engage a consultant to support the activities referred to in the present decision.</w:t>
      </w:r>
    </w:p>
    <w:p w:rsidR="000B18ED" w:rsidRDefault="000B18ED" w:rsidP="00EF35E6"/>
    <w:sectPr w:rsidR="000B18ED" w:rsidSect="00EF35E6">
      <w:pgSz w:w="11906" w:h="16838"/>
      <w:pgMar w:top="1134"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CC6" w:rsidRDefault="00BA3CC6" w:rsidP="00EF35E6">
      <w:pPr>
        <w:spacing w:after="0"/>
      </w:pPr>
      <w:r>
        <w:separator/>
      </w:r>
    </w:p>
  </w:endnote>
  <w:endnote w:type="continuationSeparator" w:id="0">
    <w:p w:rsidR="00BA3CC6" w:rsidRDefault="00BA3CC6" w:rsidP="00EF35E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CC6" w:rsidRDefault="00BA3CC6" w:rsidP="00EF35E6">
      <w:pPr>
        <w:spacing w:after="0"/>
      </w:pPr>
      <w:r>
        <w:separator/>
      </w:r>
    </w:p>
  </w:footnote>
  <w:footnote w:type="continuationSeparator" w:id="0">
    <w:p w:rsidR="00BA3CC6" w:rsidRDefault="00BA3CC6" w:rsidP="00EF35E6">
      <w:pPr>
        <w:spacing w:after="0"/>
      </w:pPr>
      <w:r>
        <w:continuationSeparator/>
      </w:r>
    </w:p>
  </w:footnote>
  <w:footnote w:id="1">
    <w:p w:rsidR="00EF35E6" w:rsidRPr="004F55A1" w:rsidRDefault="00EF35E6" w:rsidP="00EF35E6">
      <w:pPr>
        <w:pStyle w:val="FootnoteText"/>
        <w:rPr>
          <w:szCs w:val="18"/>
          <w:lang w:val="en-US"/>
        </w:rPr>
      </w:pPr>
      <w:r w:rsidRPr="000B0F28">
        <w:rPr>
          <w:rStyle w:val="FootnoteReference"/>
        </w:rPr>
        <w:footnoteRef/>
      </w:r>
      <w:r w:rsidRPr="004F55A1">
        <w:rPr>
          <w:szCs w:val="18"/>
          <w:lang w:val="en-US"/>
        </w:rPr>
        <w:t xml:space="preserve"> UNEP/POPS/POPRC.9/INF/11/Rev.1.</w:t>
      </w:r>
    </w:p>
  </w:footnote>
  <w:footnote w:id="2">
    <w:p w:rsidR="00EF35E6" w:rsidRPr="000B0F28" w:rsidRDefault="00EF35E6" w:rsidP="00EF35E6">
      <w:pPr>
        <w:pStyle w:val="FootnoteText"/>
        <w:rPr>
          <w:szCs w:val="18"/>
          <w:lang w:val="en-US"/>
        </w:rPr>
      </w:pPr>
      <w:r w:rsidRPr="000B0F28">
        <w:rPr>
          <w:rStyle w:val="FootnoteReference"/>
        </w:rPr>
        <w:footnoteRef/>
      </w:r>
      <w:r w:rsidRPr="004F55A1">
        <w:rPr>
          <w:szCs w:val="18"/>
          <w:lang w:val="en-US"/>
        </w:rPr>
        <w:t xml:space="preserve"> </w:t>
      </w:r>
      <w:r w:rsidRPr="000B0F28">
        <w:rPr>
          <w:szCs w:val="18"/>
          <w:lang w:val="en-US"/>
        </w:rPr>
        <w:t>UNEP/POPS/</w:t>
      </w:r>
      <w:r w:rsidRPr="004F55A1">
        <w:rPr>
          <w:szCs w:val="18"/>
          <w:lang w:val="en-US"/>
        </w:rPr>
        <w:t>POPRC.10/INF/7.</w:t>
      </w:r>
    </w:p>
  </w:footnote>
  <w:footnote w:id="3">
    <w:p w:rsidR="00EF35E6" w:rsidRPr="004F55A1" w:rsidRDefault="00EF35E6" w:rsidP="00EF35E6">
      <w:pPr>
        <w:pStyle w:val="FootnoteText"/>
        <w:rPr>
          <w:szCs w:val="18"/>
          <w:lang w:val="en-US"/>
        </w:rPr>
      </w:pPr>
      <w:r w:rsidRPr="000B0F28">
        <w:rPr>
          <w:rStyle w:val="FootnoteReference"/>
        </w:rPr>
        <w:footnoteRef/>
      </w:r>
      <w:r w:rsidRPr="004F55A1">
        <w:rPr>
          <w:szCs w:val="18"/>
          <w:lang w:val="en-US"/>
        </w:rPr>
        <w:t xml:space="preserve"> UNEP/POPS/POPRC.8/INF/17/Rev.1.</w:t>
      </w:r>
    </w:p>
  </w:footnote>
  <w:footnote w:id="4">
    <w:p w:rsidR="00EF35E6" w:rsidRPr="004F55A1" w:rsidRDefault="00EF35E6" w:rsidP="00EF35E6">
      <w:pPr>
        <w:pStyle w:val="FootnoteText"/>
        <w:rPr>
          <w:szCs w:val="18"/>
          <w:lang w:val="en-US"/>
        </w:rPr>
      </w:pPr>
      <w:r w:rsidRPr="000B0F28">
        <w:rPr>
          <w:rStyle w:val="FootnoteReference"/>
        </w:rPr>
        <w:footnoteRef/>
      </w:r>
      <w:r w:rsidRPr="004F55A1">
        <w:rPr>
          <w:szCs w:val="18"/>
          <w:lang w:val="en-US"/>
        </w:rPr>
        <w:t xml:space="preserve"> </w:t>
      </w:r>
      <w:proofErr w:type="gramStart"/>
      <w:r w:rsidRPr="004F55A1">
        <w:rPr>
          <w:szCs w:val="18"/>
          <w:lang w:val="en-US"/>
        </w:rPr>
        <w:t>Decision SC-6/4.</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EF35E6"/>
    <w:rsid w:val="00045F3B"/>
    <w:rsid w:val="000B18ED"/>
    <w:rsid w:val="00475D4E"/>
    <w:rsid w:val="009358FE"/>
    <w:rsid w:val="00B33BA9"/>
    <w:rsid w:val="00BA076F"/>
    <w:rsid w:val="00BA3CC6"/>
    <w:rsid w:val="00BE6CAD"/>
    <w:rsid w:val="00C21410"/>
    <w:rsid w:val="00EF35E6"/>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5E6"/>
    <w:pPr>
      <w:spacing w:after="12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
    <w:semiHidden/>
    <w:rsid w:val="00EF35E6"/>
    <w:rPr>
      <w:rFonts w:ascii="Times New Roman" w:hAnsi="Times New Roman"/>
      <w:color w:val="auto"/>
      <w:sz w:val="20"/>
      <w:szCs w:val="18"/>
      <w:vertAlign w:val="superscript"/>
    </w:rPr>
  </w:style>
  <w:style w:type="paragraph" w:styleId="FootnoteText">
    <w:name w:val="footnote text"/>
    <w:aliases w:val="Geneva 9,Font: Geneva 9,Boston 10,f,93,single space,Footnote Text Rail EIS,ft,Char,footnote3,Footnotes,Footnote ak,fn cafc,Footnotes Char Char,Footnote Text Char Char,fn Char Char,Footnote Text Char Char Char Char,Footnote Text1"/>
    <w:basedOn w:val="Normal"/>
    <w:link w:val="FootnoteTextChar"/>
    <w:rsid w:val="00EF35E6"/>
    <w:pPr>
      <w:tabs>
        <w:tab w:val="left" w:pos="1247"/>
        <w:tab w:val="left" w:pos="1814"/>
        <w:tab w:val="left" w:pos="2381"/>
        <w:tab w:val="left" w:pos="2948"/>
        <w:tab w:val="left" w:pos="3515"/>
        <w:tab w:val="left" w:pos="4082"/>
      </w:tabs>
      <w:spacing w:before="20" w:after="40"/>
      <w:ind w:left="1247"/>
    </w:pPr>
    <w:rPr>
      <w:sz w:val="18"/>
      <w:lang w:val="fr-CA"/>
    </w:rPr>
  </w:style>
  <w:style w:type="character" w:customStyle="1" w:styleId="FootnoteTextChar">
    <w:name w:val="Footnote Text Char"/>
    <w:aliases w:val="Geneva 9 Char,Font: Geneva 9 Char,Boston 10 Char,f Char,93 Char,single space Char,Footnote Text Rail EIS Char,ft Char,Char Char,footnote3 Char,Footnotes Char,Footnote ak Char,fn cafc Char,Footnotes Char Char Char,fn Char Char Char"/>
    <w:basedOn w:val="DefaultParagraphFont"/>
    <w:link w:val="FootnoteText"/>
    <w:rsid w:val="00EF35E6"/>
    <w:rPr>
      <w:rFonts w:ascii="Times New Roman" w:eastAsia="Times New Roman" w:hAnsi="Times New Roman" w:cs="Times New Roman"/>
      <w:sz w:val="18"/>
      <w:szCs w:val="20"/>
      <w:lang w:val="fr-CA"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2015-09-08T13:22:00Z</dcterms:created>
  <dcterms:modified xsi:type="dcterms:W3CDTF">2015-09-08T13:22:00Z</dcterms:modified>
</cp:coreProperties>
</file>