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0B8" w:rsidRPr="002E764E" w:rsidRDefault="001D40B8" w:rsidP="001D40B8">
      <w:p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  <w:tab w:val="left" w:pos="4082"/>
        </w:tabs>
        <w:spacing w:before="240"/>
        <w:ind w:left="1276"/>
        <w:rPr>
          <w:i/>
          <w:sz w:val="28"/>
          <w:szCs w:val="28"/>
        </w:rPr>
      </w:pPr>
      <w:r w:rsidRPr="002E764E">
        <w:rPr>
          <w:b/>
          <w:sz w:val="28"/>
          <w:szCs w:val="28"/>
        </w:rPr>
        <w:t>POPRC-</w:t>
      </w:r>
      <w:r w:rsidRPr="002E764E">
        <w:rPr>
          <w:b/>
          <w:sz w:val="28"/>
          <w:szCs w:val="28"/>
          <w:lang w:eastAsia="ja-JP"/>
        </w:rPr>
        <w:t>10</w:t>
      </w:r>
      <w:r w:rsidRPr="002E764E">
        <w:rPr>
          <w:b/>
          <w:sz w:val="28"/>
          <w:szCs w:val="28"/>
        </w:rPr>
        <w:t>/</w:t>
      </w:r>
      <w:r w:rsidRPr="002E764E">
        <w:rPr>
          <w:b/>
          <w:sz w:val="28"/>
          <w:szCs w:val="28"/>
          <w:lang w:eastAsia="ja-JP"/>
        </w:rPr>
        <w:t>1</w:t>
      </w:r>
      <w:r w:rsidRPr="002E764E">
        <w:rPr>
          <w:b/>
          <w:sz w:val="28"/>
          <w:szCs w:val="28"/>
        </w:rPr>
        <w:t>: Pentachlorophenol and its salts and esters</w:t>
      </w:r>
      <w:r w:rsidRPr="002E764E">
        <w:rPr>
          <w:i/>
          <w:sz w:val="28"/>
          <w:szCs w:val="28"/>
        </w:rPr>
        <w:t xml:space="preserve"> </w:t>
      </w:r>
    </w:p>
    <w:p w:rsidR="001D40B8" w:rsidRPr="002E764E" w:rsidRDefault="001D40B8" w:rsidP="001D40B8">
      <w:pPr>
        <w:tabs>
          <w:tab w:val="left" w:pos="624"/>
        </w:tabs>
        <w:ind w:left="1247" w:firstLine="624"/>
        <w:rPr>
          <w:i/>
        </w:rPr>
      </w:pPr>
      <w:r w:rsidRPr="002E764E">
        <w:rPr>
          <w:i/>
        </w:rPr>
        <w:t>The Persistent Organic Pollutants Review Committee,</w:t>
      </w:r>
    </w:p>
    <w:p w:rsidR="001D40B8" w:rsidRPr="002E764E" w:rsidRDefault="001D40B8" w:rsidP="001D40B8">
      <w:pPr>
        <w:tabs>
          <w:tab w:val="left" w:pos="624"/>
          <w:tab w:val="left" w:pos="1247"/>
          <w:tab w:val="left" w:pos="1871"/>
        </w:tabs>
        <w:ind w:left="1247" w:firstLine="624"/>
      </w:pPr>
      <w:r w:rsidRPr="002E764E">
        <w:rPr>
          <w:i/>
        </w:rPr>
        <w:t>Having concluded</w:t>
      </w:r>
      <w:r w:rsidRPr="002E764E">
        <w:t xml:space="preserve"> in </w:t>
      </w:r>
      <w:r>
        <w:t xml:space="preserve">its </w:t>
      </w:r>
      <w:r w:rsidRPr="002E764E">
        <w:t>decision POPRC-8/4 that pentachlorophenol and its salts and esters meet the criteria set out in Annex D to the Stockholm Convention,</w:t>
      </w:r>
    </w:p>
    <w:p w:rsidR="001D40B8" w:rsidRPr="002E764E" w:rsidRDefault="001D40B8" w:rsidP="001D40B8">
      <w:pPr>
        <w:tabs>
          <w:tab w:val="left" w:pos="624"/>
          <w:tab w:val="left" w:pos="1247"/>
          <w:tab w:val="left" w:pos="1871"/>
        </w:tabs>
        <w:ind w:left="1247" w:firstLine="624"/>
      </w:pPr>
      <w:r w:rsidRPr="002E764E">
        <w:rPr>
          <w:i/>
        </w:rPr>
        <w:t>Having evaluated</w:t>
      </w:r>
      <w:r w:rsidRPr="002E764E">
        <w:t xml:space="preserve"> the risk profile for pentachlorophenol and its salts and esters</w:t>
      </w:r>
      <w:r>
        <w:t>,</w:t>
      </w:r>
      <w:r w:rsidRPr="002E764E">
        <w:t xml:space="preserve"> including consideration of the transformation product </w:t>
      </w:r>
      <w:proofErr w:type="spellStart"/>
      <w:r w:rsidRPr="002E764E">
        <w:t>pentachloroanisole</w:t>
      </w:r>
      <w:proofErr w:type="spellEnd"/>
      <w:r>
        <w:t>,</w:t>
      </w:r>
      <w:r w:rsidRPr="002E764E">
        <w:t xml:space="preserve"> adopted by the Committee at its ninth meeting</w:t>
      </w:r>
      <w:r w:rsidRPr="002E764E">
        <w:rPr>
          <w:vertAlign w:val="superscript"/>
        </w:rPr>
        <w:footnoteReference w:id="1"/>
      </w:r>
      <w:r w:rsidRPr="002E764E">
        <w:t xml:space="preserve"> in accordance with paragraph 6 of Article 8 of the Convention,</w:t>
      </w:r>
    </w:p>
    <w:p w:rsidR="001D40B8" w:rsidRPr="002E764E" w:rsidRDefault="001D40B8" w:rsidP="001D40B8">
      <w:pPr>
        <w:tabs>
          <w:tab w:val="left" w:pos="624"/>
          <w:tab w:val="left" w:pos="1247"/>
          <w:tab w:val="left" w:pos="1871"/>
        </w:tabs>
        <w:ind w:left="1247" w:firstLine="624"/>
      </w:pPr>
      <w:r w:rsidRPr="002E764E">
        <w:rPr>
          <w:i/>
        </w:rPr>
        <w:t>Having concluded</w:t>
      </w:r>
      <w:r w:rsidRPr="002E764E">
        <w:t xml:space="preserve"> in </w:t>
      </w:r>
      <w:r>
        <w:t xml:space="preserve">its </w:t>
      </w:r>
      <w:r w:rsidRPr="002E764E">
        <w:t>decision POPRC-9/3 that pentachlorophenol and its salts and esters are likely, as a result of their long-range environmental transport, to lead to significant adverse human health and environmental effects such that global action is warranted,</w:t>
      </w:r>
    </w:p>
    <w:p w:rsidR="001D40B8" w:rsidRPr="002E764E" w:rsidRDefault="001D40B8" w:rsidP="001D40B8">
      <w:pPr>
        <w:tabs>
          <w:tab w:val="left" w:pos="624"/>
          <w:tab w:val="left" w:pos="1247"/>
          <w:tab w:val="left" w:pos="1871"/>
        </w:tabs>
        <w:ind w:left="1247" w:firstLine="624"/>
      </w:pPr>
      <w:r w:rsidRPr="002E764E">
        <w:rPr>
          <w:i/>
        </w:rPr>
        <w:tab/>
        <w:t>Having completed</w:t>
      </w:r>
      <w:r w:rsidRPr="002E764E">
        <w:t xml:space="preserve"> the risk management evaluation for pentachlorophenol and its salts and esters in accordance with paragraph 7 (a) of Article 8 of the Stockholm Convention,</w:t>
      </w:r>
    </w:p>
    <w:p w:rsidR="001D40B8" w:rsidRPr="002E764E" w:rsidRDefault="001D40B8" w:rsidP="001D40B8">
      <w:pPr>
        <w:numPr>
          <w:ilvl w:val="0"/>
          <w:numId w:val="1"/>
        </w:numPr>
        <w:tabs>
          <w:tab w:val="left" w:pos="624"/>
          <w:tab w:val="left" w:pos="1247"/>
          <w:tab w:val="left" w:pos="1871"/>
        </w:tabs>
        <w:ind w:firstLine="624"/>
      </w:pPr>
      <w:r w:rsidRPr="002E764E">
        <w:rPr>
          <w:i/>
        </w:rPr>
        <w:t>Adopts</w:t>
      </w:r>
      <w:r w:rsidRPr="002E764E">
        <w:t xml:space="preserve"> the risk management evaluation for pentachlorophenol and its salts and esters;</w:t>
      </w:r>
      <w:r w:rsidRPr="002E764E">
        <w:rPr>
          <w:szCs w:val="18"/>
          <w:vertAlign w:val="superscript"/>
        </w:rPr>
        <w:footnoteReference w:id="2"/>
      </w:r>
    </w:p>
    <w:p w:rsidR="001D40B8" w:rsidRPr="002E764E" w:rsidRDefault="001D40B8" w:rsidP="001D40B8">
      <w:pPr>
        <w:numPr>
          <w:ilvl w:val="0"/>
          <w:numId w:val="1"/>
        </w:numPr>
        <w:tabs>
          <w:tab w:val="left" w:pos="624"/>
          <w:tab w:val="left" w:pos="1247"/>
          <w:tab w:val="left" w:pos="1871"/>
        </w:tabs>
        <w:ind w:firstLine="624"/>
      </w:pPr>
      <w:r w:rsidRPr="002E764E">
        <w:rPr>
          <w:i/>
        </w:rPr>
        <w:t>Decides</w:t>
      </w:r>
      <w:r w:rsidRPr="002E764E">
        <w:t>, in accordance with paragraph 9 of Article 8 of the Convention, to recommend to the Conference of the Parties that it consider listing pentachlorophenol and its salts and esters in Annex A to the Convention with specific exemptions for the production and use of pentachlorophenol for utility poles and cross-arms;</w:t>
      </w:r>
    </w:p>
    <w:p w:rsidR="001D40B8" w:rsidRPr="002E764E" w:rsidRDefault="001D40B8" w:rsidP="001D40B8">
      <w:pPr>
        <w:numPr>
          <w:ilvl w:val="0"/>
          <w:numId w:val="1"/>
        </w:numPr>
        <w:tabs>
          <w:tab w:val="left" w:pos="624"/>
          <w:tab w:val="left" w:pos="1247"/>
          <w:tab w:val="left" w:pos="1871"/>
        </w:tabs>
        <w:ind w:firstLine="624"/>
      </w:pPr>
      <w:r w:rsidRPr="002E764E">
        <w:rPr>
          <w:i/>
        </w:rPr>
        <w:t>Recommends</w:t>
      </w:r>
      <w:r w:rsidRPr="002E764E">
        <w:t xml:space="preserve"> </w:t>
      </w:r>
      <w:r>
        <w:t>the</w:t>
      </w:r>
      <w:r w:rsidRPr="002E764E">
        <w:t xml:space="preserve"> insert</w:t>
      </w:r>
      <w:r>
        <w:t>ion of</w:t>
      </w:r>
      <w:r w:rsidRPr="002E764E">
        <w:t xml:space="preserve"> a new note in Part 1 of Annex A </w:t>
      </w:r>
      <w:r>
        <w:t xml:space="preserve">to the Convention </w:t>
      </w:r>
      <w:r w:rsidRPr="002E764E">
        <w:t>as follows:</w:t>
      </w:r>
    </w:p>
    <w:p w:rsidR="001D40B8" w:rsidRPr="002E764E" w:rsidRDefault="001D40B8" w:rsidP="001D40B8">
      <w:pPr>
        <w:tabs>
          <w:tab w:val="left" w:pos="624"/>
          <w:tab w:val="left" w:pos="1247"/>
          <w:tab w:val="left" w:pos="1871"/>
        </w:tabs>
        <w:ind w:left="2496"/>
      </w:pPr>
      <w:r w:rsidRPr="002E764E">
        <w:t xml:space="preserve">Pentachlorophenol (CAS No: 87-86-5), sodium </w:t>
      </w:r>
      <w:proofErr w:type="spellStart"/>
      <w:r w:rsidRPr="002E764E">
        <w:t>pentachlorophenate</w:t>
      </w:r>
      <w:proofErr w:type="spellEnd"/>
      <w:r w:rsidRPr="002E764E">
        <w:t xml:space="preserve"> </w:t>
      </w:r>
      <w:r>
        <w:br/>
      </w:r>
      <w:r w:rsidRPr="002E764E">
        <w:t xml:space="preserve">(CAS No: 131-52-2 and 27735-64-4 (as monohydrate)), </w:t>
      </w:r>
      <w:proofErr w:type="spellStart"/>
      <w:r w:rsidRPr="002E764E">
        <w:t>pentachlorophenyl</w:t>
      </w:r>
      <w:proofErr w:type="spellEnd"/>
      <w:r w:rsidRPr="002E764E">
        <w:t xml:space="preserve"> </w:t>
      </w:r>
      <w:proofErr w:type="spellStart"/>
      <w:r w:rsidRPr="002E764E">
        <w:t>laurate</w:t>
      </w:r>
      <w:proofErr w:type="spellEnd"/>
      <w:r w:rsidRPr="002E764E">
        <w:t xml:space="preserve"> (CAS No: 3772-94-9) and </w:t>
      </w:r>
      <w:proofErr w:type="spellStart"/>
      <w:r w:rsidRPr="002E764E">
        <w:t>pentachloroanisole</w:t>
      </w:r>
      <w:proofErr w:type="spellEnd"/>
      <w:r w:rsidRPr="002E764E">
        <w:t xml:space="preserve"> (CAS No: 1825-21-4) were assessed and identified as persistent organic pollutants.</w:t>
      </w:r>
    </w:p>
    <w:p w:rsidR="001D40B8" w:rsidRPr="002E764E" w:rsidRDefault="001D40B8" w:rsidP="001D40B8">
      <w:pPr>
        <w:numPr>
          <w:ilvl w:val="0"/>
          <w:numId w:val="1"/>
        </w:numPr>
        <w:tabs>
          <w:tab w:val="left" w:pos="624"/>
          <w:tab w:val="left" w:pos="1247"/>
          <w:tab w:val="left" w:pos="1871"/>
        </w:tabs>
        <w:ind w:firstLine="624"/>
      </w:pPr>
      <w:r w:rsidRPr="002E764E">
        <w:rPr>
          <w:i/>
        </w:rPr>
        <w:t>Recommends</w:t>
      </w:r>
      <w:r w:rsidRPr="002E764E">
        <w:rPr>
          <w:iCs/>
        </w:rPr>
        <w:t>, in the event of listing with specific exemptions,</w:t>
      </w:r>
      <w:r w:rsidRPr="002E764E">
        <w:t xml:space="preserve"> </w:t>
      </w:r>
      <w:r>
        <w:t>the</w:t>
      </w:r>
      <w:r w:rsidRPr="002E764E">
        <w:t xml:space="preserve"> insert</w:t>
      </w:r>
      <w:r>
        <w:t>ion of</w:t>
      </w:r>
      <w:r w:rsidRPr="002E764E">
        <w:t xml:space="preserve"> a new part in Annex A as follows: </w:t>
      </w:r>
    </w:p>
    <w:p w:rsidR="001D40B8" w:rsidRPr="002E764E" w:rsidRDefault="001D40B8" w:rsidP="001D40B8">
      <w:pPr>
        <w:tabs>
          <w:tab w:val="left" w:pos="624"/>
          <w:tab w:val="left" w:pos="1247"/>
          <w:tab w:val="left" w:pos="1871"/>
        </w:tabs>
        <w:ind w:left="2496"/>
      </w:pPr>
      <w:r w:rsidRPr="002E764E">
        <w:t>Each Party that has registered for the exemption for the production and use of pentachlorophenol for utility poles and cross-arms shall take necessary measures to ensure that utility poles and cross-arms containing pentachlorophenol can be easily identified by labelling or other means throughout their life cycle. Articles treated with pentachlorophenol should not be reused for purposes other than those exempted.</w:t>
      </w:r>
    </w:p>
    <w:p w:rsidR="000B18ED" w:rsidRDefault="000B18ED" w:rsidP="001D40B8"/>
    <w:sectPr w:rsidR="000B18ED" w:rsidSect="00A56C8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3C8" w:rsidRDefault="00B623C8" w:rsidP="001D40B8">
      <w:pPr>
        <w:spacing w:after="0"/>
      </w:pPr>
      <w:r>
        <w:separator/>
      </w:r>
    </w:p>
  </w:endnote>
  <w:endnote w:type="continuationSeparator" w:id="0">
    <w:p w:rsidR="00B623C8" w:rsidRDefault="00B623C8" w:rsidP="001D40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3C8" w:rsidRDefault="00B623C8" w:rsidP="001D40B8">
      <w:pPr>
        <w:spacing w:after="0"/>
      </w:pPr>
      <w:r>
        <w:separator/>
      </w:r>
    </w:p>
  </w:footnote>
  <w:footnote w:type="continuationSeparator" w:id="0">
    <w:p w:rsidR="00B623C8" w:rsidRDefault="00B623C8" w:rsidP="001D40B8">
      <w:pPr>
        <w:spacing w:after="0"/>
      </w:pPr>
      <w:r>
        <w:continuationSeparator/>
      </w:r>
    </w:p>
  </w:footnote>
  <w:footnote w:id="1">
    <w:p w:rsidR="001D40B8" w:rsidRPr="006D3E1F" w:rsidRDefault="001D40B8" w:rsidP="001D40B8">
      <w:pPr>
        <w:pStyle w:val="FootnoteText"/>
        <w:tabs>
          <w:tab w:val="left" w:pos="624"/>
        </w:tabs>
        <w:rPr>
          <w:rStyle w:val="FootnoteReference"/>
        </w:rPr>
      </w:pPr>
      <w:r w:rsidRPr="006D3E1F">
        <w:rPr>
          <w:rStyle w:val="FootnoteReference"/>
        </w:rPr>
        <w:footnoteRef/>
      </w:r>
      <w:r w:rsidRPr="006D3E1F">
        <w:rPr>
          <w:rStyle w:val="FootnoteReference"/>
        </w:rPr>
        <w:t xml:space="preserve"> UNEP/POPS/POPRC.9/13/</w:t>
      </w:r>
      <w:proofErr w:type="spellStart"/>
      <w:r w:rsidRPr="006D3E1F">
        <w:rPr>
          <w:rStyle w:val="FootnoteReference"/>
        </w:rPr>
        <w:t>Add</w:t>
      </w:r>
      <w:proofErr w:type="spellEnd"/>
      <w:r w:rsidRPr="006D3E1F">
        <w:rPr>
          <w:rStyle w:val="FootnoteReference"/>
        </w:rPr>
        <w:t xml:space="preserve">.3. </w:t>
      </w:r>
    </w:p>
  </w:footnote>
  <w:footnote w:id="2">
    <w:p w:rsidR="001D40B8" w:rsidRPr="00783511" w:rsidRDefault="001D40B8" w:rsidP="001D40B8">
      <w:pPr>
        <w:pStyle w:val="FootnoteText"/>
        <w:tabs>
          <w:tab w:val="left" w:pos="624"/>
        </w:tabs>
        <w:rPr>
          <w:szCs w:val="18"/>
          <w:lang w:val="en-US"/>
        </w:rPr>
      </w:pPr>
      <w:r w:rsidRPr="006D3E1F">
        <w:rPr>
          <w:rStyle w:val="FootnoteReference"/>
        </w:rPr>
        <w:footnoteRef/>
      </w:r>
      <w:r w:rsidRPr="006D3E1F">
        <w:rPr>
          <w:rStyle w:val="FootnoteReference"/>
          <w:lang w:val="en-US"/>
        </w:rPr>
        <w:t xml:space="preserve"> UNEP/</w:t>
      </w:r>
      <w:r w:rsidRPr="00783511">
        <w:rPr>
          <w:rStyle w:val="FootnoteReference"/>
        </w:rPr>
        <w:t>POPS/POPRC.10/10/</w:t>
      </w:r>
      <w:proofErr w:type="spellStart"/>
      <w:r w:rsidRPr="00783511">
        <w:rPr>
          <w:rStyle w:val="FootnoteReference"/>
        </w:rPr>
        <w:t>Add</w:t>
      </w:r>
      <w:proofErr w:type="spellEnd"/>
      <w:r w:rsidRPr="00783511">
        <w:rPr>
          <w:rStyle w:val="FootnoteReference"/>
        </w:rPr>
        <w:t>.1.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3A7"/>
    <w:multiLevelType w:val="multilevel"/>
    <w:tmpl w:val="AFF2601C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1247" w:firstLine="0"/>
        </w:pPr>
        <w:rPr>
          <w:rFonts w:hint="default"/>
          <w:b w:val="0"/>
        </w:rPr>
      </w:lvl>
    </w:lvlOverride>
    <w:lvlOverride w:ilvl="1">
      <w:lvl w:ilvl="1">
        <w:start w:val="1"/>
        <w:numFmt w:val="lowerLetter"/>
        <w:lvlText w:val="(%2)"/>
        <w:lvlJc w:val="left"/>
        <w:pPr>
          <w:tabs>
            <w:tab w:val="num" w:pos="567"/>
          </w:tabs>
          <w:ind w:left="1247" w:firstLine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tabs>
            <w:tab w:val="num" w:pos="567"/>
          </w:tabs>
          <w:ind w:left="2948" w:hanging="567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567"/>
          </w:tabs>
          <w:ind w:left="3515" w:hanging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6548"/>
          </w:tabs>
          <w:ind w:left="65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7268"/>
          </w:tabs>
          <w:ind w:left="72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988"/>
          </w:tabs>
          <w:ind w:left="79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8708"/>
          </w:tabs>
          <w:ind w:left="87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9428"/>
          </w:tabs>
          <w:ind w:left="9428" w:hanging="180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D40B8"/>
    <w:rsid w:val="00045F3B"/>
    <w:rsid w:val="000B18ED"/>
    <w:rsid w:val="00126E37"/>
    <w:rsid w:val="001D40B8"/>
    <w:rsid w:val="00435B4E"/>
    <w:rsid w:val="00475D4E"/>
    <w:rsid w:val="009358FE"/>
    <w:rsid w:val="00A56C86"/>
    <w:rsid w:val="00B33BA9"/>
    <w:rsid w:val="00B623C8"/>
    <w:rsid w:val="00BA076F"/>
    <w:rsid w:val="00BE6CAD"/>
    <w:rsid w:val="00C2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B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16 Point,Superscript 6 Point,ftref,(Ref. de nota al pie),number,SUPERS,Footnote Reference Superscript"/>
    <w:semiHidden/>
    <w:rsid w:val="001D40B8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93,single space,Footnote Text Rail EIS,ft,Char,footnote3,Footnotes,Footnote ak,fn cafc,Footnotes Char Char,Footnote Text Char Char,fn Char Char,Footnote Text Char Char Char Char,Footnote Text1"/>
    <w:basedOn w:val="Normal"/>
    <w:link w:val="FootnoteTextChar"/>
    <w:rsid w:val="001D40B8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before="20" w:after="40"/>
      <w:ind w:left="1247"/>
    </w:pPr>
    <w:rPr>
      <w:sz w:val="18"/>
      <w:lang w:val="fr-CA"/>
    </w:rPr>
  </w:style>
  <w:style w:type="character" w:customStyle="1" w:styleId="FootnoteTextChar">
    <w:name w:val="Footnote Text Char"/>
    <w:aliases w:val="Geneva 9 Char,Font: Geneva 9 Char,Boston 10 Char,f Char,93 Char,single space Char,Footnote Text Rail EIS Char,ft Char,Char Char,footnote3 Char,Footnotes Char,Footnote ak Char,fn cafc Char,Footnotes Char Char Char,fn Char Char Char"/>
    <w:basedOn w:val="DefaultParagraphFont"/>
    <w:link w:val="FootnoteText"/>
    <w:rsid w:val="001D40B8"/>
    <w:rPr>
      <w:rFonts w:ascii="Times New Roman" w:eastAsia="Times New Roman" w:hAnsi="Times New Roman" w:cs="Times New Roman"/>
      <w:sz w:val="18"/>
      <w:szCs w:val="20"/>
      <w:lang w:val="fr-C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2</cp:revision>
  <dcterms:created xsi:type="dcterms:W3CDTF">2015-09-08T13:18:00Z</dcterms:created>
  <dcterms:modified xsi:type="dcterms:W3CDTF">2015-09-08T13:21:00Z</dcterms:modified>
</cp:coreProperties>
</file>