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5C1" w:rsidRPr="00340EB0" w:rsidRDefault="009A65C1" w:rsidP="009A65C1">
      <w:pPr>
        <w:pStyle w:val="NormalNonumber"/>
        <w:keepNext/>
        <w:numPr>
          <w:ilvl w:val="0"/>
          <w:numId w:val="0"/>
        </w:numPr>
        <w:tabs>
          <w:tab w:val="clear" w:pos="1247"/>
          <w:tab w:val="clear" w:pos="1814"/>
          <w:tab w:val="clear" w:pos="2381"/>
          <w:tab w:val="clear" w:pos="2948"/>
          <w:tab w:val="clear" w:pos="3515"/>
          <w:tab w:val="left" w:pos="624"/>
        </w:tabs>
        <w:spacing w:before="240"/>
        <w:ind w:left="1253"/>
        <w:rPr>
          <w:b/>
          <w:sz w:val="28"/>
          <w:szCs w:val="28"/>
          <w:lang w:val="en-US"/>
        </w:rPr>
      </w:pPr>
      <w:r w:rsidRPr="00340EB0">
        <w:rPr>
          <w:b/>
          <w:sz w:val="28"/>
          <w:szCs w:val="28"/>
        </w:rPr>
        <w:t>OEWG-</w:t>
      </w:r>
      <w:r>
        <w:rPr>
          <w:b/>
          <w:sz w:val="28"/>
          <w:szCs w:val="28"/>
        </w:rPr>
        <w:t>9</w:t>
      </w:r>
      <w:r w:rsidRPr="00340EB0">
        <w:rPr>
          <w:b/>
          <w:sz w:val="28"/>
          <w:szCs w:val="28"/>
        </w:rPr>
        <w:t>/</w:t>
      </w:r>
      <w:r w:rsidRPr="00340EB0">
        <w:rPr>
          <w:b/>
          <w:sz w:val="28"/>
          <w:szCs w:val="28"/>
          <w:lang w:eastAsia="ja-JP"/>
        </w:rPr>
        <w:t>7</w:t>
      </w:r>
      <w:r w:rsidRPr="00340EB0">
        <w:rPr>
          <w:b/>
          <w:sz w:val="28"/>
          <w:szCs w:val="28"/>
          <w:lang w:val="en-US"/>
        </w:rPr>
        <w:t xml:space="preserve">: </w:t>
      </w:r>
      <w:r w:rsidRPr="00B621F9">
        <w:rPr>
          <w:b/>
          <w:sz w:val="28"/>
          <w:szCs w:val="28"/>
          <w:lang w:val="en-US"/>
        </w:rPr>
        <w:t>Consultation with the Committee for Administering the Mechanism for Promoting Implementation and Compliance of the Convention</w:t>
      </w:r>
    </w:p>
    <w:p w:rsidR="009A65C1" w:rsidRPr="006423FC" w:rsidRDefault="009A65C1" w:rsidP="009A65C1">
      <w:pPr>
        <w:pStyle w:val="NormalNonumber"/>
        <w:numPr>
          <w:ilvl w:val="0"/>
          <w:numId w:val="0"/>
        </w:numPr>
        <w:tabs>
          <w:tab w:val="clear" w:pos="1247"/>
          <w:tab w:val="clear" w:pos="1814"/>
          <w:tab w:val="clear" w:pos="2381"/>
          <w:tab w:val="clear" w:pos="2948"/>
          <w:tab w:val="clear" w:pos="3515"/>
          <w:tab w:val="left" w:pos="624"/>
        </w:tabs>
        <w:ind w:left="1872"/>
        <w:rPr>
          <w:i/>
        </w:rPr>
      </w:pPr>
      <w:r w:rsidRPr="006423FC">
        <w:rPr>
          <w:i/>
        </w:rPr>
        <w:t>The Open-ended Working Group</w:t>
      </w:r>
    </w:p>
    <w:p w:rsidR="009A65C1" w:rsidRPr="00AE3E4A" w:rsidRDefault="009A65C1" w:rsidP="009A65C1">
      <w:pPr>
        <w:pStyle w:val="NormalNonumber"/>
        <w:numPr>
          <w:ilvl w:val="0"/>
          <w:numId w:val="0"/>
        </w:numPr>
        <w:tabs>
          <w:tab w:val="clear" w:pos="1247"/>
          <w:tab w:val="clear" w:pos="1814"/>
          <w:tab w:val="clear" w:pos="2381"/>
          <w:tab w:val="clear" w:pos="2948"/>
          <w:tab w:val="clear" w:pos="3515"/>
          <w:tab w:val="left" w:pos="624"/>
        </w:tabs>
        <w:ind w:left="1260" w:firstLine="630"/>
        <w:rPr>
          <w:color w:val="000000"/>
        </w:rPr>
      </w:pPr>
      <w:r w:rsidRPr="00DC1AA5">
        <w:t>1.</w:t>
      </w:r>
      <w:r>
        <w:tab/>
      </w:r>
      <w:r w:rsidRPr="00FC550B">
        <w:rPr>
          <w:i/>
          <w:color w:val="000000"/>
        </w:rPr>
        <w:t>Welcomes</w:t>
      </w:r>
      <w:r w:rsidRPr="00EF3D8A">
        <w:rPr>
          <w:color w:val="000000"/>
        </w:rPr>
        <w:t xml:space="preserve"> the work </w:t>
      </w:r>
      <w:r w:rsidRPr="00AE3E4A">
        <w:t>undertaken</w:t>
      </w:r>
      <w:r w:rsidRPr="00AE3E4A">
        <w:rPr>
          <w:color w:val="000000"/>
        </w:rPr>
        <w:t xml:space="preserve"> by the Committee for Administering the Mechanism for Promoting Implementation and Compliance of the Basel Convention and the opportunity to be consulted in the context of the Committee’s development of the </w:t>
      </w:r>
      <w:r w:rsidRPr="00AE3E4A">
        <w:t>draft methodological guide on the development of inventories, the draft guidance on the implementation of the Basel Convention illegal traffic take</w:t>
      </w:r>
      <w:r>
        <w:t>-</w:t>
      </w:r>
      <w:r w:rsidRPr="00AE3E4A">
        <w:t xml:space="preserve">back provision, the revised draft </w:t>
      </w:r>
      <w:r w:rsidRPr="00AE3E4A">
        <w:rPr>
          <w:bCs/>
        </w:rPr>
        <w:t>guide to the control system</w:t>
      </w:r>
      <w:r w:rsidRPr="00AE3E4A">
        <w:t xml:space="preserve"> and the updated version of the manual for the implementation of the Convention;</w:t>
      </w:r>
      <w:r w:rsidRPr="00AE3E4A">
        <w:rPr>
          <w:rStyle w:val="FootnoteReference"/>
        </w:rPr>
        <w:footnoteReference w:id="1"/>
      </w:r>
      <w:r w:rsidRPr="00AE3E4A" w:rsidDel="00922C6D">
        <w:rPr>
          <w:color w:val="000000"/>
        </w:rPr>
        <w:t xml:space="preserve"> </w:t>
      </w:r>
    </w:p>
    <w:p w:rsidR="009A65C1" w:rsidRPr="00AE3E4A" w:rsidRDefault="009A65C1" w:rsidP="009A65C1">
      <w:pPr>
        <w:pStyle w:val="NormalNonumber"/>
        <w:numPr>
          <w:ilvl w:val="0"/>
          <w:numId w:val="0"/>
        </w:numPr>
        <w:tabs>
          <w:tab w:val="clear" w:pos="1247"/>
          <w:tab w:val="clear" w:pos="1814"/>
          <w:tab w:val="clear" w:pos="2381"/>
          <w:tab w:val="clear" w:pos="2948"/>
          <w:tab w:val="clear" w:pos="3515"/>
          <w:tab w:val="left" w:pos="624"/>
        </w:tabs>
        <w:ind w:left="1260" w:firstLine="630"/>
        <w:rPr>
          <w:color w:val="000000"/>
        </w:rPr>
      </w:pPr>
      <w:r w:rsidRPr="00AE3E4A">
        <w:rPr>
          <w:color w:val="000000"/>
        </w:rPr>
        <w:t>2.</w:t>
      </w:r>
      <w:r w:rsidRPr="00AE3E4A">
        <w:rPr>
          <w:i/>
          <w:color w:val="000000"/>
        </w:rPr>
        <w:tab/>
        <w:t>Invites</w:t>
      </w:r>
      <w:r w:rsidRPr="00AE3E4A">
        <w:rPr>
          <w:color w:val="000000"/>
        </w:rPr>
        <w:t xml:space="preserve"> the Committee, when finalizing the first three of the guidance documents mentioned above for consideration and possible adoption by the Conference of the Parties at its twelfth meeting, to take into account the outcome of the consultations with the </w:t>
      </w:r>
      <w:proofErr w:type="spellStart"/>
      <w:r w:rsidRPr="00AE3E4A">
        <w:rPr>
          <w:color w:val="000000"/>
        </w:rPr>
        <w:t>Open</w:t>
      </w:r>
      <w:r w:rsidRPr="00AE3E4A">
        <w:rPr>
          <w:color w:val="000000"/>
        </w:rPr>
        <w:noBreakHyphen/>
        <w:t>ended</w:t>
      </w:r>
      <w:proofErr w:type="spellEnd"/>
      <w:r w:rsidRPr="00AE3E4A">
        <w:rPr>
          <w:color w:val="000000"/>
        </w:rPr>
        <w:t xml:space="preserve"> Working Group at its ninth meeting;</w:t>
      </w:r>
    </w:p>
    <w:p w:rsidR="009A65C1" w:rsidRPr="00EF3D8A" w:rsidRDefault="009A65C1" w:rsidP="009A65C1">
      <w:pPr>
        <w:pStyle w:val="NormalNonumber"/>
        <w:numPr>
          <w:ilvl w:val="0"/>
          <w:numId w:val="0"/>
        </w:numPr>
        <w:tabs>
          <w:tab w:val="clear" w:pos="1247"/>
          <w:tab w:val="clear" w:pos="1814"/>
          <w:tab w:val="clear" w:pos="2381"/>
          <w:tab w:val="clear" w:pos="2948"/>
          <w:tab w:val="clear" w:pos="3515"/>
          <w:tab w:val="left" w:pos="624"/>
        </w:tabs>
        <w:ind w:left="1260" w:firstLine="630"/>
        <w:rPr>
          <w:color w:val="000000"/>
        </w:rPr>
      </w:pPr>
      <w:r w:rsidRPr="00AE3E4A">
        <w:rPr>
          <w:color w:val="000000"/>
        </w:rPr>
        <w:t>3.</w:t>
      </w:r>
      <w:r w:rsidRPr="00AE3E4A">
        <w:rPr>
          <w:color w:val="000000"/>
        </w:rPr>
        <w:tab/>
      </w:r>
      <w:r w:rsidRPr="00AE3E4A">
        <w:rPr>
          <w:i/>
          <w:color w:val="000000"/>
        </w:rPr>
        <w:t>Also invites</w:t>
      </w:r>
      <w:r w:rsidRPr="00AE3E4A">
        <w:rPr>
          <w:color w:val="000000"/>
        </w:rPr>
        <w:t xml:space="preserve"> the Committee to consider preparing a revised version of the manual for the implementation of the Convention, taking into account comments received during the ninth meeting of the Open-ended Working Group, inviting comments thereon from parties and others and finalizing the manual taking into account comments received, for consideration and possible adoption by the Conference of the Parties at its twelfth meeting.</w:t>
      </w:r>
      <w:r>
        <w:rPr>
          <w:color w:val="000000"/>
        </w:rPr>
        <w:t xml:space="preserve"> </w:t>
      </w:r>
    </w:p>
    <w:p w:rsidR="000B25F8" w:rsidRPr="003616FC" w:rsidRDefault="000B25F8" w:rsidP="003616FC"/>
    <w:sectPr w:rsidR="000B25F8" w:rsidRPr="003616FC" w:rsidSect="003508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5F8" w:rsidRDefault="000B25F8" w:rsidP="000B25F8">
      <w:r>
        <w:separator/>
      </w:r>
    </w:p>
  </w:endnote>
  <w:endnote w:type="continuationSeparator" w:id="0">
    <w:p w:rsidR="000B25F8" w:rsidRDefault="000B25F8" w:rsidP="000B25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5F8" w:rsidRDefault="000B25F8" w:rsidP="000B25F8">
      <w:r>
        <w:separator/>
      </w:r>
    </w:p>
  </w:footnote>
  <w:footnote w:type="continuationSeparator" w:id="0">
    <w:p w:rsidR="000B25F8" w:rsidRDefault="000B25F8" w:rsidP="000B25F8">
      <w:r>
        <w:continuationSeparator/>
      </w:r>
    </w:p>
  </w:footnote>
  <w:footnote w:id="1">
    <w:p w:rsidR="009A65C1" w:rsidRPr="004124C3" w:rsidRDefault="009A65C1" w:rsidP="009A65C1">
      <w:pPr>
        <w:pStyle w:val="FootnoteText"/>
        <w:rPr>
          <w:szCs w:val="18"/>
          <w:lang w:val="en-US"/>
        </w:rPr>
      </w:pPr>
      <w:r w:rsidRPr="004124C3">
        <w:rPr>
          <w:rStyle w:val="FootnoteReference"/>
        </w:rPr>
        <w:footnoteRef/>
      </w:r>
      <w:r w:rsidRPr="004124C3">
        <w:rPr>
          <w:szCs w:val="18"/>
        </w:rPr>
        <w:t xml:space="preserve"> </w:t>
      </w:r>
      <w:r w:rsidRPr="004124C3">
        <w:rPr>
          <w:szCs w:val="18"/>
          <w:lang w:val="en-US"/>
        </w:rPr>
        <w:t>UNEP/CHW/OEWG.9/INF/16–19.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56C3"/>
    <w:multiLevelType w:val="multilevel"/>
    <w:tmpl w:val="5B380A66"/>
    <w:lvl w:ilvl="0">
      <w:start w:val="1"/>
      <w:numFmt w:val="decimal"/>
      <w:lvlText w:val="%1."/>
      <w:lvlJc w:val="left"/>
      <w:pPr>
        <w:tabs>
          <w:tab w:val="num" w:pos="568"/>
        </w:tabs>
        <w:ind w:left="1248" w:firstLine="0"/>
      </w:pPr>
      <w:rPr>
        <w:rFonts w:hint="default"/>
        <w:vertAlign w:val="baseline"/>
      </w:rPr>
    </w:lvl>
    <w:lvl w:ilvl="1">
      <w:start w:val="1"/>
      <w:numFmt w:val="lowerLetter"/>
      <w:lvlText w:val="(%2)"/>
      <w:lvlJc w:val="left"/>
      <w:pPr>
        <w:tabs>
          <w:tab w:val="num" w:pos="568"/>
        </w:tabs>
        <w:ind w:left="1248" w:firstLine="567"/>
      </w:pPr>
      <w:rPr>
        <w:rFonts w:hint="default"/>
      </w:rPr>
    </w:lvl>
    <w:lvl w:ilvl="2">
      <w:start w:val="1"/>
      <w:numFmt w:val="lowerRoman"/>
      <w:lvlText w:val="(%3)"/>
      <w:lvlJc w:val="left"/>
      <w:pPr>
        <w:tabs>
          <w:tab w:val="num" w:pos="568"/>
        </w:tabs>
        <w:ind w:left="2949" w:hanging="567"/>
      </w:pPr>
      <w:rPr>
        <w:rFonts w:hint="default"/>
      </w:rPr>
    </w:lvl>
    <w:lvl w:ilvl="3">
      <w:start w:val="1"/>
      <w:numFmt w:val="lowerLetter"/>
      <w:lvlText w:val="%4."/>
      <w:lvlJc w:val="left"/>
      <w:pPr>
        <w:tabs>
          <w:tab w:val="num" w:pos="568"/>
        </w:tabs>
        <w:ind w:left="3516" w:hanging="567"/>
      </w:pPr>
      <w:rPr>
        <w:rFonts w:hint="default"/>
      </w:rPr>
    </w:lvl>
    <w:lvl w:ilvl="4">
      <w:start w:val="1"/>
      <w:numFmt w:val="lowerLetter"/>
      <w:lvlText w:val="%5."/>
      <w:lvlJc w:val="left"/>
      <w:pPr>
        <w:tabs>
          <w:tab w:val="num" w:pos="6549"/>
        </w:tabs>
        <w:ind w:left="6549" w:hanging="360"/>
      </w:pPr>
      <w:rPr>
        <w:rFonts w:hint="default"/>
      </w:rPr>
    </w:lvl>
    <w:lvl w:ilvl="5">
      <w:start w:val="1"/>
      <w:numFmt w:val="lowerRoman"/>
      <w:lvlText w:val="%6."/>
      <w:lvlJc w:val="right"/>
      <w:pPr>
        <w:tabs>
          <w:tab w:val="num" w:pos="7269"/>
        </w:tabs>
        <w:ind w:left="7269" w:hanging="180"/>
      </w:pPr>
      <w:rPr>
        <w:rFonts w:hint="default"/>
      </w:rPr>
    </w:lvl>
    <w:lvl w:ilvl="6">
      <w:start w:val="1"/>
      <w:numFmt w:val="decimal"/>
      <w:lvlText w:val="%7."/>
      <w:lvlJc w:val="left"/>
      <w:pPr>
        <w:tabs>
          <w:tab w:val="num" w:pos="7989"/>
        </w:tabs>
        <w:ind w:left="7989" w:hanging="360"/>
      </w:pPr>
      <w:rPr>
        <w:rFonts w:hint="default"/>
      </w:rPr>
    </w:lvl>
    <w:lvl w:ilvl="7">
      <w:start w:val="1"/>
      <w:numFmt w:val="lowerLetter"/>
      <w:lvlText w:val="%8."/>
      <w:lvlJc w:val="left"/>
      <w:pPr>
        <w:tabs>
          <w:tab w:val="num" w:pos="8709"/>
        </w:tabs>
        <w:ind w:left="8709" w:hanging="360"/>
      </w:pPr>
      <w:rPr>
        <w:rFonts w:hint="default"/>
      </w:rPr>
    </w:lvl>
    <w:lvl w:ilvl="8">
      <w:start w:val="1"/>
      <w:numFmt w:val="lowerRoman"/>
      <w:lvlText w:val="%9."/>
      <w:lvlJc w:val="right"/>
      <w:pPr>
        <w:tabs>
          <w:tab w:val="num" w:pos="9429"/>
        </w:tabs>
        <w:ind w:left="9429" w:hanging="180"/>
      </w:pPr>
      <w:rPr>
        <w:rFonts w:hint="default"/>
      </w:rPr>
    </w:lvl>
  </w:abstractNum>
  <w:abstractNum w:abstractNumId="1">
    <w:nsid w:val="241442DA"/>
    <w:multiLevelType w:val="hybridMultilevel"/>
    <w:tmpl w:val="ACA00756"/>
    <w:lvl w:ilvl="0" w:tplc="0B02D16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07F3DD9"/>
    <w:multiLevelType w:val="multilevel"/>
    <w:tmpl w:val="5436101C"/>
    <w:lvl w:ilvl="0">
      <w:start w:val="1"/>
      <w:numFmt w:val="decimal"/>
      <w:lvlText w:val="%1."/>
      <w:lvlJc w:val="left"/>
      <w:pPr>
        <w:tabs>
          <w:tab w:val="num" w:pos="1191"/>
        </w:tabs>
        <w:ind w:left="1871" w:firstLine="0"/>
      </w:pPr>
      <w:rPr>
        <w:rFonts w:ascii="Times New Roman" w:eastAsia="Times New Roman" w:hAnsi="Times New Roman" w:cs="Times New Roman"/>
        <w:i w:val="0"/>
      </w:rPr>
    </w:lvl>
    <w:lvl w:ilvl="1">
      <w:start w:val="1"/>
      <w:numFmt w:val="lowerLetter"/>
      <w:lvlText w:val="(%2)"/>
      <w:lvlJc w:val="left"/>
      <w:pPr>
        <w:tabs>
          <w:tab w:val="num" w:pos="1191"/>
        </w:tabs>
        <w:ind w:left="1871" w:firstLine="567"/>
      </w:pPr>
      <w:rPr>
        <w:rFonts w:hint="default"/>
      </w:rPr>
    </w:lvl>
    <w:lvl w:ilvl="2">
      <w:start w:val="1"/>
      <w:numFmt w:val="lowerRoman"/>
      <w:lvlText w:val="(%3)"/>
      <w:lvlJc w:val="left"/>
      <w:pPr>
        <w:tabs>
          <w:tab w:val="num" w:pos="1191"/>
        </w:tabs>
        <w:ind w:left="3572" w:hanging="567"/>
      </w:pPr>
      <w:rPr>
        <w:rFonts w:hint="default"/>
      </w:rPr>
    </w:lvl>
    <w:lvl w:ilvl="3">
      <w:start w:val="1"/>
      <w:numFmt w:val="lowerLetter"/>
      <w:lvlText w:val="%4."/>
      <w:lvlJc w:val="left"/>
      <w:pPr>
        <w:tabs>
          <w:tab w:val="num" w:pos="1191"/>
        </w:tabs>
        <w:ind w:left="4139" w:hanging="567"/>
      </w:pPr>
      <w:rPr>
        <w:rFonts w:hint="default"/>
      </w:rPr>
    </w:lvl>
    <w:lvl w:ilvl="4">
      <w:start w:val="1"/>
      <w:numFmt w:val="lowerLetter"/>
      <w:lvlText w:val="%5."/>
      <w:lvlJc w:val="left"/>
      <w:pPr>
        <w:tabs>
          <w:tab w:val="num" w:pos="7172"/>
        </w:tabs>
        <w:ind w:left="7172" w:hanging="360"/>
      </w:pPr>
      <w:rPr>
        <w:rFonts w:hint="default"/>
      </w:rPr>
    </w:lvl>
    <w:lvl w:ilvl="5">
      <w:start w:val="1"/>
      <w:numFmt w:val="lowerRoman"/>
      <w:lvlText w:val="%6."/>
      <w:lvlJc w:val="right"/>
      <w:pPr>
        <w:tabs>
          <w:tab w:val="num" w:pos="7892"/>
        </w:tabs>
        <w:ind w:left="7892" w:hanging="180"/>
      </w:pPr>
      <w:rPr>
        <w:rFonts w:hint="default"/>
      </w:rPr>
    </w:lvl>
    <w:lvl w:ilvl="6">
      <w:start w:val="1"/>
      <w:numFmt w:val="decimal"/>
      <w:lvlText w:val="%7."/>
      <w:lvlJc w:val="left"/>
      <w:pPr>
        <w:tabs>
          <w:tab w:val="num" w:pos="8612"/>
        </w:tabs>
        <w:ind w:left="8612" w:hanging="360"/>
      </w:pPr>
      <w:rPr>
        <w:rFonts w:hint="default"/>
      </w:rPr>
    </w:lvl>
    <w:lvl w:ilvl="7">
      <w:start w:val="1"/>
      <w:numFmt w:val="lowerLetter"/>
      <w:lvlText w:val="%8."/>
      <w:lvlJc w:val="left"/>
      <w:pPr>
        <w:tabs>
          <w:tab w:val="num" w:pos="9332"/>
        </w:tabs>
        <w:ind w:left="9332" w:hanging="360"/>
      </w:pPr>
      <w:rPr>
        <w:rFonts w:hint="default"/>
      </w:rPr>
    </w:lvl>
    <w:lvl w:ilvl="8">
      <w:start w:val="1"/>
      <w:numFmt w:val="lowerRoman"/>
      <w:lvlText w:val="%9."/>
      <w:lvlJc w:val="right"/>
      <w:pPr>
        <w:tabs>
          <w:tab w:val="num" w:pos="10052"/>
        </w:tabs>
        <w:ind w:left="10052" w:hanging="180"/>
      </w:pPr>
      <w:rPr>
        <w:rFonts w:hint="default"/>
      </w:rPr>
    </w:lvl>
  </w:abstractNum>
  <w:abstractNum w:abstractNumId="3">
    <w:nsid w:val="35E37C56"/>
    <w:multiLevelType w:val="hybridMultilevel"/>
    <w:tmpl w:val="6E1ED5F8"/>
    <w:lvl w:ilvl="0" w:tplc="C9900F68">
      <w:start w:val="1"/>
      <w:numFmt w:val="decimal"/>
      <w:pStyle w:val="NormalNonumber"/>
      <w:lvlText w:val="%1."/>
      <w:lvlJc w:val="left"/>
      <w:pPr>
        <w:ind w:left="1967" w:hanging="360"/>
      </w:pPr>
      <w:rPr>
        <w:rFonts w:ascii="Times New Roman" w:hAnsi="Times New Roman" w:hint="default"/>
        <w:sz w:val="20"/>
      </w:rPr>
    </w:lvl>
    <w:lvl w:ilvl="1" w:tplc="08090019">
      <w:start w:val="1"/>
      <w:numFmt w:val="lowerLetter"/>
      <w:lvlText w:val="%2."/>
      <w:lvlJc w:val="left"/>
      <w:pPr>
        <w:ind w:left="2687" w:hanging="360"/>
      </w:pPr>
    </w:lvl>
    <w:lvl w:ilvl="2" w:tplc="0809001B" w:tentative="1">
      <w:start w:val="1"/>
      <w:numFmt w:val="lowerRoman"/>
      <w:lvlText w:val="%3."/>
      <w:lvlJc w:val="right"/>
      <w:pPr>
        <w:ind w:left="3407" w:hanging="180"/>
      </w:pPr>
    </w:lvl>
    <w:lvl w:ilvl="3" w:tplc="0809000F" w:tentative="1">
      <w:start w:val="1"/>
      <w:numFmt w:val="decimal"/>
      <w:lvlText w:val="%4."/>
      <w:lvlJc w:val="left"/>
      <w:pPr>
        <w:ind w:left="4127" w:hanging="360"/>
      </w:pPr>
    </w:lvl>
    <w:lvl w:ilvl="4" w:tplc="08090019" w:tentative="1">
      <w:start w:val="1"/>
      <w:numFmt w:val="lowerLetter"/>
      <w:lvlText w:val="%5."/>
      <w:lvlJc w:val="left"/>
      <w:pPr>
        <w:ind w:left="4847" w:hanging="360"/>
      </w:pPr>
    </w:lvl>
    <w:lvl w:ilvl="5" w:tplc="0809001B" w:tentative="1">
      <w:start w:val="1"/>
      <w:numFmt w:val="lowerRoman"/>
      <w:lvlText w:val="%6."/>
      <w:lvlJc w:val="right"/>
      <w:pPr>
        <w:ind w:left="5567" w:hanging="180"/>
      </w:pPr>
    </w:lvl>
    <w:lvl w:ilvl="6" w:tplc="0809000F" w:tentative="1">
      <w:start w:val="1"/>
      <w:numFmt w:val="decimal"/>
      <w:lvlText w:val="%7."/>
      <w:lvlJc w:val="left"/>
      <w:pPr>
        <w:ind w:left="6287" w:hanging="360"/>
      </w:pPr>
    </w:lvl>
    <w:lvl w:ilvl="7" w:tplc="08090019" w:tentative="1">
      <w:start w:val="1"/>
      <w:numFmt w:val="lowerLetter"/>
      <w:lvlText w:val="%8."/>
      <w:lvlJc w:val="left"/>
      <w:pPr>
        <w:ind w:left="7007" w:hanging="360"/>
      </w:pPr>
    </w:lvl>
    <w:lvl w:ilvl="8" w:tplc="0809001B" w:tentative="1">
      <w:start w:val="1"/>
      <w:numFmt w:val="lowerRoman"/>
      <w:lvlText w:val="%9."/>
      <w:lvlJc w:val="right"/>
      <w:pPr>
        <w:ind w:left="7727" w:hanging="180"/>
      </w:pPr>
    </w:lvl>
  </w:abstractNum>
  <w:abstractNum w:abstractNumId="4">
    <w:nsid w:val="483A2339"/>
    <w:multiLevelType w:val="hybridMultilevel"/>
    <w:tmpl w:val="F1B662D0"/>
    <w:lvl w:ilvl="0" w:tplc="3102673C">
      <w:start w:val="1"/>
      <w:numFmt w:val="decimal"/>
      <w:lvlText w:val="%1."/>
      <w:lvlJc w:val="left"/>
      <w:pPr>
        <w:ind w:left="1607" w:hanging="360"/>
      </w:pPr>
      <w:rPr>
        <w:rFonts w:hint="default"/>
      </w:rPr>
    </w:lvl>
    <w:lvl w:ilvl="1" w:tplc="04090019" w:tentative="1">
      <w:start w:val="1"/>
      <w:numFmt w:val="lowerLetter"/>
      <w:lvlText w:val="%2."/>
      <w:lvlJc w:val="left"/>
      <w:pPr>
        <w:ind w:left="2327" w:hanging="360"/>
      </w:pPr>
    </w:lvl>
    <w:lvl w:ilvl="2" w:tplc="0409001B" w:tentative="1">
      <w:start w:val="1"/>
      <w:numFmt w:val="lowerRoman"/>
      <w:lvlText w:val="%3."/>
      <w:lvlJc w:val="right"/>
      <w:pPr>
        <w:ind w:left="3047" w:hanging="180"/>
      </w:pPr>
    </w:lvl>
    <w:lvl w:ilvl="3" w:tplc="0409000F" w:tentative="1">
      <w:start w:val="1"/>
      <w:numFmt w:val="decimal"/>
      <w:lvlText w:val="%4."/>
      <w:lvlJc w:val="left"/>
      <w:pPr>
        <w:ind w:left="3767" w:hanging="360"/>
      </w:pPr>
    </w:lvl>
    <w:lvl w:ilvl="4" w:tplc="04090019" w:tentative="1">
      <w:start w:val="1"/>
      <w:numFmt w:val="lowerLetter"/>
      <w:lvlText w:val="%5."/>
      <w:lvlJc w:val="left"/>
      <w:pPr>
        <w:ind w:left="4487" w:hanging="360"/>
      </w:pPr>
    </w:lvl>
    <w:lvl w:ilvl="5" w:tplc="0409001B" w:tentative="1">
      <w:start w:val="1"/>
      <w:numFmt w:val="lowerRoman"/>
      <w:lvlText w:val="%6."/>
      <w:lvlJc w:val="right"/>
      <w:pPr>
        <w:ind w:left="5207" w:hanging="180"/>
      </w:pPr>
    </w:lvl>
    <w:lvl w:ilvl="6" w:tplc="0409000F" w:tentative="1">
      <w:start w:val="1"/>
      <w:numFmt w:val="decimal"/>
      <w:lvlText w:val="%7."/>
      <w:lvlJc w:val="left"/>
      <w:pPr>
        <w:ind w:left="5927" w:hanging="360"/>
      </w:pPr>
    </w:lvl>
    <w:lvl w:ilvl="7" w:tplc="04090019" w:tentative="1">
      <w:start w:val="1"/>
      <w:numFmt w:val="lowerLetter"/>
      <w:lvlText w:val="%8."/>
      <w:lvlJc w:val="left"/>
      <w:pPr>
        <w:ind w:left="6647" w:hanging="360"/>
      </w:pPr>
    </w:lvl>
    <w:lvl w:ilvl="8" w:tplc="0409001B" w:tentative="1">
      <w:start w:val="1"/>
      <w:numFmt w:val="lowerRoman"/>
      <w:lvlText w:val="%9."/>
      <w:lvlJc w:val="right"/>
      <w:pPr>
        <w:ind w:left="7367" w:hanging="180"/>
      </w:pPr>
    </w:lvl>
  </w:abstractNum>
  <w:abstractNum w:abstractNumId="5">
    <w:nsid w:val="52A66A9D"/>
    <w:multiLevelType w:val="multilevel"/>
    <w:tmpl w:val="48241D10"/>
    <w:styleLink w:val="Normallist"/>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6">
    <w:nsid w:val="56E007DC"/>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3"/>
  </w:num>
  <w:num w:numId="2">
    <w:abstractNumId w:val="3"/>
  </w:num>
  <w:num w:numId="3">
    <w:abstractNumId w:val="1"/>
  </w:num>
  <w:num w:numId="4">
    <w:abstractNumId w:val="4"/>
  </w:num>
  <w:num w:numId="5">
    <w:abstractNumId w:val="5"/>
  </w:num>
  <w:num w:numId="6">
    <w:abstractNumId w:val="5"/>
    <w:lvlOverride w:ilvl="0">
      <w:lvl w:ilvl="0">
        <w:start w:val="1"/>
        <w:numFmt w:val="decimal"/>
        <w:lvlText w:val="%1."/>
        <w:lvlJc w:val="left"/>
        <w:pPr>
          <w:tabs>
            <w:tab w:val="num" w:pos="1134"/>
          </w:tabs>
          <w:ind w:left="1247" w:firstLine="0"/>
        </w:pPr>
        <w:rPr>
          <w:rFonts w:hint="default"/>
          <w:i w:val="0"/>
        </w:rPr>
      </w:lvl>
    </w:lvlOverride>
  </w:num>
  <w:num w:numId="7">
    <w:abstractNumId w:val="0"/>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footnotePr>
    <w:footnote w:id="-1"/>
    <w:footnote w:id="0"/>
  </w:footnotePr>
  <w:endnotePr>
    <w:endnote w:id="-1"/>
    <w:endnote w:id="0"/>
  </w:endnotePr>
  <w:compat/>
  <w:rsids>
    <w:rsidRoot w:val="00E3382D"/>
    <w:rsid w:val="000718B6"/>
    <w:rsid w:val="000B25F8"/>
    <w:rsid w:val="0035083F"/>
    <w:rsid w:val="003616FC"/>
    <w:rsid w:val="00430E46"/>
    <w:rsid w:val="00523046"/>
    <w:rsid w:val="006343E0"/>
    <w:rsid w:val="006D5129"/>
    <w:rsid w:val="00827715"/>
    <w:rsid w:val="00951E19"/>
    <w:rsid w:val="009A65C1"/>
    <w:rsid w:val="009F6B9A"/>
    <w:rsid w:val="00A16B8F"/>
    <w:rsid w:val="00BF57B2"/>
    <w:rsid w:val="00E3382D"/>
    <w:rsid w:val="00FB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2D"/>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uiPriority w:val="9"/>
    <w:semiHidden/>
    <w:unhideWhenUsed/>
    <w:qFormat/>
    <w:rsid w:val="000B25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E3382D"/>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paragraph" w:customStyle="1" w:styleId="NormalNonumber">
    <w:name w:val="Normal_No_number"/>
    <w:basedOn w:val="Normal-pool"/>
    <w:rsid w:val="00E3382D"/>
    <w:pPr>
      <w:numPr>
        <w:numId w:val="1"/>
      </w:numPr>
      <w:spacing w:after="120"/>
    </w:pPr>
  </w:style>
  <w:style w:type="character" w:customStyle="1" w:styleId="Normal-poolChar">
    <w:name w:val="Normal-pool Char"/>
    <w:link w:val="Normal-pool"/>
    <w:locked/>
    <w:rsid w:val="00E3382D"/>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Ref,de nota al pie,註腳內容,de nota al pie + (Asian) MS Mincho,11 pt,Ref. de nota de rodapé1"/>
    <w:rsid w:val="000B25F8"/>
    <w:rPr>
      <w:rFonts w:ascii="Times New Roman" w:hAnsi="Times New Roman"/>
      <w:color w:val="auto"/>
      <w:sz w:val="20"/>
      <w:szCs w:val="18"/>
      <w:vertAlign w:val="superscript"/>
    </w:rPr>
  </w:style>
  <w:style w:type="paragraph" w:styleId="FootnoteText">
    <w:name w:val="footnote text"/>
    <w:aliases w:val="DNV-FT,Geneva 9,Font: Geneva 9,Boston 10,f,footnote3,text,Geneva,92,Font:,Boston,10,FOOTNOTES,fn,single space,Footnote Text Rail EIS,ft,Footnotes,Footnote ak,fn cafc,Footnotes Char Char,Footnote Text Char Char,fn Char Char,footnote text"/>
    <w:basedOn w:val="Normal-pool"/>
    <w:link w:val="FootnoteTextChar"/>
    <w:rsid w:val="000B25F8"/>
    <w:pPr>
      <w:spacing w:before="20" w:after="40"/>
      <w:ind w:left="1247"/>
    </w:pPr>
    <w:rPr>
      <w:sz w:val="18"/>
    </w:rPr>
  </w:style>
  <w:style w:type="character" w:customStyle="1" w:styleId="FootnoteTextChar">
    <w:name w:val="Footnote Text Char"/>
    <w:aliases w:val="DNV-FT Char,Geneva 9 Char,Font: Geneva 9 Char,Boston 10 Char,f Char,footnote3 Char,text Char,Geneva Char,92 Char,Font: Char,Boston Char,10 Char,FOOTNOTES Char,fn Char,single space Char,Footnote Text Rail EIS Char,ft Char,fn cafc Char"/>
    <w:basedOn w:val="DefaultParagraphFont"/>
    <w:link w:val="FootnoteText"/>
    <w:rsid w:val="000B25F8"/>
    <w:rPr>
      <w:rFonts w:ascii="Times New Roman" w:eastAsia="Times New Roman" w:hAnsi="Times New Roman" w:cs="Times New Roman"/>
      <w:sz w:val="18"/>
      <w:szCs w:val="20"/>
      <w:lang w:val="en-GB"/>
    </w:rPr>
  </w:style>
  <w:style w:type="paragraph" w:customStyle="1" w:styleId="ZZAnxtitle">
    <w:name w:val="ZZ_Anx_title"/>
    <w:basedOn w:val="Normal-pool"/>
    <w:link w:val="ZZAnxtitleChar"/>
    <w:rsid w:val="000B25F8"/>
    <w:pPr>
      <w:spacing w:before="360" w:after="120"/>
      <w:ind w:left="1247"/>
    </w:pPr>
    <w:rPr>
      <w:b/>
      <w:bCs/>
      <w:sz w:val="28"/>
      <w:szCs w:val="26"/>
    </w:rPr>
  </w:style>
  <w:style w:type="character" w:customStyle="1" w:styleId="ZZAnxtitleChar">
    <w:name w:val="ZZ_Anx_title Char"/>
    <w:link w:val="ZZAnxtitle"/>
    <w:rsid w:val="000B25F8"/>
    <w:rPr>
      <w:rFonts w:ascii="Times New Roman" w:eastAsia="Times New Roman" w:hAnsi="Times New Roman" w:cs="Times New Roman"/>
      <w:b/>
      <w:bCs/>
      <w:sz w:val="28"/>
      <w:szCs w:val="26"/>
      <w:lang w:val="en-GB"/>
    </w:rPr>
  </w:style>
  <w:style w:type="paragraph" w:customStyle="1" w:styleId="Subtitle">
    <w:name w:val="Sub title"/>
    <w:basedOn w:val="Heading2"/>
    <w:rsid w:val="000B25F8"/>
    <w:pPr>
      <w:keepLines w:val="0"/>
      <w:tabs>
        <w:tab w:val="clear" w:pos="1247"/>
        <w:tab w:val="clear" w:pos="1814"/>
        <w:tab w:val="clear" w:pos="2381"/>
        <w:tab w:val="clear" w:pos="2948"/>
        <w:tab w:val="clear" w:pos="3515"/>
      </w:tabs>
      <w:spacing w:before="0"/>
      <w:ind w:left="1247"/>
    </w:pPr>
    <w:rPr>
      <w:rFonts w:ascii="Times New Roman" w:eastAsia="Times New Roman" w:hAnsi="Times New Roman" w:cs="Times New Roman"/>
      <w:bCs w:val="0"/>
      <w:color w:val="auto"/>
      <w:sz w:val="24"/>
      <w:szCs w:val="24"/>
    </w:rPr>
  </w:style>
  <w:style w:type="character" w:customStyle="1" w:styleId="Heading2Char">
    <w:name w:val="Heading 2 Char"/>
    <w:basedOn w:val="DefaultParagraphFont"/>
    <w:link w:val="Heading2"/>
    <w:uiPriority w:val="9"/>
    <w:semiHidden/>
    <w:rsid w:val="000B25F8"/>
    <w:rPr>
      <w:rFonts w:asciiTheme="majorHAnsi" w:eastAsiaTheme="majorEastAsia" w:hAnsiTheme="majorHAnsi" w:cstheme="majorBidi"/>
      <w:b/>
      <w:bCs/>
      <w:color w:val="4F81BD" w:themeColor="accent1"/>
      <w:sz w:val="26"/>
      <w:szCs w:val="26"/>
      <w:lang w:val="en-GB"/>
    </w:rPr>
  </w:style>
  <w:style w:type="character" w:customStyle="1" w:styleId="NormalnumberChar">
    <w:name w:val="Normal_number Char"/>
    <w:link w:val="Normalnumber"/>
    <w:rsid w:val="00A16B8F"/>
    <w:rPr>
      <w:lang w:val="en-GB"/>
    </w:rPr>
  </w:style>
  <w:style w:type="numbering" w:customStyle="1" w:styleId="Normallist">
    <w:name w:val="Normal_list"/>
    <w:basedOn w:val="NoList"/>
    <w:rsid w:val="00A16B8F"/>
    <w:pPr>
      <w:numPr>
        <w:numId w:val="5"/>
      </w:numPr>
    </w:pPr>
  </w:style>
  <w:style w:type="paragraph" w:customStyle="1" w:styleId="Normalnumber">
    <w:name w:val="Normal_number"/>
    <w:basedOn w:val="Normal-pool"/>
    <w:link w:val="NormalnumberChar"/>
    <w:rsid w:val="00A16B8F"/>
    <w:pPr>
      <w:spacing w:after="120"/>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1220</Characters>
  <Application>Microsoft Office Word</Application>
  <DocSecurity>0</DocSecurity>
  <Lines>21</Lines>
  <Paragraphs>11</Paragraphs>
  <ScaleCrop>false</ScaleCrop>
  <Company>BRS</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cbottollier</dc:creator>
  <cp:lastModifiedBy>cbottollier</cp:lastModifiedBy>
  <cp:revision>2</cp:revision>
  <dcterms:created xsi:type="dcterms:W3CDTF">2015-09-04T14:21:00Z</dcterms:created>
  <dcterms:modified xsi:type="dcterms:W3CDTF">2015-09-04T14:21:00Z</dcterms:modified>
</cp:coreProperties>
</file>