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E46" w:rsidRPr="00DB3B6E" w:rsidRDefault="00430E46" w:rsidP="00430E46">
      <w:pPr>
        <w:spacing w:before="240" w:after="120"/>
        <w:ind w:left="1253"/>
        <w:rPr>
          <w:b/>
          <w:sz w:val="28"/>
          <w:szCs w:val="28"/>
          <w:lang w:val="en-US"/>
        </w:rPr>
      </w:pPr>
      <w:r w:rsidRPr="00DB3B6E">
        <w:rPr>
          <w:b/>
          <w:sz w:val="28"/>
          <w:szCs w:val="28"/>
        </w:rPr>
        <w:t>OEWG-</w:t>
      </w:r>
      <w:r>
        <w:rPr>
          <w:b/>
          <w:sz w:val="28"/>
          <w:szCs w:val="28"/>
        </w:rPr>
        <w:t>9</w:t>
      </w:r>
      <w:r w:rsidRPr="00DB3B6E">
        <w:rPr>
          <w:b/>
          <w:sz w:val="28"/>
          <w:szCs w:val="28"/>
        </w:rPr>
        <w:t>/</w:t>
      </w:r>
      <w:r w:rsidRPr="00DB3B6E">
        <w:rPr>
          <w:b/>
          <w:sz w:val="28"/>
          <w:szCs w:val="28"/>
          <w:lang w:eastAsia="ja-JP"/>
        </w:rPr>
        <w:t>4</w:t>
      </w:r>
      <w:r w:rsidRPr="00DB3B6E">
        <w:rPr>
          <w:b/>
          <w:sz w:val="28"/>
          <w:szCs w:val="28"/>
          <w:lang w:val="en-US"/>
        </w:rPr>
        <w:t xml:space="preserve">: </w:t>
      </w:r>
      <w:r w:rsidRPr="00616178">
        <w:rPr>
          <w:b/>
          <w:sz w:val="28"/>
          <w:szCs w:val="28"/>
          <w:lang w:val="en-US"/>
        </w:rPr>
        <w:t>Technical guidelines for the environmentally sound management of wastes consisting of elemental mercury and wastes containing or contaminated with mercury</w:t>
      </w:r>
    </w:p>
    <w:p w:rsidR="00430E46" w:rsidRPr="00BB698E" w:rsidRDefault="00430E46" w:rsidP="00430E46">
      <w:pPr>
        <w:pStyle w:val="Normalnumber"/>
        <w:tabs>
          <w:tab w:val="clear" w:pos="1247"/>
          <w:tab w:val="clear" w:pos="1814"/>
          <w:tab w:val="clear" w:pos="2381"/>
          <w:tab w:val="clear" w:pos="2948"/>
          <w:tab w:val="clear" w:pos="3515"/>
          <w:tab w:val="left" w:pos="624"/>
        </w:tabs>
        <w:ind w:left="1247" w:firstLine="624"/>
        <w:rPr>
          <w:i/>
          <w:lang w:val="en-US"/>
        </w:rPr>
      </w:pPr>
      <w:r w:rsidRPr="00A514FB">
        <w:rPr>
          <w:i/>
        </w:rPr>
        <w:t>The Open-ended Working Group</w:t>
      </w:r>
      <w:r w:rsidRPr="00BB698E">
        <w:rPr>
          <w:i/>
          <w:lang w:val="en-US"/>
        </w:rPr>
        <w:t>,</w:t>
      </w:r>
    </w:p>
    <w:p w:rsidR="00430E46" w:rsidRPr="00572CD7" w:rsidRDefault="00430E46" w:rsidP="00430E46">
      <w:pPr>
        <w:pStyle w:val="NormalNonumber"/>
        <w:numPr>
          <w:ilvl w:val="0"/>
          <w:numId w:val="0"/>
        </w:numPr>
        <w:tabs>
          <w:tab w:val="clear" w:pos="1247"/>
          <w:tab w:val="clear" w:pos="1814"/>
          <w:tab w:val="clear" w:pos="2381"/>
          <w:tab w:val="clear" w:pos="2948"/>
          <w:tab w:val="clear" w:pos="3515"/>
          <w:tab w:val="left" w:pos="624"/>
        </w:tabs>
        <w:ind w:left="1260" w:firstLine="630"/>
        <w:rPr>
          <w:i/>
        </w:rPr>
      </w:pPr>
      <w:r w:rsidRPr="00572CD7">
        <w:rPr>
          <w:i/>
        </w:rPr>
        <w:t>Recalling</w:t>
      </w:r>
      <w:r w:rsidRPr="00572CD7">
        <w:t xml:space="preserve"> decision </w:t>
      </w:r>
      <w:r>
        <w:t>BC-11</w:t>
      </w:r>
      <w:r w:rsidRPr="00572CD7">
        <w:t>/5 of the Conference of the Parties to the Basel Convention,</w:t>
      </w:r>
    </w:p>
    <w:p w:rsidR="00430E46" w:rsidRPr="00572CD7" w:rsidRDefault="00430E46" w:rsidP="00430E46">
      <w:pPr>
        <w:pStyle w:val="Normalnumber"/>
        <w:numPr>
          <w:ilvl w:val="0"/>
          <w:numId w:val="8"/>
        </w:numPr>
        <w:tabs>
          <w:tab w:val="clear" w:pos="1247"/>
          <w:tab w:val="clear" w:pos="1814"/>
          <w:tab w:val="clear" w:pos="2381"/>
          <w:tab w:val="clear" w:pos="2948"/>
          <w:tab w:val="clear" w:pos="3515"/>
        </w:tabs>
        <w:ind w:firstLine="643"/>
      </w:pPr>
      <w:r w:rsidRPr="00572CD7">
        <w:rPr>
          <w:i/>
        </w:rPr>
        <w:t>Welcomes</w:t>
      </w:r>
      <w:r w:rsidRPr="00572CD7">
        <w:t xml:space="preserve"> with appreciation the contribution made by Japan as lead country in the updating of the technical guidelines for the environmentally sound management of wastes consisting of elemental mercury and wastes containing or contaminated with mercury and the small </w:t>
      </w:r>
      <w:proofErr w:type="spellStart"/>
      <w:r w:rsidRPr="00572CD7">
        <w:t>intersessional</w:t>
      </w:r>
      <w:proofErr w:type="spellEnd"/>
      <w:r w:rsidRPr="00572CD7">
        <w:t xml:space="preserve"> working group established in accordance with decision IX/15 of the Conference of the Parties and takes note of the draft updated technical guidelines;</w:t>
      </w:r>
      <w:r w:rsidRPr="00572CD7">
        <w:rPr>
          <w:vertAlign w:val="superscript"/>
        </w:rPr>
        <w:footnoteReference w:id="1"/>
      </w:r>
    </w:p>
    <w:p w:rsidR="00430E46" w:rsidRPr="00572CD7" w:rsidRDefault="00430E46" w:rsidP="00430E46">
      <w:pPr>
        <w:pStyle w:val="Normalnumber"/>
        <w:numPr>
          <w:ilvl w:val="0"/>
          <w:numId w:val="8"/>
        </w:numPr>
        <w:tabs>
          <w:tab w:val="clear" w:pos="1247"/>
          <w:tab w:val="clear" w:pos="1814"/>
          <w:tab w:val="clear" w:pos="2381"/>
          <w:tab w:val="clear" w:pos="2948"/>
          <w:tab w:val="clear" w:pos="3515"/>
        </w:tabs>
        <w:ind w:firstLine="624"/>
      </w:pPr>
      <w:r w:rsidRPr="00572CD7">
        <w:rPr>
          <w:i/>
        </w:rPr>
        <w:t>Invites</w:t>
      </w:r>
      <w:r w:rsidRPr="00572CD7">
        <w:t xml:space="preserve"> Parties and others to submit further comments on the draft updated technical guidelines to the Secretariat and the lead country by 30 September 2014;</w:t>
      </w:r>
    </w:p>
    <w:p w:rsidR="00430E46" w:rsidRPr="00572CD7" w:rsidRDefault="00430E46" w:rsidP="00430E46">
      <w:pPr>
        <w:pStyle w:val="Normalnumber"/>
        <w:numPr>
          <w:ilvl w:val="0"/>
          <w:numId w:val="8"/>
        </w:numPr>
        <w:tabs>
          <w:tab w:val="clear" w:pos="1247"/>
          <w:tab w:val="clear" w:pos="1814"/>
          <w:tab w:val="clear" w:pos="2381"/>
          <w:tab w:val="clear" w:pos="2948"/>
          <w:tab w:val="clear" w:pos="3515"/>
        </w:tabs>
        <w:ind w:firstLine="624"/>
      </w:pPr>
      <w:r w:rsidRPr="00572CD7">
        <w:rPr>
          <w:i/>
        </w:rPr>
        <w:t xml:space="preserve">Requests </w:t>
      </w:r>
      <w:r w:rsidRPr="00572CD7">
        <w:t xml:space="preserve">the lead country, in consultation with the small </w:t>
      </w:r>
      <w:proofErr w:type="spellStart"/>
      <w:r w:rsidRPr="00572CD7">
        <w:t>intersessional</w:t>
      </w:r>
      <w:proofErr w:type="spellEnd"/>
      <w:r w:rsidRPr="00572CD7">
        <w:t xml:space="preserve"> working group, to prepare a revised version of the draft updated technical guidelines, taking into account the comments received pursuant to paragraph 2 above as well as the discussions at the ninth meeting of the Open-ended Working Group, by </w:t>
      </w:r>
      <w:r w:rsidRPr="00572CD7">
        <w:rPr>
          <w:lang w:eastAsia="ja-JP"/>
        </w:rPr>
        <w:t>20</w:t>
      </w:r>
      <w:r w:rsidRPr="00572CD7">
        <w:t xml:space="preserve"> November 2014, for publication on the website of the Basel Convention </w:t>
      </w:r>
      <w:r w:rsidRPr="00572CD7">
        <w:rPr>
          <w:szCs w:val="24"/>
        </w:rPr>
        <w:t xml:space="preserve">and requests the Secretariat to transmit the draft technical guidelines as so revised for translation </w:t>
      </w:r>
      <w:r>
        <w:rPr>
          <w:szCs w:val="24"/>
        </w:rPr>
        <w:t xml:space="preserve">from English </w:t>
      </w:r>
      <w:r w:rsidRPr="00572CD7">
        <w:rPr>
          <w:szCs w:val="24"/>
        </w:rPr>
        <w:t xml:space="preserve">into the </w:t>
      </w:r>
      <w:r>
        <w:rPr>
          <w:szCs w:val="24"/>
        </w:rPr>
        <w:t>five other</w:t>
      </w:r>
      <w:r w:rsidRPr="00572CD7">
        <w:rPr>
          <w:szCs w:val="24"/>
        </w:rPr>
        <w:t xml:space="preserve"> official languages of the United Nations for submission to the Conference of the Parties at its twelfth meeting for consideration and possible adoption</w:t>
      </w:r>
      <w:r w:rsidRPr="00572CD7">
        <w:t>;</w:t>
      </w:r>
    </w:p>
    <w:p w:rsidR="00430E46" w:rsidRPr="00572CD7" w:rsidRDefault="00430E46" w:rsidP="00430E46">
      <w:pPr>
        <w:pStyle w:val="Normalnumber"/>
        <w:numPr>
          <w:ilvl w:val="0"/>
          <w:numId w:val="8"/>
        </w:numPr>
        <w:tabs>
          <w:tab w:val="clear" w:pos="1247"/>
          <w:tab w:val="clear" w:pos="1814"/>
          <w:tab w:val="clear" w:pos="2381"/>
          <w:tab w:val="clear" w:pos="2948"/>
          <w:tab w:val="clear" w:pos="3515"/>
        </w:tabs>
        <w:ind w:firstLine="624"/>
      </w:pPr>
      <w:r w:rsidRPr="00572CD7">
        <w:rPr>
          <w:i/>
        </w:rPr>
        <w:t>Invites</w:t>
      </w:r>
      <w:r w:rsidRPr="00572CD7">
        <w:t xml:space="preserve"> Parties and others to submit further comments on the draft updated technical guidelines as revised in accordance with paragraph 3 above to the </w:t>
      </w:r>
      <w:r w:rsidRPr="00572CD7">
        <w:rPr>
          <w:szCs w:val="24"/>
        </w:rPr>
        <w:t>Secretariat</w:t>
      </w:r>
      <w:r w:rsidRPr="00572CD7">
        <w:t xml:space="preserve"> and the lead country, by 15 February 2015, for publication on the website of the Basel Convention;</w:t>
      </w:r>
    </w:p>
    <w:p w:rsidR="00430E46" w:rsidRPr="00BB698E" w:rsidRDefault="00430E46" w:rsidP="00430E46">
      <w:pPr>
        <w:pStyle w:val="Normalnumber"/>
        <w:numPr>
          <w:ilvl w:val="0"/>
          <w:numId w:val="8"/>
        </w:numPr>
        <w:tabs>
          <w:tab w:val="clear" w:pos="1247"/>
          <w:tab w:val="clear" w:pos="1814"/>
          <w:tab w:val="clear" w:pos="2381"/>
          <w:tab w:val="clear" w:pos="2948"/>
          <w:tab w:val="clear" w:pos="3515"/>
        </w:tabs>
        <w:ind w:firstLine="624"/>
      </w:pPr>
      <w:r w:rsidRPr="00572CD7">
        <w:rPr>
          <w:i/>
        </w:rPr>
        <w:t xml:space="preserve">Requests </w:t>
      </w:r>
      <w:r w:rsidRPr="00572CD7">
        <w:t xml:space="preserve">the lead country, in consultation with the small </w:t>
      </w:r>
      <w:proofErr w:type="spellStart"/>
      <w:r w:rsidRPr="00572CD7">
        <w:t>intersessional</w:t>
      </w:r>
      <w:proofErr w:type="spellEnd"/>
      <w:r w:rsidRPr="00572CD7">
        <w:t xml:space="preserve"> working group, to prepare a final draft of the updated technical guidelines, taking into account the comments received, by 21 March 2015;</w:t>
      </w:r>
    </w:p>
    <w:p w:rsidR="00430E46" w:rsidRPr="008A7345" w:rsidRDefault="00430E46" w:rsidP="00430E46">
      <w:pPr>
        <w:pStyle w:val="Normalnumber"/>
        <w:numPr>
          <w:ilvl w:val="0"/>
          <w:numId w:val="8"/>
        </w:numPr>
        <w:tabs>
          <w:tab w:val="clear" w:pos="1247"/>
          <w:tab w:val="clear" w:pos="1814"/>
          <w:tab w:val="clear" w:pos="2381"/>
          <w:tab w:val="clear" w:pos="2948"/>
          <w:tab w:val="clear" w:pos="3515"/>
        </w:tabs>
        <w:ind w:firstLine="624"/>
      </w:pPr>
      <w:r w:rsidRPr="00BB698E">
        <w:rPr>
          <w:i/>
        </w:rPr>
        <w:t xml:space="preserve">Requests </w:t>
      </w:r>
      <w:r w:rsidRPr="00572CD7">
        <w:t xml:space="preserve">the Secretariat to </w:t>
      </w:r>
      <w:r w:rsidRPr="00BB698E">
        <w:rPr>
          <w:rFonts w:cs="DEOJEL+TimesNewRomanPSMT"/>
          <w:color w:val="000000"/>
        </w:rPr>
        <w:t xml:space="preserve">submit the final draft updated technical guidelines to the Conference of the Parties for consideration </w:t>
      </w:r>
      <w:r w:rsidRPr="00BB698E">
        <w:rPr>
          <w:szCs w:val="24"/>
        </w:rPr>
        <w:t xml:space="preserve">as an information </w:t>
      </w:r>
      <w:r w:rsidRPr="008A7345">
        <w:rPr>
          <w:szCs w:val="24"/>
        </w:rPr>
        <w:t>document at its twelfth meeting</w:t>
      </w:r>
      <w:r w:rsidRPr="008A7345">
        <w:rPr>
          <w:color w:val="000000"/>
        </w:rPr>
        <w:t xml:space="preserve">; </w:t>
      </w:r>
    </w:p>
    <w:p w:rsidR="00430E46" w:rsidRPr="00BB698E" w:rsidRDefault="00430E46" w:rsidP="00430E46">
      <w:pPr>
        <w:pStyle w:val="Normalnumber"/>
        <w:numPr>
          <w:ilvl w:val="0"/>
          <w:numId w:val="8"/>
        </w:numPr>
        <w:tabs>
          <w:tab w:val="clear" w:pos="1247"/>
          <w:tab w:val="clear" w:pos="1814"/>
          <w:tab w:val="clear" w:pos="2381"/>
          <w:tab w:val="clear" w:pos="2948"/>
          <w:tab w:val="clear" w:pos="3515"/>
        </w:tabs>
        <w:ind w:firstLine="624"/>
      </w:pPr>
      <w:r w:rsidRPr="008A7345">
        <w:rPr>
          <w:i/>
        </w:rPr>
        <w:t>Requests</w:t>
      </w:r>
      <w:r w:rsidRPr="008A7345">
        <w:t xml:space="preserve"> the Secretariat to inform the appropriate bodies of the </w:t>
      </w:r>
      <w:proofErr w:type="spellStart"/>
      <w:r w:rsidRPr="008A7345">
        <w:t>Minamata</w:t>
      </w:r>
      <w:proofErr w:type="spellEnd"/>
      <w:r w:rsidRPr="008A7345">
        <w:t xml:space="preserve"> Convention on Mercury of the work undertaken by the Open-ended Working</w:t>
      </w:r>
      <w:r w:rsidRPr="00BB698E">
        <w:t xml:space="preserve"> Group relating to the technical guidelines on mercury</w:t>
      </w:r>
      <w:r>
        <w:t xml:space="preserve"> wastes</w:t>
      </w:r>
      <w:r w:rsidRPr="00BB698E">
        <w:t>.</w:t>
      </w:r>
    </w:p>
    <w:p w:rsidR="000B25F8" w:rsidRPr="00430E46" w:rsidRDefault="000B25F8" w:rsidP="00430E46"/>
    <w:sectPr w:rsidR="000B25F8" w:rsidRPr="00430E46" w:rsidSect="0035083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25F8" w:rsidRDefault="000B25F8" w:rsidP="000B25F8">
      <w:r>
        <w:separator/>
      </w:r>
    </w:p>
  </w:endnote>
  <w:endnote w:type="continuationSeparator" w:id="0">
    <w:p w:rsidR="000B25F8" w:rsidRDefault="000B25F8" w:rsidP="000B2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OJEL+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25F8" w:rsidRDefault="000B25F8" w:rsidP="000B25F8">
      <w:r>
        <w:separator/>
      </w:r>
    </w:p>
  </w:footnote>
  <w:footnote w:type="continuationSeparator" w:id="0">
    <w:p w:rsidR="000B25F8" w:rsidRDefault="000B25F8" w:rsidP="000B25F8">
      <w:r>
        <w:continuationSeparator/>
      </w:r>
    </w:p>
  </w:footnote>
  <w:footnote w:id="1">
    <w:p w:rsidR="00430E46" w:rsidRPr="00472A9B" w:rsidRDefault="00430E46" w:rsidP="00430E46">
      <w:pPr>
        <w:pStyle w:val="FootnoteText"/>
        <w:rPr>
          <w:szCs w:val="18"/>
        </w:rPr>
      </w:pPr>
      <w:r w:rsidRPr="00472A9B">
        <w:rPr>
          <w:rStyle w:val="FootnoteReference"/>
        </w:rPr>
        <w:footnoteRef/>
      </w:r>
      <w:r w:rsidRPr="00472A9B">
        <w:rPr>
          <w:szCs w:val="18"/>
        </w:rPr>
        <w:t xml:space="preserve"> UNEP/CHW/OEWG.9/INF/8.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556C3"/>
    <w:multiLevelType w:val="multilevel"/>
    <w:tmpl w:val="5B380A66"/>
    <w:lvl w:ilvl="0">
      <w:start w:val="1"/>
      <w:numFmt w:val="decimal"/>
      <w:lvlText w:val="%1."/>
      <w:lvlJc w:val="left"/>
      <w:pPr>
        <w:tabs>
          <w:tab w:val="num" w:pos="568"/>
        </w:tabs>
        <w:ind w:left="1248" w:firstLine="0"/>
      </w:pPr>
      <w:rPr>
        <w:rFonts w:hint="default"/>
        <w:vertAlign w:val="baseline"/>
      </w:rPr>
    </w:lvl>
    <w:lvl w:ilvl="1">
      <w:start w:val="1"/>
      <w:numFmt w:val="lowerLetter"/>
      <w:lvlText w:val="(%2)"/>
      <w:lvlJc w:val="left"/>
      <w:pPr>
        <w:tabs>
          <w:tab w:val="num" w:pos="568"/>
        </w:tabs>
        <w:ind w:left="1248" w:firstLine="567"/>
      </w:pPr>
      <w:rPr>
        <w:rFonts w:hint="default"/>
      </w:rPr>
    </w:lvl>
    <w:lvl w:ilvl="2">
      <w:start w:val="1"/>
      <w:numFmt w:val="lowerRoman"/>
      <w:lvlText w:val="(%3)"/>
      <w:lvlJc w:val="left"/>
      <w:pPr>
        <w:tabs>
          <w:tab w:val="num" w:pos="568"/>
        </w:tabs>
        <w:ind w:left="2949" w:hanging="567"/>
      </w:pPr>
      <w:rPr>
        <w:rFonts w:hint="default"/>
      </w:rPr>
    </w:lvl>
    <w:lvl w:ilvl="3">
      <w:start w:val="1"/>
      <w:numFmt w:val="lowerLetter"/>
      <w:lvlText w:val="%4."/>
      <w:lvlJc w:val="left"/>
      <w:pPr>
        <w:tabs>
          <w:tab w:val="num" w:pos="568"/>
        </w:tabs>
        <w:ind w:left="3516" w:hanging="567"/>
      </w:pPr>
      <w:rPr>
        <w:rFonts w:hint="default"/>
      </w:rPr>
    </w:lvl>
    <w:lvl w:ilvl="4">
      <w:start w:val="1"/>
      <w:numFmt w:val="lowerLetter"/>
      <w:lvlText w:val="%5."/>
      <w:lvlJc w:val="left"/>
      <w:pPr>
        <w:tabs>
          <w:tab w:val="num" w:pos="6549"/>
        </w:tabs>
        <w:ind w:left="6549" w:hanging="360"/>
      </w:pPr>
      <w:rPr>
        <w:rFonts w:hint="default"/>
      </w:rPr>
    </w:lvl>
    <w:lvl w:ilvl="5">
      <w:start w:val="1"/>
      <w:numFmt w:val="lowerRoman"/>
      <w:lvlText w:val="%6."/>
      <w:lvlJc w:val="right"/>
      <w:pPr>
        <w:tabs>
          <w:tab w:val="num" w:pos="7269"/>
        </w:tabs>
        <w:ind w:left="7269" w:hanging="180"/>
      </w:pPr>
      <w:rPr>
        <w:rFonts w:hint="default"/>
      </w:rPr>
    </w:lvl>
    <w:lvl w:ilvl="6">
      <w:start w:val="1"/>
      <w:numFmt w:val="decimal"/>
      <w:lvlText w:val="%7."/>
      <w:lvlJc w:val="left"/>
      <w:pPr>
        <w:tabs>
          <w:tab w:val="num" w:pos="7989"/>
        </w:tabs>
        <w:ind w:left="7989" w:hanging="360"/>
      </w:pPr>
      <w:rPr>
        <w:rFonts w:hint="default"/>
      </w:rPr>
    </w:lvl>
    <w:lvl w:ilvl="7">
      <w:start w:val="1"/>
      <w:numFmt w:val="lowerLetter"/>
      <w:lvlText w:val="%8."/>
      <w:lvlJc w:val="left"/>
      <w:pPr>
        <w:tabs>
          <w:tab w:val="num" w:pos="8709"/>
        </w:tabs>
        <w:ind w:left="8709" w:hanging="360"/>
      </w:pPr>
      <w:rPr>
        <w:rFonts w:hint="default"/>
      </w:rPr>
    </w:lvl>
    <w:lvl w:ilvl="8">
      <w:start w:val="1"/>
      <w:numFmt w:val="lowerRoman"/>
      <w:lvlText w:val="%9."/>
      <w:lvlJc w:val="right"/>
      <w:pPr>
        <w:tabs>
          <w:tab w:val="num" w:pos="9429"/>
        </w:tabs>
        <w:ind w:left="9429" w:hanging="180"/>
      </w:pPr>
      <w:rPr>
        <w:rFonts w:hint="default"/>
      </w:rPr>
    </w:lvl>
  </w:abstractNum>
  <w:abstractNum w:abstractNumId="1">
    <w:nsid w:val="241442DA"/>
    <w:multiLevelType w:val="hybridMultilevel"/>
    <w:tmpl w:val="ACA00756"/>
    <w:lvl w:ilvl="0" w:tplc="0B02D162">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5E37C56"/>
    <w:multiLevelType w:val="hybridMultilevel"/>
    <w:tmpl w:val="6E1ED5F8"/>
    <w:lvl w:ilvl="0" w:tplc="C9900F68">
      <w:start w:val="1"/>
      <w:numFmt w:val="decimal"/>
      <w:pStyle w:val="NormalNonumber"/>
      <w:lvlText w:val="%1."/>
      <w:lvlJc w:val="left"/>
      <w:pPr>
        <w:ind w:left="1967" w:hanging="360"/>
      </w:pPr>
      <w:rPr>
        <w:rFonts w:ascii="Times New Roman" w:hAnsi="Times New Roman" w:hint="default"/>
        <w:sz w:val="20"/>
      </w:rPr>
    </w:lvl>
    <w:lvl w:ilvl="1" w:tplc="08090019">
      <w:start w:val="1"/>
      <w:numFmt w:val="lowerLetter"/>
      <w:lvlText w:val="%2."/>
      <w:lvlJc w:val="left"/>
      <w:pPr>
        <w:ind w:left="2687" w:hanging="360"/>
      </w:pPr>
    </w:lvl>
    <w:lvl w:ilvl="2" w:tplc="0809001B" w:tentative="1">
      <w:start w:val="1"/>
      <w:numFmt w:val="lowerRoman"/>
      <w:lvlText w:val="%3."/>
      <w:lvlJc w:val="right"/>
      <w:pPr>
        <w:ind w:left="3407" w:hanging="180"/>
      </w:pPr>
    </w:lvl>
    <w:lvl w:ilvl="3" w:tplc="0809000F" w:tentative="1">
      <w:start w:val="1"/>
      <w:numFmt w:val="decimal"/>
      <w:lvlText w:val="%4."/>
      <w:lvlJc w:val="left"/>
      <w:pPr>
        <w:ind w:left="4127" w:hanging="360"/>
      </w:pPr>
    </w:lvl>
    <w:lvl w:ilvl="4" w:tplc="08090019" w:tentative="1">
      <w:start w:val="1"/>
      <w:numFmt w:val="lowerLetter"/>
      <w:lvlText w:val="%5."/>
      <w:lvlJc w:val="left"/>
      <w:pPr>
        <w:ind w:left="4847" w:hanging="360"/>
      </w:pPr>
    </w:lvl>
    <w:lvl w:ilvl="5" w:tplc="0809001B" w:tentative="1">
      <w:start w:val="1"/>
      <w:numFmt w:val="lowerRoman"/>
      <w:lvlText w:val="%6."/>
      <w:lvlJc w:val="right"/>
      <w:pPr>
        <w:ind w:left="5567" w:hanging="180"/>
      </w:pPr>
    </w:lvl>
    <w:lvl w:ilvl="6" w:tplc="0809000F" w:tentative="1">
      <w:start w:val="1"/>
      <w:numFmt w:val="decimal"/>
      <w:lvlText w:val="%7."/>
      <w:lvlJc w:val="left"/>
      <w:pPr>
        <w:ind w:left="6287" w:hanging="360"/>
      </w:pPr>
    </w:lvl>
    <w:lvl w:ilvl="7" w:tplc="08090019" w:tentative="1">
      <w:start w:val="1"/>
      <w:numFmt w:val="lowerLetter"/>
      <w:lvlText w:val="%8."/>
      <w:lvlJc w:val="left"/>
      <w:pPr>
        <w:ind w:left="7007" w:hanging="360"/>
      </w:pPr>
    </w:lvl>
    <w:lvl w:ilvl="8" w:tplc="0809001B" w:tentative="1">
      <w:start w:val="1"/>
      <w:numFmt w:val="lowerRoman"/>
      <w:lvlText w:val="%9."/>
      <w:lvlJc w:val="right"/>
      <w:pPr>
        <w:ind w:left="7727" w:hanging="180"/>
      </w:pPr>
    </w:lvl>
  </w:abstractNum>
  <w:abstractNum w:abstractNumId="3">
    <w:nsid w:val="483A2339"/>
    <w:multiLevelType w:val="hybridMultilevel"/>
    <w:tmpl w:val="F1B662D0"/>
    <w:lvl w:ilvl="0" w:tplc="3102673C">
      <w:start w:val="1"/>
      <w:numFmt w:val="decimal"/>
      <w:lvlText w:val="%1."/>
      <w:lvlJc w:val="left"/>
      <w:pPr>
        <w:ind w:left="1607" w:hanging="360"/>
      </w:pPr>
      <w:rPr>
        <w:rFonts w:hint="default"/>
      </w:rPr>
    </w:lvl>
    <w:lvl w:ilvl="1" w:tplc="04090019" w:tentative="1">
      <w:start w:val="1"/>
      <w:numFmt w:val="lowerLetter"/>
      <w:lvlText w:val="%2."/>
      <w:lvlJc w:val="left"/>
      <w:pPr>
        <w:ind w:left="2327" w:hanging="360"/>
      </w:pPr>
    </w:lvl>
    <w:lvl w:ilvl="2" w:tplc="0409001B" w:tentative="1">
      <w:start w:val="1"/>
      <w:numFmt w:val="lowerRoman"/>
      <w:lvlText w:val="%3."/>
      <w:lvlJc w:val="right"/>
      <w:pPr>
        <w:ind w:left="3047" w:hanging="180"/>
      </w:pPr>
    </w:lvl>
    <w:lvl w:ilvl="3" w:tplc="0409000F" w:tentative="1">
      <w:start w:val="1"/>
      <w:numFmt w:val="decimal"/>
      <w:lvlText w:val="%4."/>
      <w:lvlJc w:val="left"/>
      <w:pPr>
        <w:ind w:left="3767" w:hanging="360"/>
      </w:pPr>
    </w:lvl>
    <w:lvl w:ilvl="4" w:tplc="04090019" w:tentative="1">
      <w:start w:val="1"/>
      <w:numFmt w:val="lowerLetter"/>
      <w:lvlText w:val="%5."/>
      <w:lvlJc w:val="left"/>
      <w:pPr>
        <w:ind w:left="4487" w:hanging="360"/>
      </w:pPr>
    </w:lvl>
    <w:lvl w:ilvl="5" w:tplc="0409001B" w:tentative="1">
      <w:start w:val="1"/>
      <w:numFmt w:val="lowerRoman"/>
      <w:lvlText w:val="%6."/>
      <w:lvlJc w:val="right"/>
      <w:pPr>
        <w:ind w:left="5207" w:hanging="180"/>
      </w:pPr>
    </w:lvl>
    <w:lvl w:ilvl="6" w:tplc="0409000F" w:tentative="1">
      <w:start w:val="1"/>
      <w:numFmt w:val="decimal"/>
      <w:lvlText w:val="%7."/>
      <w:lvlJc w:val="left"/>
      <w:pPr>
        <w:ind w:left="5927" w:hanging="360"/>
      </w:pPr>
    </w:lvl>
    <w:lvl w:ilvl="7" w:tplc="04090019" w:tentative="1">
      <w:start w:val="1"/>
      <w:numFmt w:val="lowerLetter"/>
      <w:lvlText w:val="%8."/>
      <w:lvlJc w:val="left"/>
      <w:pPr>
        <w:ind w:left="6647" w:hanging="360"/>
      </w:pPr>
    </w:lvl>
    <w:lvl w:ilvl="8" w:tplc="0409001B" w:tentative="1">
      <w:start w:val="1"/>
      <w:numFmt w:val="lowerRoman"/>
      <w:lvlText w:val="%9."/>
      <w:lvlJc w:val="right"/>
      <w:pPr>
        <w:ind w:left="7367" w:hanging="180"/>
      </w:pPr>
    </w:lvl>
  </w:abstractNum>
  <w:abstractNum w:abstractNumId="4">
    <w:nsid w:val="52A66A9D"/>
    <w:multiLevelType w:val="multilevel"/>
    <w:tmpl w:val="48241D10"/>
    <w:styleLink w:val="Normallist"/>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5">
    <w:nsid w:val="56E007DC"/>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num w:numId="1">
    <w:abstractNumId w:val="2"/>
  </w:num>
  <w:num w:numId="2">
    <w:abstractNumId w:val="2"/>
  </w:num>
  <w:num w:numId="3">
    <w:abstractNumId w:val="1"/>
  </w:num>
  <w:num w:numId="4">
    <w:abstractNumId w:val="3"/>
  </w:num>
  <w:num w:numId="5">
    <w:abstractNumId w:val="4"/>
  </w:num>
  <w:num w:numId="6">
    <w:abstractNumId w:val="4"/>
    <w:lvlOverride w:ilvl="0">
      <w:lvl w:ilvl="0">
        <w:start w:val="1"/>
        <w:numFmt w:val="decimal"/>
        <w:lvlText w:val="%1."/>
        <w:lvlJc w:val="left"/>
        <w:pPr>
          <w:tabs>
            <w:tab w:val="num" w:pos="1134"/>
          </w:tabs>
          <w:ind w:left="1247" w:firstLine="0"/>
        </w:pPr>
        <w:rPr>
          <w:rFonts w:hint="default"/>
          <w:i w:val="0"/>
        </w:rPr>
      </w:lvl>
    </w:lvlOverride>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footnotePr>
    <w:footnote w:id="-1"/>
    <w:footnote w:id="0"/>
  </w:footnotePr>
  <w:endnotePr>
    <w:endnote w:id="-1"/>
    <w:endnote w:id="0"/>
  </w:endnotePr>
  <w:compat/>
  <w:rsids>
    <w:rsidRoot w:val="00E3382D"/>
    <w:rsid w:val="000B25F8"/>
    <w:rsid w:val="0035083F"/>
    <w:rsid w:val="00430E46"/>
    <w:rsid w:val="00523046"/>
    <w:rsid w:val="00827715"/>
    <w:rsid w:val="009F6B9A"/>
    <w:rsid w:val="00A16B8F"/>
    <w:rsid w:val="00BF57B2"/>
    <w:rsid w:val="00E3382D"/>
    <w:rsid w:val="00FB5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2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paragraph" w:styleId="Heading2">
    <w:name w:val="heading 2"/>
    <w:basedOn w:val="Normal"/>
    <w:next w:val="Normal"/>
    <w:link w:val="Heading2Char"/>
    <w:uiPriority w:val="9"/>
    <w:semiHidden/>
    <w:unhideWhenUsed/>
    <w:qFormat/>
    <w:rsid w:val="000B25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E3382D"/>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rPr>
  </w:style>
  <w:style w:type="paragraph" w:customStyle="1" w:styleId="NormalNonumber">
    <w:name w:val="Normal_No_number"/>
    <w:basedOn w:val="Normal-pool"/>
    <w:rsid w:val="00E3382D"/>
    <w:pPr>
      <w:numPr>
        <w:numId w:val="1"/>
      </w:numPr>
      <w:spacing w:after="120"/>
    </w:pPr>
  </w:style>
  <w:style w:type="character" w:customStyle="1" w:styleId="Normal-poolChar">
    <w:name w:val="Normal-pool Char"/>
    <w:link w:val="Normal-pool"/>
    <w:locked/>
    <w:rsid w:val="00E3382D"/>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Ref,de nota al pie,註腳內容,de nota al pie + (Asian) MS Mincho,11 pt,Ref. de nota de rodapé1"/>
    <w:rsid w:val="000B25F8"/>
    <w:rPr>
      <w:rFonts w:ascii="Times New Roman" w:hAnsi="Times New Roman"/>
      <w:color w:val="auto"/>
      <w:sz w:val="20"/>
      <w:szCs w:val="18"/>
      <w:vertAlign w:val="superscript"/>
    </w:rPr>
  </w:style>
  <w:style w:type="paragraph" w:styleId="FootnoteText">
    <w:name w:val="footnote text"/>
    <w:aliases w:val="DNV-FT,Geneva 9,Font: Geneva 9,Boston 10,f,footnote3,text,Geneva,92,Font:,Boston,10,FOOTNOTES,fn,single space,Footnote Text Rail EIS,ft,Footnotes,Footnote ak,fn cafc,Footnotes Char Char,Footnote Text Char Char,fn Char Char,footnote text"/>
    <w:basedOn w:val="Normal-pool"/>
    <w:link w:val="FootnoteTextChar"/>
    <w:rsid w:val="000B25F8"/>
    <w:pPr>
      <w:spacing w:before="20" w:after="40"/>
      <w:ind w:left="1247"/>
    </w:pPr>
    <w:rPr>
      <w:sz w:val="18"/>
    </w:rPr>
  </w:style>
  <w:style w:type="character" w:customStyle="1" w:styleId="FootnoteTextChar">
    <w:name w:val="Footnote Text Char"/>
    <w:aliases w:val="DNV-FT Char,Geneva 9 Char,Font: Geneva 9 Char,Boston 10 Char,f Char,footnote3 Char,text Char,Geneva Char,92 Char,Font: Char,Boston Char,10 Char,FOOTNOTES Char,fn Char,single space Char,Footnote Text Rail EIS Char,ft Char,fn cafc Char"/>
    <w:basedOn w:val="DefaultParagraphFont"/>
    <w:link w:val="FootnoteText"/>
    <w:rsid w:val="000B25F8"/>
    <w:rPr>
      <w:rFonts w:ascii="Times New Roman" w:eastAsia="Times New Roman" w:hAnsi="Times New Roman" w:cs="Times New Roman"/>
      <w:sz w:val="18"/>
      <w:szCs w:val="20"/>
      <w:lang w:val="en-GB"/>
    </w:rPr>
  </w:style>
  <w:style w:type="paragraph" w:customStyle="1" w:styleId="ZZAnxtitle">
    <w:name w:val="ZZ_Anx_title"/>
    <w:basedOn w:val="Normal-pool"/>
    <w:link w:val="ZZAnxtitleChar"/>
    <w:rsid w:val="000B25F8"/>
    <w:pPr>
      <w:spacing w:before="360" w:after="120"/>
      <w:ind w:left="1247"/>
    </w:pPr>
    <w:rPr>
      <w:b/>
      <w:bCs/>
      <w:sz w:val="28"/>
      <w:szCs w:val="26"/>
    </w:rPr>
  </w:style>
  <w:style w:type="character" w:customStyle="1" w:styleId="ZZAnxtitleChar">
    <w:name w:val="ZZ_Anx_title Char"/>
    <w:link w:val="ZZAnxtitle"/>
    <w:rsid w:val="000B25F8"/>
    <w:rPr>
      <w:rFonts w:ascii="Times New Roman" w:eastAsia="Times New Roman" w:hAnsi="Times New Roman" w:cs="Times New Roman"/>
      <w:b/>
      <w:bCs/>
      <w:sz w:val="28"/>
      <w:szCs w:val="26"/>
      <w:lang w:val="en-GB"/>
    </w:rPr>
  </w:style>
  <w:style w:type="paragraph" w:customStyle="1" w:styleId="Subtitle">
    <w:name w:val="Sub title"/>
    <w:basedOn w:val="Heading2"/>
    <w:rsid w:val="000B25F8"/>
    <w:pPr>
      <w:keepLines w:val="0"/>
      <w:tabs>
        <w:tab w:val="clear" w:pos="1247"/>
        <w:tab w:val="clear" w:pos="1814"/>
        <w:tab w:val="clear" w:pos="2381"/>
        <w:tab w:val="clear" w:pos="2948"/>
        <w:tab w:val="clear" w:pos="3515"/>
      </w:tabs>
      <w:spacing w:before="0"/>
      <w:ind w:left="1247"/>
    </w:pPr>
    <w:rPr>
      <w:rFonts w:ascii="Times New Roman" w:eastAsia="Times New Roman" w:hAnsi="Times New Roman" w:cs="Times New Roman"/>
      <w:bCs w:val="0"/>
      <w:color w:val="auto"/>
      <w:sz w:val="24"/>
      <w:szCs w:val="24"/>
    </w:rPr>
  </w:style>
  <w:style w:type="character" w:customStyle="1" w:styleId="Heading2Char">
    <w:name w:val="Heading 2 Char"/>
    <w:basedOn w:val="DefaultParagraphFont"/>
    <w:link w:val="Heading2"/>
    <w:uiPriority w:val="9"/>
    <w:semiHidden/>
    <w:rsid w:val="000B25F8"/>
    <w:rPr>
      <w:rFonts w:asciiTheme="majorHAnsi" w:eastAsiaTheme="majorEastAsia" w:hAnsiTheme="majorHAnsi" w:cstheme="majorBidi"/>
      <w:b/>
      <w:bCs/>
      <w:color w:val="4F81BD" w:themeColor="accent1"/>
      <w:sz w:val="26"/>
      <w:szCs w:val="26"/>
      <w:lang w:val="en-GB"/>
    </w:rPr>
  </w:style>
  <w:style w:type="character" w:customStyle="1" w:styleId="NormalnumberChar">
    <w:name w:val="Normal_number Char"/>
    <w:link w:val="Normalnumber"/>
    <w:rsid w:val="00A16B8F"/>
    <w:rPr>
      <w:lang w:val="en-GB"/>
    </w:rPr>
  </w:style>
  <w:style w:type="numbering" w:customStyle="1" w:styleId="Normallist">
    <w:name w:val="Normal_list"/>
    <w:basedOn w:val="NoList"/>
    <w:rsid w:val="00A16B8F"/>
    <w:pPr>
      <w:numPr>
        <w:numId w:val="5"/>
      </w:numPr>
    </w:pPr>
  </w:style>
  <w:style w:type="paragraph" w:customStyle="1" w:styleId="Normalnumber">
    <w:name w:val="Normal_number"/>
    <w:basedOn w:val="Normal-pool"/>
    <w:link w:val="NormalnumberChar"/>
    <w:rsid w:val="00A16B8F"/>
    <w:pPr>
      <w:spacing w:after="120"/>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2054</Characters>
  <Application>Microsoft Office Word</Application>
  <DocSecurity>0</DocSecurity>
  <Lines>33</Lines>
  <Paragraphs>10</Paragraphs>
  <ScaleCrop>false</ScaleCrop>
  <Company>BRS</Company>
  <LinksUpToDate>false</LinksUpToDate>
  <CharactersWithSpaces>2402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cbottollier</dc:creator>
  <cp:lastModifiedBy>cbottollier</cp:lastModifiedBy>
  <cp:revision>2</cp:revision>
  <dcterms:created xsi:type="dcterms:W3CDTF">2015-09-04T14:16:00Z</dcterms:created>
  <dcterms:modified xsi:type="dcterms:W3CDTF">2015-09-04T14:16:00Z</dcterms:modified>
</cp:coreProperties>
</file>