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19" w:rsidRPr="00340EB0" w:rsidRDefault="00951E19" w:rsidP="00951E19">
      <w:pPr>
        <w:spacing w:before="240" w:after="120"/>
        <w:ind w:left="1247"/>
        <w:rPr>
          <w:b/>
          <w:sz w:val="28"/>
          <w:szCs w:val="28"/>
          <w:lang w:val="en-US"/>
        </w:rPr>
      </w:pPr>
      <w:r w:rsidRPr="00340EB0">
        <w:rPr>
          <w:b/>
          <w:sz w:val="28"/>
          <w:szCs w:val="28"/>
        </w:rPr>
        <w:t>OEWG-</w:t>
      </w:r>
      <w:r>
        <w:rPr>
          <w:b/>
          <w:sz w:val="28"/>
          <w:szCs w:val="28"/>
        </w:rPr>
        <w:t>9</w:t>
      </w:r>
      <w:r w:rsidRPr="00340EB0">
        <w:rPr>
          <w:b/>
          <w:sz w:val="28"/>
          <w:szCs w:val="28"/>
        </w:rPr>
        <w:t>/</w:t>
      </w:r>
      <w:r w:rsidRPr="00340EB0">
        <w:rPr>
          <w:b/>
          <w:sz w:val="28"/>
          <w:szCs w:val="28"/>
          <w:lang w:eastAsia="ja-JP"/>
        </w:rPr>
        <w:t>5</w:t>
      </w:r>
      <w:r w:rsidRPr="00340EB0">
        <w:rPr>
          <w:b/>
          <w:sz w:val="28"/>
          <w:szCs w:val="28"/>
          <w:lang w:val="en-US"/>
        </w:rPr>
        <w:t xml:space="preserve">: </w:t>
      </w:r>
      <w:r w:rsidRPr="00BB698E">
        <w:rPr>
          <w:b/>
          <w:sz w:val="28"/>
          <w:szCs w:val="28"/>
          <w:lang w:val="en-US"/>
        </w:rPr>
        <w:t xml:space="preserve">Technical guidelines on </w:t>
      </w:r>
      <w:proofErr w:type="spellStart"/>
      <w:r w:rsidRPr="00BB698E">
        <w:rPr>
          <w:b/>
          <w:sz w:val="28"/>
          <w:szCs w:val="28"/>
          <w:lang w:val="en-US"/>
        </w:rPr>
        <w:t>transboundary</w:t>
      </w:r>
      <w:proofErr w:type="spellEnd"/>
      <w:r w:rsidRPr="00BB698E">
        <w:rPr>
          <w:b/>
          <w:sz w:val="28"/>
          <w:szCs w:val="28"/>
          <w:lang w:val="en-US"/>
        </w:rPr>
        <w:t xml:space="preserve"> movements of electronic and electrical waste and used electrical and electronic equipment, in particular regarding the distinction between waste and non-waste under the Basel Convention</w:t>
      </w:r>
    </w:p>
    <w:p w:rsidR="00951E19" w:rsidRDefault="00951E19" w:rsidP="00951E19">
      <w:pPr>
        <w:pStyle w:val="Normalnumber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247" w:firstLine="624"/>
        <w:rPr>
          <w:i/>
        </w:rPr>
      </w:pPr>
      <w:r w:rsidRPr="00A514FB">
        <w:rPr>
          <w:i/>
        </w:rPr>
        <w:t>The Open-ended Working Group</w:t>
      </w:r>
    </w:p>
    <w:p w:rsidR="00951E19" w:rsidRPr="00E517FB" w:rsidRDefault="00951E19" w:rsidP="00951E19">
      <w:pPr>
        <w:pStyle w:val="Normalnumber"/>
        <w:numPr>
          <w:ilvl w:val="0"/>
          <w:numId w:val="9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260" w:firstLine="611"/>
        <w:rPr>
          <w:i/>
        </w:rPr>
      </w:pPr>
      <w:r w:rsidRPr="001613CE">
        <w:rPr>
          <w:rFonts w:eastAsia="Calibri"/>
          <w:i/>
          <w:color w:val="000000"/>
          <w:lang w:val="en-US"/>
        </w:rPr>
        <w:t>Takes note</w:t>
      </w:r>
      <w:r w:rsidRPr="001613CE">
        <w:rPr>
          <w:rFonts w:eastAsia="Calibri"/>
          <w:color w:val="000000"/>
          <w:lang w:val="en-US"/>
        </w:rPr>
        <w:t xml:space="preserve"> of the information provided by the Secretariat on progress in the development of the </w:t>
      </w:r>
      <w:r>
        <w:rPr>
          <w:rFonts w:eastAsia="Calibri"/>
          <w:color w:val="000000"/>
          <w:lang w:val="en-US"/>
        </w:rPr>
        <w:t xml:space="preserve">draft </w:t>
      </w:r>
      <w:r w:rsidRPr="001613CE">
        <w:rPr>
          <w:rFonts w:eastAsia="Calibri"/>
          <w:color w:val="000000"/>
          <w:lang w:val="en-US"/>
        </w:rPr>
        <w:t xml:space="preserve">technical guidelines on </w:t>
      </w:r>
      <w:proofErr w:type="spellStart"/>
      <w:r w:rsidRPr="001613CE">
        <w:rPr>
          <w:rFonts w:eastAsia="Calibri"/>
          <w:color w:val="000000"/>
          <w:lang w:val="en-US"/>
        </w:rPr>
        <w:t>transboundary</w:t>
      </w:r>
      <w:proofErr w:type="spellEnd"/>
      <w:r w:rsidRPr="001613CE">
        <w:rPr>
          <w:rFonts w:eastAsia="Calibri"/>
          <w:color w:val="000000"/>
          <w:lang w:val="en-US"/>
        </w:rPr>
        <w:t xml:space="preserve"> movements of electronic and electrical waste (e-waste), in particular regarding the distinction between waste and non-waste</w:t>
      </w:r>
      <w:r>
        <w:rPr>
          <w:rFonts w:eastAsia="Calibri"/>
          <w:color w:val="000000"/>
          <w:lang w:val="en-US"/>
        </w:rPr>
        <w:t>;</w:t>
      </w:r>
      <w:r w:rsidRPr="006E007E">
        <w:rPr>
          <w:rFonts w:eastAsia="Calibri"/>
          <w:vertAlign w:val="superscript"/>
          <w:lang w:val="nl-BE"/>
        </w:rPr>
        <w:footnoteReference w:id="1"/>
      </w:r>
    </w:p>
    <w:p w:rsidR="00951E19" w:rsidRPr="001613CE" w:rsidRDefault="00951E19" w:rsidP="00951E19">
      <w:pPr>
        <w:pStyle w:val="Normalnumber"/>
        <w:numPr>
          <w:ilvl w:val="0"/>
          <w:numId w:val="9"/>
        </w:num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ind w:left="1260" w:firstLine="630"/>
        <w:rPr>
          <w:rFonts w:eastAsia="Calibri"/>
          <w:lang w:val="en-US"/>
        </w:rPr>
      </w:pPr>
      <w:r w:rsidRPr="001613CE">
        <w:rPr>
          <w:rFonts w:eastAsia="Calibri"/>
          <w:i/>
          <w:lang w:val="en-US"/>
        </w:rPr>
        <w:t>Also takes note</w:t>
      </w:r>
      <w:r w:rsidRPr="008A7345">
        <w:rPr>
          <w:rFonts w:eastAsia="Calibri"/>
          <w:lang w:val="en-US"/>
        </w:rPr>
        <w:t>,</w:t>
      </w:r>
      <w:r w:rsidRPr="001613CE">
        <w:rPr>
          <w:rFonts w:eastAsia="Calibri"/>
          <w:i/>
          <w:lang w:val="en-US"/>
        </w:rPr>
        <w:t xml:space="preserve"> </w:t>
      </w:r>
      <w:r w:rsidRPr="007F16A9">
        <w:rPr>
          <w:rFonts w:eastAsia="Calibri"/>
          <w:lang w:val="en-US"/>
        </w:rPr>
        <w:t>with appreciation</w:t>
      </w:r>
      <w:r w:rsidRPr="008A7345">
        <w:rPr>
          <w:rFonts w:eastAsia="Calibri"/>
          <w:lang w:val="en-US"/>
        </w:rPr>
        <w:t>,</w:t>
      </w:r>
      <w:r w:rsidRPr="001613CE">
        <w:rPr>
          <w:rFonts w:eastAsia="Calibri"/>
          <w:i/>
          <w:lang w:val="en-US"/>
        </w:rPr>
        <w:t xml:space="preserve"> </w:t>
      </w:r>
      <w:r w:rsidRPr="001613CE">
        <w:rPr>
          <w:rFonts w:eastAsia="Calibri"/>
          <w:lang w:val="en-US"/>
        </w:rPr>
        <w:t xml:space="preserve">of the progress made during the ninth meeting of the Open-ended Working Group on the issue of used equipment </w:t>
      </w:r>
      <w:r w:rsidRPr="001613CE">
        <w:t>that</w:t>
      </w:r>
      <w:r w:rsidRPr="001613CE">
        <w:rPr>
          <w:rFonts w:eastAsia="Calibri"/>
          <w:lang w:val="en-US"/>
        </w:rPr>
        <w:t xml:space="preserve"> should normally not be considered waste</w:t>
      </w:r>
      <w:r>
        <w:rPr>
          <w:rFonts w:eastAsia="Calibri"/>
          <w:lang w:val="en-US"/>
        </w:rPr>
        <w:t>, as referred to in</w:t>
      </w:r>
      <w:r w:rsidRPr="001613CE">
        <w:rPr>
          <w:rFonts w:eastAsia="Calibri"/>
          <w:lang w:val="en-US"/>
        </w:rPr>
        <w:t xml:space="preserve"> paragraph 26</w:t>
      </w:r>
      <w:r>
        <w:rPr>
          <w:rFonts w:eastAsia="Calibri"/>
          <w:lang w:val="en-US"/>
        </w:rPr>
        <w:t xml:space="preserve"> (</w:t>
      </w:r>
      <w:r w:rsidRPr="001613CE">
        <w:rPr>
          <w:rFonts w:eastAsia="Calibri"/>
          <w:lang w:val="en-US"/>
        </w:rPr>
        <w:t>b</w:t>
      </w:r>
      <w:r>
        <w:rPr>
          <w:rFonts w:eastAsia="Calibri"/>
          <w:lang w:val="en-US"/>
        </w:rPr>
        <w:t>) of</w:t>
      </w:r>
      <w:r w:rsidRPr="001613CE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the revised draft technical guidelines,</w:t>
      </w:r>
      <w:r>
        <w:rPr>
          <w:rStyle w:val="FootnoteReference"/>
          <w:rFonts w:eastAsia="Calibri"/>
          <w:lang w:val="en-US"/>
        </w:rPr>
        <w:footnoteReference w:id="2"/>
      </w:r>
      <w:r w:rsidRPr="001613CE">
        <w:rPr>
          <w:rFonts w:eastAsia="Calibri"/>
          <w:lang w:val="en-US"/>
        </w:rPr>
        <w:t xml:space="preserve"> where</w:t>
      </w:r>
      <w:r>
        <w:rPr>
          <w:rFonts w:eastAsia="Calibri"/>
          <w:lang w:val="en-US"/>
        </w:rPr>
        <w:t>by</w:t>
      </w:r>
      <w:r w:rsidRPr="001613CE">
        <w:rPr>
          <w:rFonts w:eastAsia="Calibri"/>
          <w:lang w:val="en-US"/>
        </w:rPr>
        <w:t xml:space="preserve"> two options were developed</w:t>
      </w:r>
      <w:r>
        <w:rPr>
          <w:rFonts w:eastAsia="Calibri"/>
          <w:lang w:val="en-US"/>
        </w:rPr>
        <w:t>:</w:t>
      </w:r>
      <w:r w:rsidRPr="001613CE">
        <w:rPr>
          <w:rFonts w:eastAsia="Calibri"/>
          <w:lang w:val="en-US"/>
        </w:rPr>
        <w:t xml:space="preserve"> either to reach agreement through further </w:t>
      </w:r>
      <w:proofErr w:type="spellStart"/>
      <w:r w:rsidRPr="001613CE">
        <w:rPr>
          <w:rFonts w:eastAsia="Calibri"/>
          <w:lang w:val="en-US"/>
        </w:rPr>
        <w:t>intersessional</w:t>
      </w:r>
      <w:proofErr w:type="spellEnd"/>
      <w:r w:rsidRPr="001613CE">
        <w:rPr>
          <w:rFonts w:eastAsia="Calibri"/>
          <w:lang w:val="en-US"/>
        </w:rPr>
        <w:t xml:space="preserve"> work before </w:t>
      </w:r>
      <w:r>
        <w:rPr>
          <w:rFonts w:eastAsia="Calibri"/>
          <w:lang w:val="en-US"/>
        </w:rPr>
        <w:t>the twelfth meeting of the Conference of the Parties</w:t>
      </w:r>
      <w:r w:rsidRPr="001613CE">
        <w:rPr>
          <w:rFonts w:eastAsia="Calibri"/>
          <w:lang w:val="en-US"/>
        </w:rPr>
        <w:t xml:space="preserve"> or, in case no agreement can be reached before or during </w:t>
      </w:r>
      <w:r>
        <w:rPr>
          <w:rFonts w:eastAsia="Calibri"/>
          <w:lang w:val="en-US"/>
        </w:rPr>
        <w:t>that meeting</w:t>
      </w:r>
      <w:r w:rsidRPr="001613CE">
        <w:rPr>
          <w:rFonts w:eastAsia="Calibri"/>
          <w:lang w:val="en-US"/>
        </w:rPr>
        <w:t xml:space="preserve">, </w:t>
      </w:r>
      <w:r>
        <w:rPr>
          <w:rFonts w:eastAsia="Calibri"/>
          <w:lang w:val="en-US"/>
        </w:rPr>
        <w:t xml:space="preserve">to include </w:t>
      </w:r>
      <w:r w:rsidRPr="001613CE">
        <w:rPr>
          <w:rFonts w:eastAsia="Calibri"/>
          <w:lang w:val="en-US"/>
        </w:rPr>
        <w:t>an agreed text in general terms in the draft guidelines as an interim solution</w:t>
      </w:r>
      <w:r>
        <w:rPr>
          <w:rFonts w:eastAsia="Calibri"/>
          <w:lang w:val="en-US"/>
        </w:rPr>
        <w:t>, as reflected in paragraph alt 26 (b) of the revised draft technical guidelines</w:t>
      </w:r>
      <w:r w:rsidRPr="001613CE">
        <w:rPr>
          <w:rFonts w:eastAsia="Calibri"/>
          <w:lang w:val="en-US"/>
        </w:rPr>
        <w:t xml:space="preserve">, with the engagement to work further on the guidelines after </w:t>
      </w:r>
      <w:r>
        <w:rPr>
          <w:rFonts w:eastAsia="Calibri"/>
          <w:lang w:val="en-US"/>
        </w:rPr>
        <w:t>the twelfth meeting</w:t>
      </w:r>
      <w:r w:rsidRPr="001613CE">
        <w:rPr>
          <w:rFonts w:eastAsia="Calibri"/>
          <w:lang w:val="en-US"/>
        </w:rPr>
        <w:t xml:space="preserve"> and </w:t>
      </w:r>
      <w:r>
        <w:rPr>
          <w:rFonts w:eastAsia="Calibri"/>
          <w:lang w:val="en-US"/>
        </w:rPr>
        <w:t xml:space="preserve">in </w:t>
      </w:r>
      <w:r w:rsidRPr="001613CE">
        <w:rPr>
          <w:rFonts w:eastAsia="Calibri"/>
          <w:lang w:val="en-US"/>
        </w:rPr>
        <w:t>accord</w:t>
      </w:r>
      <w:r>
        <w:rPr>
          <w:rFonts w:eastAsia="Calibri"/>
          <w:lang w:val="en-US"/>
        </w:rPr>
        <w:t xml:space="preserve">ance with any relevant </w:t>
      </w:r>
      <w:r w:rsidRPr="001613CE">
        <w:rPr>
          <w:rFonts w:eastAsia="Calibri"/>
          <w:lang w:val="en-US"/>
        </w:rPr>
        <w:t xml:space="preserve">decisions </w:t>
      </w:r>
      <w:r>
        <w:rPr>
          <w:rFonts w:eastAsia="Calibri"/>
          <w:lang w:val="en-US"/>
        </w:rPr>
        <w:t xml:space="preserve">adopted by the Conference of the Parties at its twelfth </w:t>
      </w:r>
      <w:r w:rsidRPr="001613CE">
        <w:rPr>
          <w:rFonts w:eastAsia="Calibri"/>
          <w:lang w:val="en-US"/>
        </w:rPr>
        <w:t>meeting</w:t>
      </w:r>
      <w:r>
        <w:rPr>
          <w:rFonts w:eastAsia="Calibri"/>
          <w:lang w:val="en-US"/>
        </w:rPr>
        <w:t>;</w:t>
      </w:r>
    </w:p>
    <w:p w:rsidR="00951E19" w:rsidRPr="001613CE" w:rsidRDefault="00951E19" w:rsidP="00951E19">
      <w:pPr>
        <w:pStyle w:val="Normalnumber"/>
        <w:numPr>
          <w:ilvl w:val="0"/>
          <w:numId w:val="9"/>
        </w:num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ind w:left="1260" w:firstLine="630"/>
        <w:rPr>
          <w:rFonts w:eastAsia="Calibri"/>
          <w:color w:val="000000"/>
          <w:lang w:val="en-US"/>
        </w:rPr>
      </w:pPr>
      <w:r w:rsidRPr="001613CE">
        <w:rPr>
          <w:rFonts w:eastAsia="Calibri"/>
          <w:i/>
          <w:color w:val="000000"/>
          <w:lang w:val="en-US"/>
        </w:rPr>
        <w:t>R</w:t>
      </w:r>
      <w:r w:rsidRPr="001613CE">
        <w:rPr>
          <w:rFonts w:eastAsia="Calibri"/>
          <w:i/>
          <w:iCs/>
          <w:color w:val="000000"/>
          <w:lang w:val="en-US"/>
        </w:rPr>
        <w:t>equests</w:t>
      </w:r>
      <w:r w:rsidRPr="001613CE">
        <w:rPr>
          <w:rFonts w:eastAsia="Calibri"/>
          <w:color w:val="000000"/>
          <w:lang w:val="en-US"/>
        </w:rPr>
        <w:t xml:space="preserve"> the Secretariat to prepare, in consultation with the small </w:t>
      </w:r>
      <w:proofErr w:type="spellStart"/>
      <w:r w:rsidRPr="001613CE">
        <w:rPr>
          <w:rFonts w:eastAsia="Calibri"/>
          <w:color w:val="000000"/>
          <w:lang w:val="en-US"/>
        </w:rPr>
        <w:t>intersessional</w:t>
      </w:r>
      <w:proofErr w:type="spellEnd"/>
      <w:r w:rsidRPr="001613CE">
        <w:rPr>
          <w:rFonts w:eastAsia="Calibri"/>
          <w:color w:val="000000"/>
          <w:lang w:val="en-US"/>
        </w:rPr>
        <w:t xml:space="preserve"> working group established in accordance with decision BC-10/5 and taking into account the discussions at the ninth meeting of the Open-ended Working Group and any comments received pursuant to decision BC-11/4, a further revised version of the draft technical guidelines by 20</w:t>
      </w:r>
      <w:r>
        <w:rPr>
          <w:rFonts w:eastAsia="Calibri"/>
          <w:color w:val="000000"/>
          <w:lang w:val="en-US"/>
        </w:rPr>
        <w:t> </w:t>
      </w:r>
      <w:r w:rsidRPr="001613CE">
        <w:rPr>
          <w:rFonts w:eastAsia="Calibri"/>
          <w:color w:val="000000"/>
          <w:lang w:val="en-US"/>
        </w:rPr>
        <w:t>November 2014</w:t>
      </w:r>
      <w:r>
        <w:rPr>
          <w:rFonts w:eastAsia="Calibri"/>
          <w:color w:val="000000"/>
          <w:lang w:val="en-US"/>
        </w:rPr>
        <w:t xml:space="preserve"> </w:t>
      </w:r>
      <w:r w:rsidRPr="00A641B4">
        <w:rPr>
          <w:szCs w:val="24"/>
        </w:rPr>
        <w:t xml:space="preserve">and to transmit the </w:t>
      </w:r>
      <w:r>
        <w:rPr>
          <w:szCs w:val="24"/>
        </w:rPr>
        <w:t xml:space="preserve">further revised </w:t>
      </w:r>
      <w:r w:rsidRPr="00A641B4">
        <w:rPr>
          <w:szCs w:val="24"/>
        </w:rPr>
        <w:t xml:space="preserve">draft </w:t>
      </w:r>
      <w:r>
        <w:rPr>
          <w:szCs w:val="24"/>
        </w:rPr>
        <w:t xml:space="preserve">guidelines </w:t>
      </w:r>
      <w:r w:rsidRPr="00A641B4">
        <w:rPr>
          <w:szCs w:val="24"/>
        </w:rPr>
        <w:t xml:space="preserve">for translation </w:t>
      </w:r>
      <w:r>
        <w:rPr>
          <w:szCs w:val="24"/>
        </w:rPr>
        <w:t xml:space="preserve">from English </w:t>
      </w:r>
      <w:r w:rsidRPr="00A641B4">
        <w:rPr>
          <w:szCs w:val="24"/>
        </w:rPr>
        <w:t>in</w:t>
      </w:r>
      <w:r>
        <w:rPr>
          <w:szCs w:val="24"/>
        </w:rPr>
        <w:t>to</w:t>
      </w:r>
      <w:r w:rsidRPr="00A641B4">
        <w:rPr>
          <w:szCs w:val="24"/>
        </w:rPr>
        <w:t xml:space="preserve"> the </w:t>
      </w:r>
      <w:r>
        <w:rPr>
          <w:szCs w:val="24"/>
        </w:rPr>
        <w:t>five other</w:t>
      </w:r>
      <w:r w:rsidRPr="00A641B4">
        <w:rPr>
          <w:szCs w:val="24"/>
        </w:rPr>
        <w:t xml:space="preserve"> official languages of the United Nations for submission to the Conference of the Parties</w:t>
      </w:r>
      <w:r>
        <w:rPr>
          <w:szCs w:val="24"/>
        </w:rPr>
        <w:t xml:space="preserve"> at its twelfth meeting for consideration and possible adoption</w:t>
      </w:r>
      <w:r w:rsidRPr="001613CE">
        <w:rPr>
          <w:rFonts w:eastAsia="Calibri"/>
          <w:color w:val="000000"/>
          <w:lang w:val="en-US"/>
        </w:rPr>
        <w:t>;</w:t>
      </w:r>
    </w:p>
    <w:p w:rsidR="00951E19" w:rsidRPr="001613CE" w:rsidRDefault="00951E19" w:rsidP="00951E19">
      <w:pPr>
        <w:pStyle w:val="Normalnumber"/>
        <w:numPr>
          <w:ilvl w:val="0"/>
          <w:numId w:val="9"/>
        </w:num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ind w:left="1260" w:firstLine="630"/>
        <w:rPr>
          <w:rFonts w:eastAsia="Calibri"/>
          <w:color w:val="000000"/>
          <w:lang w:val="en-US"/>
        </w:rPr>
      </w:pPr>
      <w:r w:rsidRPr="001613CE">
        <w:rPr>
          <w:rFonts w:eastAsia="Calibri"/>
          <w:i/>
          <w:color w:val="000000"/>
          <w:lang w:val="en-US"/>
        </w:rPr>
        <w:t>Also requests</w:t>
      </w:r>
      <w:r w:rsidRPr="001613CE">
        <w:rPr>
          <w:rFonts w:eastAsia="Calibri"/>
          <w:color w:val="000000"/>
          <w:lang w:val="en-US"/>
        </w:rPr>
        <w:t xml:space="preserve"> the Secretariat to publish the </w:t>
      </w:r>
      <w:r>
        <w:rPr>
          <w:rFonts w:eastAsia="Calibri"/>
          <w:color w:val="000000"/>
          <w:lang w:val="en-US"/>
        </w:rPr>
        <w:t xml:space="preserve">further </w:t>
      </w:r>
      <w:r w:rsidRPr="001613CE">
        <w:rPr>
          <w:rFonts w:eastAsia="Calibri"/>
          <w:color w:val="000000"/>
          <w:lang w:val="en-US"/>
        </w:rPr>
        <w:t>revised draft technical guidelines on the website of the Basel Convention;</w:t>
      </w:r>
    </w:p>
    <w:p w:rsidR="00951E19" w:rsidRPr="001613CE" w:rsidRDefault="00951E19" w:rsidP="00951E19">
      <w:pPr>
        <w:pStyle w:val="Normalnumber"/>
        <w:numPr>
          <w:ilvl w:val="0"/>
          <w:numId w:val="9"/>
        </w:num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ind w:left="1260" w:firstLine="630"/>
        <w:rPr>
          <w:rFonts w:eastAsia="Calibri"/>
          <w:color w:val="000000"/>
          <w:lang w:val="en-US"/>
        </w:rPr>
      </w:pPr>
      <w:r w:rsidRPr="001613CE">
        <w:rPr>
          <w:rFonts w:eastAsia="Calibri"/>
          <w:i/>
          <w:color w:val="000000"/>
          <w:lang w:val="en-US"/>
        </w:rPr>
        <w:t>Invites</w:t>
      </w:r>
      <w:r w:rsidRPr="001613CE">
        <w:rPr>
          <w:rFonts w:eastAsia="Calibri"/>
          <w:color w:val="000000"/>
          <w:lang w:val="en-US"/>
        </w:rPr>
        <w:t xml:space="preserve"> parties and others to provide comments to the Secretariat on the </w:t>
      </w:r>
      <w:r>
        <w:rPr>
          <w:rFonts w:eastAsia="Calibri"/>
          <w:color w:val="000000"/>
          <w:lang w:val="en-US"/>
        </w:rPr>
        <w:t xml:space="preserve">further </w:t>
      </w:r>
      <w:r w:rsidRPr="001613CE">
        <w:rPr>
          <w:rFonts w:eastAsia="Calibri"/>
          <w:color w:val="000000"/>
          <w:lang w:val="en-US"/>
        </w:rPr>
        <w:t>revised draft technical guidelines by 28 February 2015, in particular on the options relating to paragraph 26</w:t>
      </w:r>
      <w:r>
        <w:rPr>
          <w:rFonts w:eastAsia="Calibri"/>
          <w:color w:val="000000"/>
          <w:lang w:val="en-US"/>
        </w:rPr>
        <w:t> </w:t>
      </w:r>
      <w:r w:rsidRPr="001613CE">
        <w:rPr>
          <w:rFonts w:eastAsia="Calibri"/>
          <w:color w:val="000000"/>
          <w:lang w:val="en-US"/>
        </w:rPr>
        <w:t>(b), and requests the Secretariat to make them available on the website of the Basel Convention;</w:t>
      </w:r>
    </w:p>
    <w:p w:rsidR="00951E19" w:rsidRPr="001613CE" w:rsidRDefault="00951E19" w:rsidP="00951E19">
      <w:pPr>
        <w:pStyle w:val="Normalnumber"/>
        <w:numPr>
          <w:ilvl w:val="0"/>
          <w:numId w:val="9"/>
        </w:num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ind w:left="1260" w:firstLine="630"/>
        <w:rPr>
          <w:rFonts w:eastAsia="Calibri"/>
          <w:color w:val="000000"/>
          <w:lang w:val="en-US"/>
        </w:rPr>
      </w:pPr>
      <w:r w:rsidRPr="001613CE">
        <w:rPr>
          <w:rFonts w:eastAsia="Calibri"/>
          <w:i/>
          <w:color w:val="000000"/>
          <w:lang w:val="en-US"/>
        </w:rPr>
        <w:t>Requests</w:t>
      </w:r>
      <w:r w:rsidRPr="001613CE">
        <w:rPr>
          <w:rFonts w:eastAsia="Calibri"/>
          <w:color w:val="000000"/>
          <w:lang w:val="en-US"/>
        </w:rPr>
        <w:t xml:space="preserve"> the small </w:t>
      </w:r>
      <w:proofErr w:type="spellStart"/>
      <w:r w:rsidRPr="001613CE">
        <w:rPr>
          <w:rFonts w:eastAsia="Calibri"/>
          <w:color w:val="000000"/>
          <w:lang w:val="en-US"/>
        </w:rPr>
        <w:t>intersessional</w:t>
      </w:r>
      <w:proofErr w:type="spellEnd"/>
      <w:r w:rsidRPr="001613CE">
        <w:rPr>
          <w:rFonts w:eastAsia="Calibri"/>
          <w:color w:val="000000"/>
          <w:lang w:val="en-US"/>
        </w:rPr>
        <w:t xml:space="preserve"> working group to continue efforts to make progress on seeking agreement before </w:t>
      </w:r>
      <w:r>
        <w:rPr>
          <w:rFonts w:eastAsia="Calibri"/>
          <w:color w:val="000000"/>
          <w:lang w:val="en-US"/>
        </w:rPr>
        <w:t>the twelfth meeting of the Conference of the Parties</w:t>
      </w:r>
      <w:r w:rsidRPr="001613CE">
        <w:rPr>
          <w:rFonts w:eastAsia="Calibri"/>
          <w:color w:val="000000"/>
          <w:lang w:val="en-US"/>
        </w:rPr>
        <w:t xml:space="preserve"> on the provisions in paragraph 26</w:t>
      </w:r>
      <w:r>
        <w:rPr>
          <w:rFonts w:eastAsia="Calibri"/>
          <w:color w:val="000000"/>
          <w:lang w:val="en-US"/>
        </w:rPr>
        <w:t xml:space="preserve"> </w:t>
      </w:r>
      <w:r w:rsidRPr="001613CE">
        <w:rPr>
          <w:rFonts w:eastAsia="Calibri"/>
          <w:color w:val="000000"/>
          <w:lang w:val="en-US"/>
        </w:rPr>
        <w:t xml:space="preserve">(b) of the </w:t>
      </w:r>
      <w:r>
        <w:rPr>
          <w:rFonts w:eastAsia="Calibri"/>
          <w:color w:val="000000"/>
          <w:lang w:val="en-US"/>
        </w:rPr>
        <w:t xml:space="preserve">draft technical </w:t>
      </w:r>
      <w:r w:rsidRPr="001613CE">
        <w:rPr>
          <w:rFonts w:eastAsia="Calibri"/>
          <w:color w:val="000000"/>
          <w:lang w:val="en-US"/>
        </w:rPr>
        <w:t>guidelines</w:t>
      </w:r>
      <w:r>
        <w:rPr>
          <w:rFonts w:eastAsia="Calibri"/>
          <w:color w:val="000000"/>
          <w:lang w:val="en-US"/>
        </w:rPr>
        <w:t>;</w:t>
      </w:r>
    </w:p>
    <w:p w:rsidR="00951E19" w:rsidRPr="001613CE" w:rsidRDefault="00951E19" w:rsidP="00951E19">
      <w:pPr>
        <w:pStyle w:val="Normalnumber"/>
        <w:numPr>
          <w:ilvl w:val="0"/>
          <w:numId w:val="9"/>
        </w:num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ind w:left="1260" w:firstLine="630"/>
        <w:rPr>
          <w:rFonts w:eastAsia="Calibri"/>
          <w:color w:val="000000"/>
          <w:lang w:val="en-US"/>
        </w:rPr>
      </w:pPr>
      <w:r w:rsidRPr="001613CE">
        <w:rPr>
          <w:rFonts w:eastAsia="Calibri"/>
          <w:i/>
          <w:color w:val="000000"/>
          <w:lang w:val="en-US"/>
        </w:rPr>
        <w:t>R</w:t>
      </w:r>
      <w:r w:rsidRPr="001613CE">
        <w:rPr>
          <w:rFonts w:eastAsia="Calibri"/>
          <w:i/>
          <w:iCs/>
          <w:color w:val="000000"/>
          <w:lang w:val="en-US"/>
        </w:rPr>
        <w:t>equests</w:t>
      </w:r>
      <w:r w:rsidRPr="001613CE">
        <w:rPr>
          <w:rFonts w:eastAsia="Calibri"/>
          <w:color w:val="000000"/>
          <w:lang w:val="en-US"/>
        </w:rPr>
        <w:t xml:space="preserve"> the Secretariat to revise the draft technical guidelines, taking into account the comments received </w:t>
      </w:r>
      <w:r>
        <w:rPr>
          <w:rFonts w:eastAsia="Calibri"/>
          <w:color w:val="000000"/>
          <w:lang w:val="en-US"/>
        </w:rPr>
        <w:t xml:space="preserve">pursuant </w:t>
      </w:r>
      <w:r w:rsidRPr="001613CE">
        <w:rPr>
          <w:rFonts w:eastAsia="Calibri"/>
          <w:color w:val="000000"/>
          <w:lang w:val="en-US"/>
        </w:rPr>
        <w:t xml:space="preserve">to paragraph 5 and the outcome of the </w:t>
      </w:r>
      <w:r>
        <w:rPr>
          <w:rFonts w:eastAsia="Calibri"/>
          <w:color w:val="000000"/>
          <w:lang w:val="en-US"/>
        </w:rPr>
        <w:t xml:space="preserve">efforts referred to in </w:t>
      </w:r>
      <w:r w:rsidRPr="001613CE">
        <w:rPr>
          <w:rFonts w:eastAsia="Calibri"/>
          <w:color w:val="000000"/>
          <w:lang w:val="en-US"/>
        </w:rPr>
        <w:t xml:space="preserve">paragraph 6 </w:t>
      </w:r>
      <w:r>
        <w:rPr>
          <w:rFonts w:eastAsia="Calibri"/>
          <w:color w:val="000000"/>
          <w:lang w:val="en-US"/>
        </w:rPr>
        <w:t xml:space="preserve">above </w:t>
      </w:r>
      <w:r w:rsidRPr="001613CE">
        <w:rPr>
          <w:rFonts w:eastAsia="Calibri"/>
          <w:color w:val="000000"/>
          <w:lang w:val="en-US"/>
        </w:rPr>
        <w:t xml:space="preserve">and </w:t>
      </w:r>
      <w:r>
        <w:rPr>
          <w:rFonts w:eastAsia="Calibri"/>
          <w:color w:val="000000"/>
          <w:lang w:val="en-US"/>
        </w:rPr>
        <w:t xml:space="preserve">to </w:t>
      </w:r>
      <w:r w:rsidRPr="001613CE">
        <w:rPr>
          <w:rFonts w:eastAsia="Calibri"/>
          <w:color w:val="000000"/>
          <w:lang w:val="en-US"/>
        </w:rPr>
        <w:t xml:space="preserve">submit </w:t>
      </w:r>
      <w:r>
        <w:rPr>
          <w:rFonts w:eastAsia="Calibri"/>
          <w:color w:val="000000"/>
          <w:lang w:val="en-US"/>
        </w:rPr>
        <w:t xml:space="preserve">the draft technical guidelines so revised </w:t>
      </w:r>
      <w:r w:rsidRPr="001613CE">
        <w:rPr>
          <w:rFonts w:eastAsia="Calibri"/>
          <w:color w:val="000000"/>
          <w:lang w:val="en-US"/>
        </w:rPr>
        <w:t xml:space="preserve">to </w:t>
      </w:r>
      <w:r w:rsidRPr="001613CE">
        <w:rPr>
          <w:rFonts w:eastAsia="Calibri"/>
          <w:color w:val="000000"/>
          <w:lang w:val="en-US"/>
        </w:rPr>
        <w:lastRenderedPageBreak/>
        <w:t xml:space="preserve">the Conference of the Parties </w:t>
      </w:r>
      <w:r w:rsidRPr="00A736B5">
        <w:rPr>
          <w:rFonts w:eastAsia="Calibri"/>
          <w:color w:val="000000"/>
          <w:lang w:val="en-US"/>
        </w:rPr>
        <w:t xml:space="preserve">as </w:t>
      </w:r>
      <w:r>
        <w:rPr>
          <w:rFonts w:eastAsia="Calibri"/>
          <w:color w:val="000000"/>
          <w:lang w:val="en-US"/>
        </w:rPr>
        <w:t xml:space="preserve">an </w:t>
      </w:r>
      <w:r w:rsidRPr="00A736B5">
        <w:rPr>
          <w:rFonts w:eastAsia="Calibri"/>
          <w:color w:val="000000"/>
          <w:lang w:val="en-US"/>
        </w:rPr>
        <w:t>information document</w:t>
      </w:r>
      <w:r>
        <w:rPr>
          <w:rFonts w:eastAsia="Calibri"/>
          <w:color w:val="000000"/>
          <w:lang w:val="en-US"/>
        </w:rPr>
        <w:t xml:space="preserve"> </w:t>
      </w:r>
      <w:r w:rsidRPr="001613CE">
        <w:rPr>
          <w:rFonts w:eastAsia="Calibri"/>
          <w:color w:val="000000"/>
          <w:lang w:val="en-US"/>
        </w:rPr>
        <w:t xml:space="preserve">for consideration at its </w:t>
      </w:r>
      <w:r>
        <w:rPr>
          <w:rFonts w:eastAsia="Calibri"/>
          <w:color w:val="000000"/>
          <w:lang w:val="en-US"/>
        </w:rPr>
        <w:t>twelfth</w:t>
      </w:r>
      <w:r w:rsidRPr="001613CE">
        <w:rPr>
          <w:rFonts w:eastAsia="Calibri"/>
          <w:color w:val="000000"/>
          <w:lang w:val="en-US"/>
        </w:rPr>
        <w:t xml:space="preserve"> meeting</w:t>
      </w:r>
      <w:r>
        <w:rPr>
          <w:rFonts w:eastAsia="Calibri"/>
          <w:color w:val="000000"/>
          <w:lang w:val="en-US"/>
        </w:rPr>
        <w:t>;</w:t>
      </w:r>
    </w:p>
    <w:p w:rsidR="00951E19" w:rsidRDefault="00951E19" w:rsidP="00951E19">
      <w:pPr>
        <w:pStyle w:val="Normalnumber"/>
        <w:numPr>
          <w:ilvl w:val="0"/>
          <w:numId w:val="9"/>
        </w:num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ind w:left="1260" w:firstLine="630"/>
        <w:rPr>
          <w:rFonts w:eastAsia="Calibri"/>
          <w:color w:val="000000"/>
          <w:lang w:val="en-US"/>
        </w:rPr>
      </w:pPr>
      <w:r>
        <w:rPr>
          <w:rFonts w:eastAsia="Calibri"/>
          <w:i/>
          <w:color w:val="000000"/>
          <w:lang w:val="en-US"/>
        </w:rPr>
        <w:t>Also r</w:t>
      </w:r>
      <w:r w:rsidRPr="001613CE">
        <w:rPr>
          <w:rFonts w:eastAsia="Calibri"/>
          <w:i/>
          <w:color w:val="000000"/>
          <w:lang w:val="en-US"/>
        </w:rPr>
        <w:t xml:space="preserve">equests </w:t>
      </w:r>
      <w:r w:rsidRPr="001613CE">
        <w:rPr>
          <w:rFonts w:eastAsia="Calibri"/>
          <w:color w:val="000000"/>
          <w:lang w:val="en-US"/>
        </w:rPr>
        <w:t xml:space="preserve">the Secretariat to prepare a draft decision </w:t>
      </w:r>
      <w:r>
        <w:rPr>
          <w:rFonts w:eastAsia="Calibri"/>
          <w:color w:val="000000"/>
          <w:lang w:val="en-US"/>
        </w:rPr>
        <w:t xml:space="preserve">for consideration by the Conference of the Parties at its twelfth meeting </w:t>
      </w:r>
      <w:r w:rsidRPr="001613CE">
        <w:rPr>
          <w:rFonts w:eastAsia="Calibri"/>
          <w:color w:val="000000"/>
          <w:lang w:val="en-US"/>
        </w:rPr>
        <w:t xml:space="preserve">that may contain the following elements, taking into account the outcome of </w:t>
      </w:r>
      <w:r>
        <w:rPr>
          <w:rFonts w:eastAsia="Calibri"/>
          <w:color w:val="000000"/>
          <w:lang w:val="en-US"/>
        </w:rPr>
        <w:t xml:space="preserve">efforts referred to in </w:t>
      </w:r>
      <w:r w:rsidRPr="001613CE">
        <w:rPr>
          <w:rFonts w:eastAsia="Calibri"/>
          <w:color w:val="000000"/>
          <w:lang w:val="en-US"/>
        </w:rPr>
        <w:t>paragraph 6</w:t>
      </w:r>
      <w:r>
        <w:rPr>
          <w:rFonts w:eastAsia="Calibri"/>
          <w:color w:val="000000"/>
          <w:lang w:val="en-US"/>
        </w:rPr>
        <w:t xml:space="preserve"> above</w:t>
      </w:r>
      <w:r w:rsidRPr="001613CE">
        <w:rPr>
          <w:rFonts w:eastAsia="Calibri"/>
          <w:color w:val="000000"/>
          <w:lang w:val="en-US"/>
        </w:rPr>
        <w:t>:</w:t>
      </w:r>
    </w:p>
    <w:p w:rsidR="00951E19" w:rsidRPr="00A15A46" w:rsidRDefault="00951E19" w:rsidP="00951E19">
      <w:pPr>
        <w:pStyle w:val="NormalNonumber"/>
        <w:numPr>
          <w:ilvl w:val="0"/>
          <w:numId w:val="0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872" w:firstLine="630"/>
        <w:rPr>
          <w:i/>
        </w:rPr>
      </w:pPr>
      <w:r w:rsidRPr="00A15A46">
        <w:rPr>
          <w:i/>
        </w:rPr>
        <w:t>The Conference of the Parties</w:t>
      </w:r>
    </w:p>
    <w:p w:rsidR="00951E19" w:rsidRPr="00A15A46" w:rsidRDefault="00951E19" w:rsidP="00951E19">
      <w:pPr>
        <w:pStyle w:val="NormalNonumber"/>
        <w:numPr>
          <w:ilvl w:val="0"/>
          <w:numId w:val="0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872" w:firstLine="630"/>
        <w:rPr>
          <w:color w:val="000000"/>
        </w:rPr>
      </w:pPr>
      <w:r w:rsidRPr="00A15A46">
        <w:rPr>
          <w:color w:val="000000"/>
        </w:rPr>
        <w:t>1.</w:t>
      </w:r>
      <w:r w:rsidRPr="00A15A46">
        <w:rPr>
          <w:color w:val="000000"/>
        </w:rPr>
        <w:tab/>
      </w:r>
      <w:r w:rsidRPr="00A15A46">
        <w:rPr>
          <w:i/>
          <w:color w:val="000000"/>
        </w:rPr>
        <w:t xml:space="preserve">Adopts </w:t>
      </w:r>
      <w:r w:rsidRPr="00A15A46">
        <w:rPr>
          <w:color w:val="000000"/>
        </w:rPr>
        <w:t xml:space="preserve">the technical guidelines </w:t>
      </w:r>
      <w:r w:rsidRPr="00A15A46">
        <w:t xml:space="preserve">on </w:t>
      </w:r>
      <w:proofErr w:type="spellStart"/>
      <w:r w:rsidRPr="00A15A46">
        <w:t>transboundary</w:t>
      </w:r>
      <w:proofErr w:type="spellEnd"/>
      <w:r w:rsidRPr="00A15A46">
        <w:t xml:space="preserve"> movements of electronic and electrical waste </w:t>
      </w:r>
      <w:r>
        <w:t xml:space="preserve">and </w:t>
      </w:r>
      <w:r w:rsidRPr="00A15A46">
        <w:t>used electrical and electronic equipment, in particular regarding the distinction between waste and non-waste under the Basel Convention</w:t>
      </w:r>
      <w:r w:rsidRPr="00A15A46">
        <w:rPr>
          <w:color w:val="000000"/>
        </w:rPr>
        <w:t>;</w:t>
      </w:r>
      <w:r>
        <w:rPr>
          <w:rStyle w:val="FootnoteReference"/>
        </w:rPr>
        <w:footnoteReference w:id="3"/>
      </w:r>
    </w:p>
    <w:p w:rsidR="00951E19" w:rsidRPr="00A15A46" w:rsidRDefault="00951E19" w:rsidP="00951E19">
      <w:pPr>
        <w:pStyle w:val="NormalNonumber"/>
        <w:numPr>
          <w:ilvl w:val="0"/>
          <w:numId w:val="0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872" w:firstLine="630"/>
        <w:rPr>
          <w:szCs w:val="18"/>
          <w:lang w:val="en-US"/>
        </w:rPr>
      </w:pPr>
      <w:r w:rsidRPr="00A15A46">
        <w:rPr>
          <w:color w:val="000000"/>
        </w:rPr>
        <w:t>[2</w:t>
      </w:r>
      <w:r>
        <w:rPr>
          <w:color w:val="000000"/>
        </w:rPr>
        <w:t>.</w:t>
      </w:r>
      <w:r w:rsidRPr="00A15A46">
        <w:rPr>
          <w:color w:val="000000"/>
        </w:rPr>
        <w:t xml:space="preserve"> </w:t>
      </w:r>
      <w:r>
        <w:rPr>
          <w:color w:val="000000"/>
        </w:rPr>
        <w:tab/>
      </w:r>
      <w:r w:rsidRPr="00A15A46">
        <w:rPr>
          <w:i/>
          <w:color w:val="000000"/>
        </w:rPr>
        <w:t xml:space="preserve">Acknowledges </w:t>
      </w:r>
      <w:r w:rsidRPr="00A15A46">
        <w:rPr>
          <w:color w:val="000000"/>
        </w:rPr>
        <w:t xml:space="preserve">the need to look </w:t>
      </w:r>
      <w:r>
        <w:rPr>
          <w:color w:val="000000"/>
        </w:rPr>
        <w:t xml:space="preserve">further </w:t>
      </w:r>
      <w:r w:rsidRPr="00A15A46">
        <w:rPr>
          <w:color w:val="000000"/>
        </w:rPr>
        <w:t xml:space="preserve">into the issue of used equipment that should normally not be considered waste (paragraph … in document </w:t>
      </w:r>
      <w:r w:rsidRPr="00A15A46">
        <w:rPr>
          <w:szCs w:val="18"/>
          <w:lang w:val="en-US"/>
        </w:rPr>
        <w:t xml:space="preserve">UNEP/CHW.12…) and </w:t>
      </w:r>
      <w:r w:rsidRPr="005D5C00">
        <w:rPr>
          <w:szCs w:val="18"/>
          <w:lang w:val="en-US"/>
        </w:rPr>
        <w:t>a</w:t>
      </w:r>
      <w:proofErr w:type="spellStart"/>
      <w:r w:rsidRPr="004678A5">
        <w:rPr>
          <w:color w:val="000000"/>
        </w:rPr>
        <w:t>grees</w:t>
      </w:r>
      <w:proofErr w:type="spellEnd"/>
      <w:r w:rsidRPr="00A15A46">
        <w:rPr>
          <w:color w:val="000000"/>
        </w:rPr>
        <w:t xml:space="preserve"> to include the further elaboration of work on this issue </w:t>
      </w:r>
      <w:r w:rsidRPr="00A15A46">
        <w:rPr>
          <w:szCs w:val="18"/>
          <w:lang w:val="en-US"/>
        </w:rPr>
        <w:t xml:space="preserve">in the work </w:t>
      </w:r>
      <w:proofErr w:type="spellStart"/>
      <w:r w:rsidRPr="00A15A46">
        <w:rPr>
          <w:szCs w:val="18"/>
          <w:lang w:val="en-US"/>
        </w:rPr>
        <w:t>programme</w:t>
      </w:r>
      <w:proofErr w:type="spellEnd"/>
      <w:r w:rsidRPr="00A15A46">
        <w:rPr>
          <w:szCs w:val="18"/>
          <w:lang w:val="en-US"/>
        </w:rPr>
        <w:t xml:space="preserve"> </w:t>
      </w:r>
      <w:r>
        <w:rPr>
          <w:szCs w:val="18"/>
          <w:lang w:val="en-US"/>
        </w:rPr>
        <w:t xml:space="preserve">of the Open-ended Working Group </w:t>
      </w:r>
      <w:r w:rsidRPr="00A15A46">
        <w:rPr>
          <w:szCs w:val="18"/>
          <w:lang w:val="en-US"/>
        </w:rPr>
        <w:t>for 2016</w:t>
      </w:r>
      <w:r>
        <w:rPr>
          <w:szCs w:val="18"/>
          <w:lang w:val="en-US"/>
        </w:rPr>
        <w:t>–</w:t>
      </w:r>
      <w:r w:rsidRPr="00A15A46">
        <w:rPr>
          <w:szCs w:val="18"/>
          <w:lang w:val="en-US"/>
        </w:rPr>
        <w:t xml:space="preserve">2017 with a view </w:t>
      </w:r>
      <w:r>
        <w:rPr>
          <w:szCs w:val="18"/>
          <w:lang w:val="en-US"/>
        </w:rPr>
        <w:t>to</w:t>
      </w:r>
      <w:r w:rsidRPr="00A15A46">
        <w:rPr>
          <w:szCs w:val="18"/>
          <w:lang w:val="en-US"/>
        </w:rPr>
        <w:t xml:space="preserve"> </w:t>
      </w:r>
      <w:r>
        <w:rPr>
          <w:szCs w:val="18"/>
          <w:lang w:val="en-US"/>
        </w:rPr>
        <w:t xml:space="preserve">the </w:t>
      </w:r>
      <w:r w:rsidRPr="00A15A46">
        <w:rPr>
          <w:szCs w:val="18"/>
          <w:lang w:val="en-US"/>
        </w:rPr>
        <w:t>prepar</w:t>
      </w:r>
      <w:r>
        <w:rPr>
          <w:szCs w:val="18"/>
          <w:lang w:val="en-US"/>
        </w:rPr>
        <w:t>ation of</w:t>
      </w:r>
      <w:r w:rsidRPr="00A15A46">
        <w:rPr>
          <w:szCs w:val="18"/>
          <w:lang w:val="en-US"/>
        </w:rPr>
        <w:t xml:space="preserve"> revised draft guidelines for consideration at </w:t>
      </w:r>
      <w:r>
        <w:rPr>
          <w:szCs w:val="18"/>
          <w:lang w:val="en-US"/>
        </w:rPr>
        <w:t>its thirteenth meeting</w:t>
      </w:r>
      <w:r w:rsidRPr="00A15A46">
        <w:rPr>
          <w:szCs w:val="18"/>
          <w:lang w:val="en-US"/>
        </w:rPr>
        <w:t>;</w:t>
      </w:r>
    </w:p>
    <w:p w:rsidR="00951E19" w:rsidRPr="00A15A46" w:rsidRDefault="00951E19" w:rsidP="00951E19">
      <w:pPr>
        <w:pStyle w:val="NormalNonumber"/>
        <w:numPr>
          <w:ilvl w:val="0"/>
          <w:numId w:val="0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872" w:firstLine="630"/>
        <w:rPr>
          <w:szCs w:val="18"/>
          <w:lang w:val="en-US"/>
        </w:rPr>
      </w:pPr>
      <w:r w:rsidRPr="00A15A46">
        <w:rPr>
          <w:szCs w:val="18"/>
          <w:lang w:val="en-US"/>
        </w:rPr>
        <w:t>3.</w:t>
      </w:r>
      <w:r>
        <w:rPr>
          <w:szCs w:val="18"/>
          <w:lang w:val="en-US"/>
        </w:rPr>
        <w:tab/>
      </w:r>
      <w:r w:rsidRPr="00A15A46">
        <w:rPr>
          <w:i/>
          <w:color w:val="000000"/>
        </w:rPr>
        <w:t>Invites</w:t>
      </w:r>
      <w:r w:rsidRPr="00A15A46">
        <w:rPr>
          <w:color w:val="000000"/>
        </w:rPr>
        <w:t xml:space="preserve"> </w:t>
      </w:r>
      <w:r>
        <w:rPr>
          <w:color w:val="000000"/>
        </w:rPr>
        <w:t>p</w:t>
      </w:r>
      <w:r w:rsidRPr="00A15A46">
        <w:rPr>
          <w:color w:val="000000"/>
        </w:rPr>
        <w:t xml:space="preserve">arties and others to provide comments in relation to used equipment that should normally not be considered waste (paragraph … in document </w:t>
      </w:r>
      <w:r w:rsidRPr="00A15A46">
        <w:rPr>
          <w:szCs w:val="18"/>
          <w:lang w:val="en-US"/>
        </w:rPr>
        <w:t xml:space="preserve">UNEP/CHW.12…) to the Secretariat by … for consideration by the small </w:t>
      </w:r>
      <w:proofErr w:type="spellStart"/>
      <w:r w:rsidRPr="00A15A46">
        <w:rPr>
          <w:szCs w:val="18"/>
          <w:lang w:val="en-US"/>
        </w:rPr>
        <w:t>intersessional</w:t>
      </w:r>
      <w:proofErr w:type="spellEnd"/>
      <w:r w:rsidRPr="00A15A46">
        <w:rPr>
          <w:szCs w:val="18"/>
          <w:lang w:val="en-US"/>
        </w:rPr>
        <w:t xml:space="preserve"> working group in developing the work pursuant to paragraph 2</w:t>
      </w:r>
      <w:r>
        <w:rPr>
          <w:szCs w:val="18"/>
          <w:lang w:val="en-US"/>
        </w:rPr>
        <w:t xml:space="preserve"> above</w:t>
      </w:r>
      <w:r w:rsidRPr="00A15A46">
        <w:rPr>
          <w:szCs w:val="18"/>
          <w:lang w:val="en-US"/>
        </w:rPr>
        <w:t>;</w:t>
      </w:r>
    </w:p>
    <w:p w:rsidR="00951E19" w:rsidRPr="00A15A46" w:rsidRDefault="00951E19" w:rsidP="00951E19">
      <w:pPr>
        <w:pStyle w:val="NormalNonumber"/>
        <w:numPr>
          <w:ilvl w:val="0"/>
          <w:numId w:val="0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872" w:firstLine="630"/>
        <w:rPr>
          <w:color w:val="000000"/>
        </w:rPr>
      </w:pPr>
      <w:r w:rsidRPr="00A15A46">
        <w:rPr>
          <w:color w:val="000000"/>
        </w:rPr>
        <w:t>4.</w:t>
      </w:r>
      <w:r>
        <w:rPr>
          <w:color w:val="000000"/>
        </w:rPr>
        <w:tab/>
      </w:r>
      <w:r w:rsidRPr="00A15A46">
        <w:rPr>
          <w:color w:val="000000"/>
        </w:rPr>
        <w:t xml:space="preserve"> </w:t>
      </w:r>
      <w:r w:rsidRPr="00A15A46">
        <w:rPr>
          <w:i/>
          <w:color w:val="000000"/>
        </w:rPr>
        <w:t>Requests</w:t>
      </w:r>
      <w:r w:rsidRPr="00A15A46">
        <w:rPr>
          <w:color w:val="000000"/>
        </w:rPr>
        <w:t xml:space="preserve"> the Secretariat to publish the comments received </w:t>
      </w:r>
      <w:r>
        <w:rPr>
          <w:color w:val="000000"/>
        </w:rPr>
        <w:t>pursuant</w:t>
      </w:r>
      <w:r w:rsidRPr="00A15A46">
        <w:rPr>
          <w:color w:val="000000"/>
        </w:rPr>
        <w:t xml:space="preserve"> to paragraph 3 </w:t>
      </w:r>
      <w:r>
        <w:rPr>
          <w:color w:val="000000"/>
        </w:rPr>
        <w:t xml:space="preserve">above </w:t>
      </w:r>
      <w:r w:rsidRPr="00A15A46">
        <w:rPr>
          <w:color w:val="000000"/>
        </w:rPr>
        <w:t>on the website of the Basel Convention;</w:t>
      </w:r>
    </w:p>
    <w:p w:rsidR="00951E19" w:rsidRPr="00A15A46" w:rsidRDefault="00951E19" w:rsidP="00951E19">
      <w:pPr>
        <w:tabs>
          <w:tab w:val="left" w:pos="624"/>
        </w:tabs>
        <w:spacing w:after="120"/>
        <w:ind w:left="1872" w:firstLine="630"/>
        <w:rPr>
          <w:color w:val="000000"/>
        </w:rPr>
      </w:pPr>
      <w:r w:rsidRPr="00A15A46">
        <w:rPr>
          <w:szCs w:val="18"/>
          <w:lang w:val="en-US"/>
        </w:rPr>
        <w:t xml:space="preserve">5. </w:t>
      </w:r>
      <w:r>
        <w:rPr>
          <w:szCs w:val="18"/>
          <w:lang w:val="en-US"/>
        </w:rPr>
        <w:tab/>
      </w:r>
      <w:r w:rsidRPr="00A15A46">
        <w:rPr>
          <w:i/>
          <w:szCs w:val="18"/>
          <w:lang w:val="en-US"/>
        </w:rPr>
        <w:t>Requests</w:t>
      </w:r>
      <w:r w:rsidRPr="00A15A46">
        <w:rPr>
          <w:szCs w:val="18"/>
          <w:lang w:val="en-US"/>
        </w:rPr>
        <w:t xml:space="preserve"> the Secretariat, in collaboration with the small </w:t>
      </w:r>
      <w:proofErr w:type="spellStart"/>
      <w:r w:rsidRPr="00A15A46">
        <w:rPr>
          <w:szCs w:val="18"/>
          <w:lang w:val="en-US"/>
        </w:rPr>
        <w:t>intersessional</w:t>
      </w:r>
      <w:proofErr w:type="spellEnd"/>
      <w:r w:rsidRPr="00A15A46">
        <w:rPr>
          <w:szCs w:val="18"/>
          <w:lang w:val="en-US"/>
        </w:rPr>
        <w:t xml:space="preserve"> working group </w:t>
      </w:r>
      <w:r w:rsidRPr="00A15A46">
        <w:rPr>
          <w:color w:val="000000"/>
        </w:rPr>
        <w:t>established in accordance with decision BC-10/5, to prepare revised guidelines, taking into account the comments received according to paragraph 3</w:t>
      </w:r>
      <w:r>
        <w:rPr>
          <w:color w:val="000000"/>
        </w:rPr>
        <w:t xml:space="preserve"> above</w:t>
      </w:r>
      <w:r w:rsidRPr="00A15A46">
        <w:rPr>
          <w:color w:val="000000"/>
        </w:rPr>
        <w:t xml:space="preserve">, for consideration </w:t>
      </w:r>
      <w:r>
        <w:rPr>
          <w:color w:val="000000"/>
        </w:rPr>
        <w:t xml:space="preserve">by the Open-ended Working Group </w:t>
      </w:r>
      <w:r w:rsidRPr="00A15A46">
        <w:rPr>
          <w:color w:val="000000"/>
        </w:rPr>
        <w:t xml:space="preserve">at </w:t>
      </w:r>
      <w:r>
        <w:rPr>
          <w:color w:val="000000"/>
        </w:rPr>
        <w:t>its tenth meeting</w:t>
      </w:r>
      <w:r w:rsidRPr="00A15A46">
        <w:rPr>
          <w:color w:val="000000"/>
        </w:rPr>
        <w:t>;</w:t>
      </w:r>
    </w:p>
    <w:p w:rsidR="00951E19" w:rsidRPr="00A15A46" w:rsidRDefault="00951E19" w:rsidP="00951E19">
      <w:pPr>
        <w:pStyle w:val="NormalNonumber"/>
        <w:numPr>
          <w:ilvl w:val="0"/>
          <w:numId w:val="0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872" w:firstLine="630"/>
        <w:rPr>
          <w:szCs w:val="18"/>
          <w:lang w:val="en-US"/>
        </w:rPr>
      </w:pPr>
      <w:r w:rsidRPr="00A15A46">
        <w:rPr>
          <w:color w:val="000000"/>
        </w:rPr>
        <w:t xml:space="preserve">6. </w:t>
      </w:r>
      <w:r>
        <w:rPr>
          <w:color w:val="000000"/>
        </w:rPr>
        <w:tab/>
      </w:r>
      <w:r w:rsidRPr="00A15A46">
        <w:rPr>
          <w:i/>
          <w:color w:val="000000"/>
        </w:rPr>
        <w:t>Encourages</w:t>
      </w:r>
      <w:r w:rsidRPr="00A15A46">
        <w:rPr>
          <w:color w:val="000000"/>
        </w:rPr>
        <w:t xml:space="preserve"> parties to inform the </w:t>
      </w:r>
      <w:r>
        <w:rPr>
          <w:color w:val="000000"/>
        </w:rPr>
        <w:t>S</w:t>
      </w:r>
      <w:r w:rsidRPr="00A15A46">
        <w:rPr>
          <w:color w:val="000000"/>
        </w:rPr>
        <w:t>ecretariat about any conditions</w:t>
      </w:r>
      <w:r>
        <w:rPr>
          <w:color w:val="000000"/>
        </w:rPr>
        <w:t xml:space="preserve"> they apply</w:t>
      </w:r>
      <w:r w:rsidRPr="00A15A46">
        <w:rPr>
          <w:color w:val="000000"/>
        </w:rPr>
        <w:t xml:space="preserve"> in relation to used equipment that should normally not be considered waste (paragraph … in doc </w:t>
      </w:r>
      <w:r w:rsidRPr="00A15A46">
        <w:rPr>
          <w:szCs w:val="18"/>
          <w:lang w:val="en-US"/>
        </w:rPr>
        <w:t xml:space="preserve">UNEP/CHW.12…) and requests the </w:t>
      </w:r>
      <w:r>
        <w:rPr>
          <w:szCs w:val="18"/>
          <w:lang w:val="en-US"/>
        </w:rPr>
        <w:t>S</w:t>
      </w:r>
      <w:r w:rsidRPr="00A15A46">
        <w:rPr>
          <w:szCs w:val="18"/>
          <w:lang w:val="en-US"/>
        </w:rPr>
        <w:t>ecretariat to publis</w:t>
      </w:r>
      <w:r w:rsidRPr="005D5C00">
        <w:rPr>
          <w:szCs w:val="18"/>
          <w:lang w:val="en-US"/>
        </w:rPr>
        <w:t>h them</w:t>
      </w:r>
      <w:r w:rsidRPr="004678A5">
        <w:rPr>
          <w:szCs w:val="18"/>
          <w:lang w:val="en-US"/>
        </w:rPr>
        <w:t xml:space="preserve"> </w:t>
      </w:r>
      <w:r w:rsidRPr="00A15A46">
        <w:rPr>
          <w:szCs w:val="18"/>
          <w:lang w:val="en-US"/>
        </w:rPr>
        <w:t>on the Basel Conventions website.]</w:t>
      </w:r>
      <w:r>
        <w:rPr>
          <w:rStyle w:val="FootnoteReference"/>
          <w:lang w:val="en-US"/>
        </w:rPr>
        <w:footnoteReference w:id="4"/>
      </w:r>
    </w:p>
    <w:p w:rsidR="000B25F8" w:rsidRPr="00951E19" w:rsidRDefault="000B25F8" w:rsidP="00951E19"/>
    <w:sectPr w:rsidR="000B25F8" w:rsidRPr="00951E19" w:rsidSect="0035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5F8" w:rsidRDefault="000B25F8" w:rsidP="000B25F8">
      <w:r>
        <w:separator/>
      </w:r>
    </w:p>
  </w:endnote>
  <w:endnote w:type="continuationSeparator" w:id="0">
    <w:p w:rsidR="000B25F8" w:rsidRDefault="000B25F8" w:rsidP="000B2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5F8" w:rsidRDefault="000B25F8" w:rsidP="000B25F8">
      <w:r>
        <w:separator/>
      </w:r>
    </w:p>
  </w:footnote>
  <w:footnote w:type="continuationSeparator" w:id="0">
    <w:p w:rsidR="000B25F8" w:rsidRDefault="000B25F8" w:rsidP="000B25F8">
      <w:r>
        <w:continuationSeparator/>
      </w:r>
    </w:p>
  </w:footnote>
  <w:footnote w:id="1">
    <w:p w:rsidR="00951E19" w:rsidRPr="004124C3" w:rsidRDefault="00951E19" w:rsidP="00951E19">
      <w:pPr>
        <w:pStyle w:val="FootnoteText"/>
        <w:rPr>
          <w:b/>
          <w:szCs w:val="18"/>
          <w:lang w:val="en-US"/>
        </w:rPr>
      </w:pPr>
      <w:r w:rsidRPr="004124C3">
        <w:rPr>
          <w:rStyle w:val="FootnoteReference"/>
        </w:rPr>
        <w:footnoteRef/>
      </w:r>
      <w:r w:rsidRPr="004124C3">
        <w:rPr>
          <w:szCs w:val="18"/>
          <w:lang w:val="en-US"/>
        </w:rPr>
        <w:t xml:space="preserve"> </w:t>
      </w:r>
      <w:r w:rsidRPr="004124C3">
        <w:rPr>
          <w:color w:val="000000"/>
          <w:szCs w:val="18"/>
          <w:lang w:val="en-US"/>
        </w:rPr>
        <w:t>UNEP/CHW/OEWG.9/</w:t>
      </w:r>
      <w:r w:rsidRPr="004124C3">
        <w:rPr>
          <w:color w:val="000000"/>
          <w:szCs w:val="18"/>
        </w:rPr>
        <w:t>INF/6.</w:t>
      </w:r>
    </w:p>
  </w:footnote>
  <w:footnote w:id="2">
    <w:p w:rsidR="00951E19" w:rsidRPr="004124C3" w:rsidRDefault="00951E19" w:rsidP="00951E19">
      <w:pPr>
        <w:pStyle w:val="FootnoteText"/>
        <w:rPr>
          <w:szCs w:val="18"/>
          <w:lang w:val="en-US"/>
        </w:rPr>
      </w:pPr>
      <w:r w:rsidRPr="004124C3">
        <w:rPr>
          <w:rStyle w:val="FootnoteReference"/>
        </w:rPr>
        <w:footnoteRef/>
      </w:r>
      <w:r w:rsidRPr="004124C3">
        <w:rPr>
          <w:szCs w:val="18"/>
          <w:lang w:val="en-US"/>
        </w:rPr>
        <w:t xml:space="preserve"> UNEP/CHW/OEWG.9/INF/6/Rev.1.</w:t>
      </w:r>
    </w:p>
  </w:footnote>
  <w:footnote w:id="3">
    <w:p w:rsidR="00951E19" w:rsidRPr="004124C3" w:rsidRDefault="00951E19" w:rsidP="00951E19">
      <w:pPr>
        <w:pStyle w:val="FootnoteText"/>
        <w:rPr>
          <w:szCs w:val="18"/>
        </w:rPr>
      </w:pPr>
      <w:r w:rsidRPr="004124C3">
        <w:rPr>
          <w:rStyle w:val="FootnoteReference"/>
        </w:rPr>
        <w:footnoteRef/>
      </w:r>
      <w:r w:rsidRPr="004124C3">
        <w:rPr>
          <w:szCs w:val="18"/>
        </w:rPr>
        <w:t xml:space="preserve"> UNEP/CHW.12</w:t>
      </w:r>
      <w:proofErr w:type="gramStart"/>
      <w:r w:rsidRPr="004124C3">
        <w:rPr>
          <w:szCs w:val="18"/>
        </w:rPr>
        <w:t>/[</w:t>
      </w:r>
      <w:proofErr w:type="gramEnd"/>
      <w:r w:rsidRPr="004124C3">
        <w:rPr>
          <w:szCs w:val="18"/>
        </w:rPr>
        <w:t xml:space="preserve">    ].</w:t>
      </w:r>
    </w:p>
  </w:footnote>
  <w:footnote w:id="4">
    <w:p w:rsidR="00951E19" w:rsidRPr="004124C3" w:rsidRDefault="00951E19" w:rsidP="00951E19">
      <w:pPr>
        <w:pStyle w:val="FootnoteText"/>
        <w:rPr>
          <w:szCs w:val="18"/>
          <w:lang w:val="en-US"/>
        </w:rPr>
      </w:pPr>
      <w:r w:rsidRPr="004124C3">
        <w:rPr>
          <w:rStyle w:val="FootnoteReference"/>
        </w:rPr>
        <w:footnoteRef/>
      </w:r>
      <w:r w:rsidRPr="004124C3">
        <w:rPr>
          <w:szCs w:val="18"/>
        </w:rPr>
        <w:t xml:space="preserve"> Paragraph 2–6 are linked to the interim solution referred to in paragraph 2 of decision OEWG-9/5.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56C3"/>
    <w:multiLevelType w:val="multilevel"/>
    <w:tmpl w:val="5B380A66"/>
    <w:lvl w:ilvl="0">
      <w:start w:val="1"/>
      <w:numFmt w:val="decimal"/>
      <w:lvlText w:val="%1."/>
      <w:lvlJc w:val="left"/>
      <w:pPr>
        <w:tabs>
          <w:tab w:val="num" w:pos="568"/>
        </w:tabs>
        <w:ind w:left="1248" w:firstLine="0"/>
      </w:pPr>
      <w:rPr>
        <w:rFonts w:hint="default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568"/>
        </w:tabs>
        <w:ind w:left="1248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8"/>
        </w:tabs>
        <w:ind w:left="2949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8"/>
        </w:tabs>
        <w:ind w:left="3516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9"/>
        </w:tabs>
        <w:ind w:left="65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9"/>
        </w:tabs>
        <w:ind w:left="72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9"/>
        </w:tabs>
        <w:ind w:left="79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9"/>
        </w:tabs>
        <w:ind w:left="87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9"/>
        </w:tabs>
        <w:ind w:left="9429" w:hanging="180"/>
      </w:pPr>
      <w:rPr>
        <w:rFonts w:hint="default"/>
      </w:rPr>
    </w:lvl>
  </w:abstractNum>
  <w:abstractNum w:abstractNumId="1">
    <w:nsid w:val="241442DA"/>
    <w:multiLevelType w:val="hybridMultilevel"/>
    <w:tmpl w:val="ACA00756"/>
    <w:lvl w:ilvl="0" w:tplc="0B02D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F3DD9"/>
    <w:multiLevelType w:val="multilevel"/>
    <w:tmpl w:val="5436101C"/>
    <w:lvl w:ilvl="0">
      <w:start w:val="1"/>
      <w:numFmt w:val="decimal"/>
      <w:lvlText w:val="%1."/>
      <w:lvlJc w:val="left"/>
      <w:pPr>
        <w:tabs>
          <w:tab w:val="num" w:pos="1191"/>
        </w:tabs>
        <w:ind w:left="1871" w:firstLine="0"/>
      </w:pPr>
      <w:rPr>
        <w:rFonts w:ascii="Times New Roman" w:eastAsia="Times New Roman" w:hAnsi="Times New Roman" w:cs="Times New Roman"/>
        <w:i w:val="0"/>
      </w:rPr>
    </w:lvl>
    <w:lvl w:ilvl="1">
      <w:start w:val="1"/>
      <w:numFmt w:val="lowerLetter"/>
      <w:lvlText w:val="(%2)"/>
      <w:lvlJc w:val="left"/>
      <w:pPr>
        <w:tabs>
          <w:tab w:val="num" w:pos="1191"/>
        </w:tabs>
        <w:ind w:left="1871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191"/>
        </w:tabs>
        <w:ind w:left="3572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191"/>
        </w:tabs>
        <w:ind w:left="413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172"/>
        </w:tabs>
        <w:ind w:left="71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892"/>
        </w:tabs>
        <w:ind w:left="78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612"/>
        </w:tabs>
        <w:ind w:left="86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32"/>
        </w:tabs>
        <w:ind w:left="93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052"/>
        </w:tabs>
        <w:ind w:left="10052" w:hanging="180"/>
      </w:pPr>
      <w:rPr>
        <w:rFonts w:hint="default"/>
      </w:rPr>
    </w:lvl>
  </w:abstractNum>
  <w:abstractNum w:abstractNumId="3">
    <w:nsid w:val="35E37C56"/>
    <w:multiLevelType w:val="hybridMultilevel"/>
    <w:tmpl w:val="6E1ED5F8"/>
    <w:lvl w:ilvl="0" w:tplc="C9900F68">
      <w:start w:val="1"/>
      <w:numFmt w:val="decimal"/>
      <w:pStyle w:val="NormalNonumber"/>
      <w:lvlText w:val="%1."/>
      <w:lvlJc w:val="left"/>
      <w:pPr>
        <w:ind w:left="1967" w:hanging="360"/>
      </w:pPr>
      <w:rPr>
        <w:rFonts w:ascii="Times New Roman" w:hAnsi="Times New Roman" w:hint="default"/>
        <w:sz w:val="20"/>
      </w:rPr>
    </w:lvl>
    <w:lvl w:ilvl="1" w:tplc="08090019">
      <w:start w:val="1"/>
      <w:numFmt w:val="lowerLetter"/>
      <w:lvlText w:val="%2."/>
      <w:lvlJc w:val="left"/>
      <w:pPr>
        <w:ind w:left="2687" w:hanging="360"/>
      </w:pPr>
    </w:lvl>
    <w:lvl w:ilvl="2" w:tplc="0809001B" w:tentative="1">
      <w:start w:val="1"/>
      <w:numFmt w:val="lowerRoman"/>
      <w:lvlText w:val="%3."/>
      <w:lvlJc w:val="right"/>
      <w:pPr>
        <w:ind w:left="3407" w:hanging="180"/>
      </w:pPr>
    </w:lvl>
    <w:lvl w:ilvl="3" w:tplc="0809000F" w:tentative="1">
      <w:start w:val="1"/>
      <w:numFmt w:val="decimal"/>
      <w:lvlText w:val="%4."/>
      <w:lvlJc w:val="left"/>
      <w:pPr>
        <w:ind w:left="4127" w:hanging="360"/>
      </w:pPr>
    </w:lvl>
    <w:lvl w:ilvl="4" w:tplc="08090019" w:tentative="1">
      <w:start w:val="1"/>
      <w:numFmt w:val="lowerLetter"/>
      <w:lvlText w:val="%5."/>
      <w:lvlJc w:val="left"/>
      <w:pPr>
        <w:ind w:left="4847" w:hanging="360"/>
      </w:pPr>
    </w:lvl>
    <w:lvl w:ilvl="5" w:tplc="0809001B" w:tentative="1">
      <w:start w:val="1"/>
      <w:numFmt w:val="lowerRoman"/>
      <w:lvlText w:val="%6."/>
      <w:lvlJc w:val="right"/>
      <w:pPr>
        <w:ind w:left="5567" w:hanging="180"/>
      </w:pPr>
    </w:lvl>
    <w:lvl w:ilvl="6" w:tplc="0809000F" w:tentative="1">
      <w:start w:val="1"/>
      <w:numFmt w:val="decimal"/>
      <w:lvlText w:val="%7."/>
      <w:lvlJc w:val="left"/>
      <w:pPr>
        <w:ind w:left="6287" w:hanging="360"/>
      </w:pPr>
    </w:lvl>
    <w:lvl w:ilvl="7" w:tplc="08090019" w:tentative="1">
      <w:start w:val="1"/>
      <w:numFmt w:val="lowerLetter"/>
      <w:lvlText w:val="%8."/>
      <w:lvlJc w:val="left"/>
      <w:pPr>
        <w:ind w:left="7007" w:hanging="360"/>
      </w:pPr>
    </w:lvl>
    <w:lvl w:ilvl="8" w:tplc="08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4">
    <w:nsid w:val="483A2339"/>
    <w:multiLevelType w:val="hybridMultilevel"/>
    <w:tmpl w:val="F1B662D0"/>
    <w:lvl w:ilvl="0" w:tplc="3102673C">
      <w:start w:val="1"/>
      <w:numFmt w:val="decimal"/>
      <w:lvlText w:val="%1."/>
      <w:lvlJc w:val="left"/>
      <w:pPr>
        <w:ind w:left="16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5">
    <w:nsid w:val="52A66A9D"/>
    <w:multiLevelType w:val="multilevel"/>
    <w:tmpl w:val="48241D10"/>
    <w:styleLink w:val="Normallist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6">
    <w:nsid w:val="56E007DC"/>
    <w:multiLevelType w:val="multilevel"/>
    <w:tmpl w:val="48241D10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1134"/>
          </w:tabs>
          <w:ind w:left="1247" w:firstLine="0"/>
        </w:pPr>
        <w:rPr>
          <w:rFonts w:hint="default"/>
          <w:i w:val="0"/>
        </w:rPr>
      </w:lvl>
    </w:lvlOverride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382D"/>
    <w:rsid w:val="000B25F8"/>
    <w:rsid w:val="0035083F"/>
    <w:rsid w:val="00430E46"/>
    <w:rsid w:val="00523046"/>
    <w:rsid w:val="006D5129"/>
    <w:rsid w:val="00827715"/>
    <w:rsid w:val="00951E19"/>
    <w:rsid w:val="009F6B9A"/>
    <w:rsid w:val="00A16B8F"/>
    <w:rsid w:val="00BF57B2"/>
    <w:rsid w:val="00E3382D"/>
    <w:rsid w:val="00FB5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82D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5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ool">
    <w:name w:val="Normal-pool"/>
    <w:link w:val="Normal-poolChar"/>
    <w:rsid w:val="00E3382D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NormalNonumber">
    <w:name w:val="Normal_No_number"/>
    <w:basedOn w:val="Normal-pool"/>
    <w:rsid w:val="00E3382D"/>
    <w:pPr>
      <w:numPr>
        <w:numId w:val="1"/>
      </w:numPr>
      <w:spacing w:after="120"/>
    </w:pPr>
  </w:style>
  <w:style w:type="character" w:customStyle="1" w:styleId="Normal-poolChar">
    <w:name w:val="Normal-pool Char"/>
    <w:link w:val="Normal-pool"/>
    <w:locked/>
    <w:rsid w:val="00E3382D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aliases w:val="16 Point,Superscript 6 Point,ftref,(Ref. de nota al pie),number,SUPERS,Footnote Reference Superscript,Ref,de nota al pie,註腳內容,de nota al pie + (Asian) MS Mincho,11 pt,Ref. de nota de rodapé1"/>
    <w:rsid w:val="000B25F8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DNV-FT,Geneva 9,Font: Geneva 9,Boston 10,f,footnote3,text,Geneva,92,Font:,Boston,10,FOOTNOTES,fn,single space,Footnote Text Rail EIS,ft,Footnotes,Footnote ak,fn cafc,Footnotes Char Char,Footnote Text Char Char,fn Char Char,footnote text"/>
    <w:basedOn w:val="Normal-pool"/>
    <w:link w:val="FootnoteTextChar"/>
    <w:rsid w:val="000B25F8"/>
    <w:pPr>
      <w:spacing w:before="20" w:after="40"/>
      <w:ind w:left="1247"/>
    </w:pPr>
    <w:rPr>
      <w:sz w:val="18"/>
    </w:rPr>
  </w:style>
  <w:style w:type="character" w:customStyle="1" w:styleId="FootnoteTextChar">
    <w:name w:val="Footnote Text Char"/>
    <w:aliases w:val="DNV-FT Char,Geneva 9 Char,Font: Geneva 9 Char,Boston 10 Char,f Char,footnote3 Char,text Char,Geneva Char,92 Char,Font: Char,Boston Char,10 Char,FOOTNOTES Char,fn Char,single space Char,Footnote Text Rail EIS Char,ft Char,fn cafc Char"/>
    <w:basedOn w:val="DefaultParagraphFont"/>
    <w:link w:val="FootnoteText"/>
    <w:rsid w:val="000B25F8"/>
    <w:rPr>
      <w:rFonts w:ascii="Times New Roman" w:eastAsia="Times New Roman" w:hAnsi="Times New Roman" w:cs="Times New Roman"/>
      <w:sz w:val="18"/>
      <w:szCs w:val="20"/>
      <w:lang w:val="en-GB"/>
    </w:rPr>
  </w:style>
  <w:style w:type="paragraph" w:customStyle="1" w:styleId="ZZAnxtitle">
    <w:name w:val="ZZ_Anx_title"/>
    <w:basedOn w:val="Normal-pool"/>
    <w:link w:val="ZZAnxtitleChar"/>
    <w:rsid w:val="000B25F8"/>
    <w:pPr>
      <w:spacing w:before="360" w:after="120"/>
      <w:ind w:left="1247"/>
    </w:pPr>
    <w:rPr>
      <w:b/>
      <w:bCs/>
      <w:sz w:val="28"/>
      <w:szCs w:val="26"/>
    </w:rPr>
  </w:style>
  <w:style w:type="character" w:customStyle="1" w:styleId="ZZAnxtitleChar">
    <w:name w:val="ZZ_Anx_title Char"/>
    <w:link w:val="ZZAnxtitle"/>
    <w:rsid w:val="000B25F8"/>
    <w:rPr>
      <w:rFonts w:ascii="Times New Roman" w:eastAsia="Times New Roman" w:hAnsi="Times New Roman" w:cs="Times New Roman"/>
      <w:b/>
      <w:bCs/>
      <w:sz w:val="28"/>
      <w:szCs w:val="26"/>
      <w:lang w:val="en-GB"/>
    </w:rPr>
  </w:style>
  <w:style w:type="paragraph" w:customStyle="1" w:styleId="Subtitle">
    <w:name w:val="Sub title"/>
    <w:basedOn w:val="Heading2"/>
    <w:rsid w:val="000B25F8"/>
    <w:pPr>
      <w:keepLines w:val="0"/>
      <w:tabs>
        <w:tab w:val="clear" w:pos="1247"/>
        <w:tab w:val="clear" w:pos="1814"/>
        <w:tab w:val="clear" w:pos="2381"/>
        <w:tab w:val="clear" w:pos="2948"/>
        <w:tab w:val="clear" w:pos="3515"/>
      </w:tabs>
      <w:spacing w:before="0"/>
      <w:ind w:left="1247"/>
    </w:pPr>
    <w:rPr>
      <w:rFonts w:ascii="Times New Roman" w:eastAsia="Times New Roman" w:hAnsi="Times New Roman" w:cs="Times New Roman"/>
      <w:bCs w:val="0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ormalnumberChar">
    <w:name w:val="Normal_number Char"/>
    <w:link w:val="Normalnumber"/>
    <w:rsid w:val="00A16B8F"/>
    <w:rPr>
      <w:lang w:val="en-GB"/>
    </w:rPr>
  </w:style>
  <w:style w:type="numbering" w:customStyle="1" w:styleId="Normallist">
    <w:name w:val="Normal_list"/>
    <w:basedOn w:val="NoList"/>
    <w:rsid w:val="00A16B8F"/>
    <w:pPr>
      <w:numPr>
        <w:numId w:val="5"/>
      </w:numPr>
    </w:pPr>
  </w:style>
  <w:style w:type="paragraph" w:customStyle="1" w:styleId="Normalnumber">
    <w:name w:val="Normal_number"/>
    <w:basedOn w:val="Normal-pool"/>
    <w:link w:val="NormalnumberChar"/>
    <w:rsid w:val="00A16B8F"/>
    <w:pPr>
      <w:spacing w:after="12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756</Words>
  <Characters>4216</Characters>
  <Application>Microsoft Office Word</Application>
  <DocSecurity>0</DocSecurity>
  <Lines>70</Lines>
  <Paragraphs>24</Paragraphs>
  <ScaleCrop>false</ScaleCrop>
  <Company>BRS</Company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cbottollier</dc:creator>
  <cp:lastModifiedBy>cbottollier</cp:lastModifiedBy>
  <cp:revision>2</cp:revision>
  <dcterms:created xsi:type="dcterms:W3CDTF">2015-09-04T14:20:00Z</dcterms:created>
  <dcterms:modified xsi:type="dcterms:W3CDTF">2015-09-04T14:20:00Z</dcterms:modified>
</cp:coreProperties>
</file>