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77C6" w:rsidRPr="00FD271D" w:rsidRDefault="000177C6" w:rsidP="000177C6">
      <w:pPr>
        <w:pStyle w:val="CH2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 w:rsidRPr="00FD271D">
        <w:rPr>
          <w:lang w:val="es-ES"/>
        </w:rPr>
        <w:t xml:space="preserve">POPRC-14/3: Evaluación del ácido </w:t>
      </w:r>
      <w:proofErr w:type="spellStart"/>
      <w:r w:rsidRPr="00FD271D">
        <w:rPr>
          <w:lang w:val="es-ES"/>
        </w:rPr>
        <w:t>perfluorooctano</w:t>
      </w:r>
      <w:proofErr w:type="spellEnd"/>
      <w:r w:rsidRPr="00FD271D">
        <w:rPr>
          <w:lang w:val="es-ES"/>
        </w:rPr>
        <w:t xml:space="preserve"> sulfónico (PFOS), sus sales y el fluoruro de </w:t>
      </w:r>
      <w:proofErr w:type="spellStart"/>
      <w:r w:rsidRPr="00FD271D">
        <w:rPr>
          <w:lang w:val="es-ES"/>
        </w:rPr>
        <w:t>perfluorooctano</w:t>
      </w:r>
      <w:proofErr w:type="spellEnd"/>
      <w:r w:rsidRPr="00FD271D">
        <w:rPr>
          <w:lang w:val="es-ES"/>
        </w:rPr>
        <w:t xml:space="preserve"> </w:t>
      </w:r>
      <w:proofErr w:type="spellStart"/>
      <w:r w:rsidRPr="00FD271D">
        <w:rPr>
          <w:lang w:val="es-ES"/>
        </w:rPr>
        <w:t>sulfonilo</w:t>
      </w:r>
      <w:proofErr w:type="spellEnd"/>
      <w:r w:rsidRPr="00FD271D">
        <w:rPr>
          <w:lang w:val="es-ES"/>
        </w:rPr>
        <w:t xml:space="preserve"> (PFOSF) con arreglo a los párrafos 5 y 6 de la parte III del anexo B del Convenio de Estocolmo</w:t>
      </w:r>
    </w:p>
    <w:p w:rsidR="000177C6" w:rsidRPr="00FD271D" w:rsidRDefault="000177C6" w:rsidP="000177C6">
      <w:pPr>
        <w:pStyle w:val="Normal-pool"/>
        <w:spacing w:before="120" w:after="120"/>
        <w:ind w:left="1247" w:firstLine="624"/>
        <w:rPr>
          <w:b/>
          <w:bCs/>
          <w:i/>
          <w:lang w:val="es-ES"/>
        </w:rPr>
      </w:pPr>
      <w:r w:rsidRPr="00FD271D">
        <w:rPr>
          <w:i/>
          <w:iCs/>
          <w:lang w:val="es-ES"/>
        </w:rPr>
        <w:t>El Comité de Examen de los Contaminantes Orgánicos Persistentes,</w:t>
      </w:r>
    </w:p>
    <w:p w:rsidR="000177C6" w:rsidRPr="00FD271D" w:rsidRDefault="000177C6" w:rsidP="000177C6">
      <w:pPr>
        <w:pStyle w:val="NormalNonumber"/>
        <w:ind w:firstLine="624"/>
        <w:rPr>
          <w:rFonts w:asciiTheme="majorBidi" w:hAnsiTheme="majorBidi" w:cstheme="majorBidi"/>
          <w:lang w:val="es-ES"/>
        </w:rPr>
      </w:pPr>
      <w:r w:rsidRPr="00FD271D">
        <w:rPr>
          <w:i/>
          <w:iCs/>
          <w:lang w:val="es-ES"/>
        </w:rPr>
        <w:t xml:space="preserve">Recordando </w:t>
      </w:r>
      <w:r w:rsidRPr="00FD271D">
        <w:rPr>
          <w:lang w:val="es-ES"/>
        </w:rPr>
        <w:t xml:space="preserve">la decisión SC-6/4, en la que la Conferencia de las Partes aprobó un proceso, que figura en el anexo de esa decisión, para la evaluación del ácido </w:t>
      </w:r>
      <w:proofErr w:type="spellStart"/>
      <w:r w:rsidRPr="00FD271D">
        <w:rPr>
          <w:lang w:val="es-ES"/>
        </w:rPr>
        <w:t>perfluorooctano</w:t>
      </w:r>
      <w:proofErr w:type="spellEnd"/>
      <w:r w:rsidRPr="00FD271D">
        <w:rPr>
          <w:lang w:val="es-ES"/>
        </w:rPr>
        <w:t xml:space="preserve"> sulfónico (PFOS), sus sales y el fluoruro de </w:t>
      </w:r>
      <w:proofErr w:type="spellStart"/>
      <w:r w:rsidRPr="00FD271D">
        <w:rPr>
          <w:lang w:val="es-ES"/>
        </w:rPr>
        <w:t>perfluorooctano</w:t>
      </w:r>
      <w:proofErr w:type="spellEnd"/>
      <w:r w:rsidRPr="00FD271D">
        <w:rPr>
          <w:lang w:val="es-ES"/>
        </w:rPr>
        <w:t xml:space="preserve"> </w:t>
      </w:r>
      <w:proofErr w:type="spellStart"/>
      <w:r w:rsidRPr="00FD271D">
        <w:rPr>
          <w:lang w:val="es-ES"/>
        </w:rPr>
        <w:t>sulfonilo</w:t>
      </w:r>
      <w:proofErr w:type="spellEnd"/>
      <w:r w:rsidRPr="00FD271D">
        <w:rPr>
          <w:lang w:val="es-ES"/>
        </w:rPr>
        <w:t xml:space="preserve"> (PFOSF) con arreglo a los párrafos 5 y 6 de la parte III del anexo B del Convenio de Estocolmo,</w:t>
      </w:r>
    </w:p>
    <w:p w:rsidR="000177C6" w:rsidRPr="00FD271D" w:rsidRDefault="000177C6" w:rsidP="000177C6">
      <w:pPr>
        <w:pStyle w:val="NormalNonumber"/>
        <w:ind w:firstLine="624"/>
        <w:rPr>
          <w:rFonts w:asciiTheme="majorBidi" w:hAnsiTheme="majorBidi" w:cstheme="majorBidi"/>
          <w:iCs/>
          <w:lang w:val="es-ES"/>
        </w:rPr>
      </w:pPr>
      <w:r w:rsidRPr="00FD271D">
        <w:rPr>
          <w:i/>
          <w:iCs/>
          <w:lang w:val="es-ES"/>
        </w:rPr>
        <w:t xml:space="preserve">Habiendo concluido </w:t>
      </w:r>
      <w:r w:rsidRPr="00FD271D">
        <w:rPr>
          <w:lang w:val="es-ES"/>
        </w:rPr>
        <w:t>la segunda evaluación de alternativas al PFOS, sus sales y el PFOSF de conformidad con lo dispuesto en el párrafo 3 de la decisión SC-6/4</w:t>
      </w:r>
      <w:r w:rsidRPr="00FD271D">
        <w:rPr>
          <w:rStyle w:val="FootnoteReference"/>
          <w:rFonts w:eastAsiaTheme="majorEastAsia" w:cstheme="majorBidi"/>
          <w:lang w:val="es-ES"/>
        </w:rPr>
        <w:footnoteReference w:id="1"/>
      </w:r>
      <w:r w:rsidRPr="00FD271D">
        <w:rPr>
          <w:lang w:val="es-ES"/>
        </w:rPr>
        <w:t>, y habiendo examinado el proyecto de informe de la Secretaría sobre la evaluación de la información sobre el PFOS, sus sales y</w:t>
      </w:r>
      <w:r>
        <w:rPr>
          <w:lang w:val="es-ES"/>
        </w:rPr>
        <w:t> </w:t>
      </w:r>
      <w:r w:rsidRPr="00FD271D">
        <w:rPr>
          <w:lang w:val="es-ES"/>
        </w:rPr>
        <w:t>el PFOSF</w:t>
      </w:r>
      <w:r w:rsidRPr="00FD271D">
        <w:rPr>
          <w:rFonts w:asciiTheme="majorBidi" w:hAnsiTheme="majorBidi" w:cstheme="majorBidi"/>
          <w:szCs w:val="18"/>
          <w:vertAlign w:val="superscript"/>
          <w:lang w:val="es-ES"/>
        </w:rPr>
        <w:footnoteReference w:id="2"/>
      </w:r>
      <w:r w:rsidRPr="00FD271D">
        <w:rPr>
          <w:lang w:val="es-ES"/>
        </w:rPr>
        <w:t xml:space="preserve"> de conformidad con el mandato de la evaluación</w:t>
      </w:r>
      <w:r w:rsidRPr="00FD271D">
        <w:rPr>
          <w:rStyle w:val="FootnoteReference"/>
          <w:rFonts w:asciiTheme="majorBidi" w:eastAsiaTheme="majorEastAsia" w:hAnsiTheme="majorBidi" w:cstheme="majorBidi"/>
          <w:lang w:val="es-ES"/>
        </w:rPr>
        <w:footnoteReference w:id="3"/>
      </w:r>
      <w:r w:rsidRPr="00FD271D">
        <w:rPr>
          <w:lang w:val="es-ES"/>
        </w:rPr>
        <w:t xml:space="preserve">, </w:t>
      </w:r>
    </w:p>
    <w:p w:rsidR="000177C6" w:rsidRPr="000177C6" w:rsidRDefault="000177C6" w:rsidP="000177C6">
      <w:pPr>
        <w:pStyle w:val="Normalnumber"/>
        <w:numPr>
          <w:ilvl w:val="0"/>
          <w:numId w:val="3"/>
        </w:numPr>
        <w:tabs>
          <w:tab w:val="left" w:pos="624"/>
          <w:tab w:val="left" w:pos="2430"/>
        </w:tabs>
        <w:ind w:left="1247" w:firstLine="624"/>
        <w:rPr>
          <w:rFonts w:ascii="Times New Roman" w:eastAsia="Times New Roman" w:hAnsi="Times New Roman" w:cs="Times New Roman"/>
          <w:sz w:val="20"/>
          <w:szCs w:val="20"/>
          <w:lang w:val="es-ES" w:eastAsia="en-US"/>
        </w:rPr>
      </w:pPr>
      <w:r w:rsidRPr="000177C6">
        <w:rPr>
          <w:rFonts w:ascii="Times New Roman" w:eastAsia="Times New Roman" w:hAnsi="Times New Roman" w:cs="Times New Roman"/>
          <w:sz w:val="20"/>
          <w:szCs w:val="20"/>
          <w:lang w:val="es-ES" w:eastAsia="en-US"/>
        </w:rPr>
        <w:t>Decide presentar el informe sobre la evaluación de alternativas al PFOS, sus sales y el PFOSF</w:t>
      </w:r>
      <w:r w:rsidRPr="000177C6">
        <w:rPr>
          <w:rFonts w:ascii="Times New Roman" w:eastAsia="Times New Roman" w:hAnsi="Times New Roman" w:cs="Times New Roman"/>
          <w:sz w:val="20"/>
          <w:szCs w:val="20"/>
          <w:lang w:val="es-ES" w:eastAsia="en-US"/>
        </w:rPr>
        <w:footnoteReference w:id="4"/>
      </w:r>
      <w:r w:rsidRPr="000177C6">
        <w:rPr>
          <w:rFonts w:ascii="Times New Roman" w:eastAsia="Times New Roman" w:hAnsi="Times New Roman" w:cs="Times New Roman"/>
          <w:sz w:val="20"/>
          <w:szCs w:val="20"/>
          <w:lang w:val="es-ES" w:eastAsia="en-US"/>
        </w:rPr>
        <w:t xml:space="preserve"> a la Conferencia de las Partes para que esta lo examine en su novena reunión;</w:t>
      </w:r>
    </w:p>
    <w:p w:rsidR="000177C6" w:rsidRPr="000177C6" w:rsidRDefault="000177C6" w:rsidP="000177C6">
      <w:pPr>
        <w:pStyle w:val="Normalnumber"/>
        <w:numPr>
          <w:ilvl w:val="0"/>
          <w:numId w:val="3"/>
        </w:numPr>
        <w:tabs>
          <w:tab w:val="left" w:pos="624"/>
          <w:tab w:val="left" w:pos="2430"/>
        </w:tabs>
        <w:ind w:left="1247" w:firstLine="624"/>
        <w:rPr>
          <w:rFonts w:ascii="Times New Roman" w:eastAsia="Times New Roman" w:hAnsi="Times New Roman" w:cs="Times New Roman"/>
          <w:sz w:val="20"/>
          <w:szCs w:val="20"/>
          <w:lang w:val="es-ES" w:eastAsia="en-US"/>
        </w:rPr>
      </w:pPr>
      <w:r w:rsidRPr="000177C6">
        <w:rPr>
          <w:rFonts w:ascii="Times New Roman" w:eastAsia="Times New Roman" w:hAnsi="Times New Roman" w:cs="Times New Roman"/>
          <w:sz w:val="20"/>
          <w:szCs w:val="20"/>
          <w:lang w:val="es-ES" w:eastAsia="en-US"/>
        </w:rPr>
        <w:t>Solicita a la Secretaría que ultime su informe acerca de la evaluación de la información sobre el PFOS, sus sales y el PFOSF</w:t>
      </w:r>
      <w:r w:rsidRPr="000177C6">
        <w:rPr>
          <w:rFonts w:ascii="Times New Roman" w:eastAsia="Times New Roman" w:hAnsi="Times New Roman" w:cs="Times New Roman"/>
          <w:sz w:val="20"/>
          <w:lang w:eastAsia="en-US"/>
        </w:rPr>
        <w:footnoteReference w:id="5"/>
      </w:r>
      <w:r w:rsidRPr="000177C6">
        <w:rPr>
          <w:rFonts w:ascii="Times New Roman" w:eastAsia="Times New Roman" w:hAnsi="Times New Roman" w:cs="Times New Roman"/>
          <w:sz w:val="20"/>
          <w:szCs w:val="20"/>
          <w:lang w:val="es-ES" w:eastAsia="en-US"/>
        </w:rPr>
        <w:t>, sobre la base de las observaciones y sugerencias formuladas por el Comité, teniendo en cu</w:t>
      </w:r>
      <w:bookmarkStart w:id="0" w:name="_GoBack"/>
      <w:bookmarkEnd w:id="0"/>
      <w:r w:rsidRPr="000177C6">
        <w:rPr>
          <w:rFonts w:ascii="Times New Roman" w:eastAsia="Times New Roman" w:hAnsi="Times New Roman" w:cs="Times New Roman"/>
          <w:sz w:val="20"/>
          <w:szCs w:val="20"/>
          <w:lang w:val="es-ES" w:eastAsia="en-US"/>
        </w:rPr>
        <w:t>enta los debates celebrados en la 14ª reunión del Comité y que lo presente a la Conferencia de las Partes para que esta lo examine en su novena reunión;</w:t>
      </w:r>
    </w:p>
    <w:p w:rsidR="000177C6" w:rsidRPr="000177C6" w:rsidRDefault="000177C6" w:rsidP="000177C6">
      <w:pPr>
        <w:pStyle w:val="Normalnumber"/>
        <w:numPr>
          <w:ilvl w:val="0"/>
          <w:numId w:val="3"/>
        </w:numPr>
        <w:tabs>
          <w:tab w:val="left" w:pos="624"/>
          <w:tab w:val="left" w:pos="2430"/>
        </w:tabs>
        <w:ind w:left="1247" w:firstLine="624"/>
        <w:rPr>
          <w:rFonts w:ascii="Times New Roman" w:eastAsia="Times New Roman" w:hAnsi="Times New Roman" w:cs="Times New Roman"/>
          <w:sz w:val="20"/>
          <w:szCs w:val="20"/>
          <w:lang w:val="es-ES" w:eastAsia="en-US"/>
        </w:rPr>
      </w:pPr>
      <w:r w:rsidRPr="000177C6">
        <w:rPr>
          <w:rFonts w:ascii="Times New Roman" w:eastAsia="Times New Roman" w:hAnsi="Times New Roman" w:cs="Times New Roman"/>
          <w:sz w:val="20"/>
          <w:szCs w:val="20"/>
          <w:lang w:val="es-ES" w:eastAsia="en-US"/>
        </w:rPr>
        <w:t>Recomienda que la Conferencia de las Partes considere la posibilidad de enmendar el anexo B del Convenio, teniendo en cuenta las recomendaciones que figuran en el anexo de la presente decisión;</w:t>
      </w:r>
    </w:p>
    <w:p w:rsidR="000177C6" w:rsidRPr="000177C6" w:rsidRDefault="000177C6" w:rsidP="000177C6">
      <w:pPr>
        <w:pStyle w:val="Normalnumber"/>
        <w:numPr>
          <w:ilvl w:val="0"/>
          <w:numId w:val="3"/>
        </w:numPr>
        <w:tabs>
          <w:tab w:val="left" w:pos="624"/>
          <w:tab w:val="left" w:pos="2430"/>
        </w:tabs>
        <w:ind w:left="1247" w:firstLine="624"/>
        <w:rPr>
          <w:rFonts w:ascii="Times New Roman" w:eastAsia="Times New Roman" w:hAnsi="Times New Roman" w:cs="Times New Roman"/>
          <w:sz w:val="20"/>
          <w:szCs w:val="20"/>
          <w:lang w:val="es-ES" w:eastAsia="en-US"/>
        </w:rPr>
      </w:pPr>
      <w:r w:rsidRPr="000177C6">
        <w:rPr>
          <w:rFonts w:ascii="Times New Roman" w:eastAsia="Times New Roman" w:hAnsi="Times New Roman" w:cs="Times New Roman"/>
          <w:sz w:val="20"/>
          <w:szCs w:val="20"/>
          <w:lang w:val="es-ES" w:eastAsia="en-US"/>
        </w:rPr>
        <w:t xml:space="preserve">Recomienda también que la Conferencia de las Partes aliente a las Partes que están utilizando la </w:t>
      </w:r>
      <w:proofErr w:type="spellStart"/>
      <w:r w:rsidRPr="000177C6">
        <w:rPr>
          <w:rFonts w:ascii="Times New Roman" w:eastAsia="Times New Roman" w:hAnsi="Times New Roman" w:cs="Times New Roman"/>
          <w:sz w:val="20"/>
          <w:szCs w:val="20"/>
          <w:lang w:val="es-ES" w:eastAsia="en-US"/>
        </w:rPr>
        <w:t>sulfluramida</w:t>
      </w:r>
      <w:proofErr w:type="spellEnd"/>
      <w:r w:rsidRPr="000177C6">
        <w:rPr>
          <w:rFonts w:ascii="Times New Roman" w:eastAsia="Times New Roman" w:hAnsi="Times New Roman" w:cs="Times New Roman"/>
          <w:sz w:val="20"/>
          <w:szCs w:val="20"/>
          <w:lang w:val="es-ES" w:eastAsia="en-US"/>
        </w:rPr>
        <w:t xml:space="preserve"> como cebo para el control de las hormigas cortadoras de hojas de Atta </w:t>
      </w:r>
      <w:proofErr w:type="spellStart"/>
      <w:r w:rsidRPr="000177C6">
        <w:rPr>
          <w:rFonts w:ascii="Times New Roman" w:eastAsia="Times New Roman" w:hAnsi="Times New Roman" w:cs="Times New Roman"/>
          <w:sz w:val="20"/>
          <w:szCs w:val="20"/>
          <w:lang w:val="es-ES" w:eastAsia="en-US"/>
        </w:rPr>
        <w:t>spp</w:t>
      </w:r>
      <w:proofErr w:type="spellEnd"/>
      <w:r w:rsidRPr="000177C6">
        <w:rPr>
          <w:rFonts w:ascii="Times New Roman" w:eastAsia="Times New Roman" w:hAnsi="Times New Roman" w:cs="Times New Roman"/>
          <w:sz w:val="20"/>
          <w:szCs w:val="20"/>
          <w:lang w:val="es-ES" w:eastAsia="en-US"/>
        </w:rPr>
        <w:t xml:space="preserve">. y </w:t>
      </w:r>
      <w:proofErr w:type="spellStart"/>
      <w:r w:rsidRPr="000177C6">
        <w:rPr>
          <w:rFonts w:ascii="Times New Roman" w:eastAsia="Times New Roman" w:hAnsi="Times New Roman" w:cs="Times New Roman"/>
          <w:sz w:val="20"/>
          <w:szCs w:val="20"/>
          <w:lang w:val="es-ES" w:eastAsia="en-US"/>
        </w:rPr>
        <w:t>Acromyrmex</w:t>
      </w:r>
      <w:proofErr w:type="spellEnd"/>
      <w:r w:rsidRPr="000177C6">
        <w:rPr>
          <w:rFonts w:ascii="Times New Roman" w:eastAsia="Times New Roman" w:hAnsi="Times New Roman" w:cs="Times New Roman"/>
          <w:sz w:val="20"/>
          <w:szCs w:val="20"/>
          <w:lang w:val="es-ES" w:eastAsia="en-US"/>
        </w:rPr>
        <w:t xml:space="preserve"> </w:t>
      </w:r>
      <w:proofErr w:type="spellStart"/>
      <w:r w:rsidRPr="000177C6">
        <w:rPr>
          <w:rFonts w:ascii="Times New Roman" w:eastAsia="Times New Roman" w:hAnsi="Times New Roman" w:cs="Times New Roman"/>
          <w:sz w:val="20"/>
          <w:szCs w:val="20"/>
          <w:lang w:val="es-ES" w:eastAsia="en-US"/>
        </w:rPr>
        <w:t>spp</w:t>
      </w:r>
      <w:proofErr w:type="spellEnd"/>
      <w:r w:rsidRPr="000177C6">
        <w:rPr>
          <w:rFonts w:ascii="Times New Roman" w:eastAsia="Times New Roman" w:hAnsi="Times New Roman" w:cs="Times New Roman"/>
          <w:sz w:val="20"/>
          <w:szCs w:val="20"/>
          <w:lang w:val="es-ES" w:eastAsia="en-US"/>
        </w:rPr>
        <w:t>. a que se inscriban para contar con una finalidad aceptable mediante notificación a la Secretaría de conformidad con lo dispuesto en el anexo B del Convenio.</w:t>
      </w:r>
    </w:p>
    <w:p w:rsidR="000177C6" w:rsidRPr="000177C6" w:rsidRDefault="000177C6" w:rsidP="000177C6">
      <w:pPr>
        <w:pStyle w:val="Normalnumber"/>
        <w:numPr>
          <w:ilvl w:val="0"/>
          <w:numId w:val="3"/>
        </w:numPr>
        <w:tabs>
          <w:tab w:val="left" w:pos="2430"/>
        </w:tabs>
        <w:ind w:left="1260" w:firstLine="630"/>
        <w:rPr>
          <w:rFonts w:ascii="Times New Roman" w:eastAsia="Times New Roman" w:hAnsi="Times New Roman" w:cs="Times New Roman"/>
          <w:sz w:val="20"/>
          <w:szCs w:val="20"/>
          <w:lang w:val="es-ES" w:eastAsia="en-US"/>
        </w:rPr>
      </w:pPr>
      <w:r w:rsidRPr="000177C6">
        <w:rPr>
          <w:rFonts w:ascii="Times New Roman" w:eastAsia="Times New Roman" w:hAnsi="Times New Roman" w:cs="Times New Roman"/>
          <w:sz w:val="20"/>
          <w:szCs w:val="20"/>
          <w:lang w:val="es-ES" w:eastAsia="en-US"/>
        </w:rPr>
        <w:t>Pide a la Secretaría que revise, antes del 31 de octubre de 2018, el informe sobre la evaluación de las alternativas al PFOS, sus sales y el PFOSF que se recoge en los respectivos anexos de los documentos UNEP/POPS/POPRC.14/INF/8 y UNEP/POPS/POPRC.14/INF/8/Add.1, teniendo en cuenta los debates mantenidos en la 14ª reunión;</w:t>
      </w:r>
    </w:p>
    <w:p w:rsidR="000177C6" w:rsidRPr="000177C6" w:rsidRDefault="000177C6" w:rsidP="000177C6">
      <w:pPr>
        <w:pStyle w:val="Normalnumber"/>
        <w:numPr>
          <w:ilvl w:val="0"/>
          <w:numId w:val="3"/>
        </w:numPr>
        <w:tabs>
          <w:tab w:val="left" w:pos="2430"/>
        </w:tabs>
        <w:ind w:left="1260" w:firstLine="630"/>
        <w:rPr>
          <w:rFonts w:ascii="Times New Roman" w:eastAsia="Times New Roman" w:hAnsi="Times New Roman" w:cs="Times New Roman"/>
          <w:sz w:val="20"/>
          <w:szCs w:val="20"/>
          <w:lang w:val="es-ES" w:eastAsia="en-US"/>
        </w:rPr>
      </w:pPr>
      <w:r w:rsidRPr="000177C6">
        <w:rPr>
          <w:rFonts w:ascii="Times New Roman" w:eastAsia="Times New Roman" w:hAnsi="Times New Roman" w:cs="Times New Roman"/>
          <w:sz w:val="20"/>
          <w:szCs w:val="20"/>
          <w:lang w:val="es-ES" w:eastAsia="en-US"/>
        </w:rPr>
        <w:t>Invita a las Partes y a los observadores a que presenten, a más tardar el 30 de noviembre de 2018, observaciones sobre el informe revisado;</w:t>
      </w:r>
    </w:p>
    <w:p w:rsidR="000177C6" w:rsidRPr="000177C6" w:rsidRDefault="000177C6" w:rsidP="000177C6">
      <w:pPr>
        <w:pStyle w:val="Normalnumber"/>
        <w:numPr>
          <w:ilvl w:val="0"/>
          <w:numId w:val="3"/>
        </w:numPr>
        <w:tabs>
          <w:tab w:val="left" w:pos="2430"/>
        </w:tabs>
        <w:ind w:left="1260" w:firstLine="630"/>
        <w:rPr>
          <w:rFonts w:ascii="Times New Roman" w:eastAsia="Times New Roman" w:hAnsi="Times New Roman" w:cs="Times New Roman"/>
          <w:sz w:val="20"/>
          <w:szCs w:val="20"/>
          <w:lang w:val="es-ES" w:eastAsia="en-US"/>
        </w:rPr>
      </w:pPr>
      <w:r w:rsidRPr="000177C6">
        <w:rPr>
          <w:rFonts w:ascii="Times New Roman" w:eastAsia="Times New Roman" w:hAnsi="Times New Roman" w:cs="Times New Roman"/>
          <w:sz w:val="20"/>
          <w:szCs w:val="20"/>
          <w:lang w:val="es-ES" w:eastAsia="en-US"/>
        </w:rPr>
        <w:t>Pide a la Secretaría que siga revisando el informe sobre la evaluación de las alternativas al PFOS, sus sales y el PFOSF, teniendo en cuenta las observaciones recibidas de conformidad con el párrafo 6 precedente, para su presentación a la novena reunión de la Conferencia de las Partes.</w:t>
      </w:r>
    </w:p>
    <w:p w:rsidR="000177C6" w:rsidRPr="00FD271D" w:rsidRDefault="000177C6" w:rsidP="000177C6">
      <w:pPr>
        <w:pStyle w:val="CH2"/>
        <w:snapToGrid w:val="0"/>
        <w:spacing w:before="320" w:after="240"/>
        <w:ind w:left="1253" w:right="288" w:hanging="1253"/>
        <w:rPr>
          <w:rFonts w:asciiTheme="majorBidi" w:hAnsiTheme="majorBidi" w:cstheme="majorBidi"/>
          <w:lang w:val="es-ES"/>
        </w:rPr>
      </w:pPr>
      <w:r w:rsidRPr="00FD271D">
        <w:rPr>
          <w:lang w:val="es-ES"/>
        </w:rPr>
        <w:lastRenderedPageBreak/>
        <w:tab/>
      </w:r>
      <w:r w:rsidRPr="00FD271D">
        <w:rPr>
          <w:lang w:val="es-ES"/>
        </w:rPr>
        <w:tab/>
        <w:t>Anexo de la decisión POPRC-14/3</w:t>
      </w:r>
    </w:p>
    <w:p w:rsidR="000177C6" w:rsidRPr="00FD271D" w:rsidRDefault="000177C6" w:rsidP="000177C6">
      <w:pPr>
        <w:pStyle w:val="CH2"/>
        <w:snapToGrid w:val="0"/>
        <w:spacing w:before="320" w:after="240"/>
        <w:ind w:left="1260" w:right="288" w:firstLine="0"/>
        <w:rPr>
          <w:rFonts w:asciiTheme="majorBidi" w:hAnsiTheme="majorBidi" w:cstheme="majorBidi"/>
          <w:i/>
          <w:lang w:val="es-ES"/>
        </w:rPr>
      </w:pPr>
      <w:r w:rsidRPr="00FD271D">
        <w:rPr>
          <w:lang w:val="es-ES"/>
        </w:rPr>
        <w:t xml:space="preserve">Recomendaciones sobre la necesidad de seguir utilizando el ácido </w:t>
      </w:r>
      <w:proofErr w:type="spellStart"/>
      <w:r w:rsidRPr="00FD271D">
        <w:rPr>
          <w:lang w:val="es-ES"/>
        </w:rPr>
        <w:t>perfluorooctano</w:t>
      </w:r>
      <w:proofErr w:type="spellEnd"/>
      <w:r w:rsidRPr="00FD271D">
        <w:rPr>
          <w:lang w:val="es-ES"/>
        </w:rPr>
        <w:t xml:space="preserve"> sulfónico (PFOS), sus sales y el fluoruro de </w:t>
      </w:r>
      <w:proofErr w:type="spellStart"/>
      <w:r w:rsidRPr="00FD271D">
        <w:rPr>
          <w:lang w:val="es-ES"/>
        </w:rPr>
        <w:t>perfluorooctano</w:t>
      </w:r>
      <w:proofErr w:type="spellEnd"/>
      <w:r w:rsidRPr="00FD271D">
        <w:rPr>
          <w:lang w:val="es-ES"/>
        </w:rPr>
        <w:t xml:space="preserve"> </w:t>
      </w:r>
      <w:proofErr w:type="spellStart"/>
      <w:r w:rsidRPr="00FD271D">
        <w:rPr>
          <w:lang w:val="es-ES"/>
        </w:rPr>
        <w:t>sulfonilo</w:t>
      </w:r>
      <w:proofErr w:type="spellEnd"/>
      <w:r w:rsidRPr="00FD271D">
        <w:rPr>
          <w:lang w:val="es-ES"/>
        </w:rPr>
        <w:t xml:space="preserve"> (PFOSF) para diversas finalidades aceptables y exenciones específicas</w:t>
      </w:r>
    </w:p>
    <w:p w:rsidR="000177C6" w:rsidRPr="00FD271D" w:rsidRDefault="000177C6" w:rsidP="000177C6">
      <w:pPr>
        <w:pStyle w:val="CH2"/>
        <w:rPr>
          <w:lang w:val="es-ES"/>
        </w:rPr>
      </w:pPr>
      <w:r w:rsidRPr="00FD271D">
        <w:rPr>
          <w:lang w:val="es-ES"/>
        </w:rPr>
        <w:tab/>
        <w:t>A.</w:t>
      </w:r>
      <w:r w:rsidRPr="00FD271D">
        <w:rPr>
          <w:lang w:val="es-ES"/>
        </w:rPr>
        <w:tab/>
        <w:t>Finalidades aceptables</w:t>
      </w:r>
    </w:p>
    <w:p w:rsidR="000177C6" w:rsidRPr="00FD271D" w:rsidRDefault="000177C6" w:rsidP="000177C6">
      <w:pPr>
        <w:pStyle w:val="CH3"/>
        <w:rPr>
          <w:lang w:val="es-ES"/>
        </w:rPr>
      </w:pPr>
      <w:r w:rsidRPr="00FD271D">
        <w:rPr>
          <w:lang w:val="es-ES"/>
        </w:rPr>
        <w:tab/>
        <w:t>a)</w:t>
      </w:r>
      <w:r w:rsidRPr="00FD271D">
        <w:rPr>
          <w:lang w:val="es-ES"/>
        </w:rPr>
        <w:tab/>
        <w:t>Creación de imágenes ópticas:</w:t>
      </w:r>
    </w:p>
    <w:p w:rsidR="000177C6" w:rsidRPr="00FD271D" w:rsidRDefault="000177C6" w:rsidP="000177C6">
      <w:pPr>
        <w:pStyle w:val="NormalNonumber"/>
        <w:ind w:firstLine="624"/>
        <w:rPr>
          <w:rFonts w:asciiTheme="majorBidi" w:hAnsiTheme="majorBidi" w:cstheme="majorBidi"/>
          <w:lang w:val="es-ES"/>
        </w:rPr>
      </w:pPr>
      <w:r w:rsidRPr="00FD271D">
        <w:rPr>
          <w:lang w:val="es-ES"/>
        </w:rPr>
        <w:t xml:space="preserve">Habida cuenta de la evaluación del uso de las alternativas al ácido </w:t>
      </w:r>
      <w:proofErr w:type="spellStart"/>
      <w:r w:rsidRPr="00FD271D">
        <w:rPr>
          <w:lang w:val="es-ES"/>
        </w:rPr>
        <w:t>perfluorooctano</w:t>
      </w:r>
      <w:proofErr w:type="spellEnd"/>
      <w:r w:rsidRPr="00FD271D">
        <w:rPr>
          <w:lang w:val="es-ES"/>
        </w:rPr>
        <w:t xml:space="preserve"> sulfónico (PFOS), sus sales y el fluoruro de </w:t>
      </w:r>
      <w:proofErr w:type="spellStart"/>
      <w:r w:rsidRPr="00FD271D">
        <w:rPr>
          <w:lang w:val="es-ES"/>
        </w:rPr>
        <w:t>perfluorooctano</w:t>
      </w:r>
      <w:proofErr w:type="spellEnd"/>
      <w:r w:rsidRPr="00FD271D">
        <w:rPr>
          <w:lang w:val="es-ES"/>
        </w:rPr>
        <w:t xml:space="preserve"> </w:t>
      </w:r>
      <w:proofErr w:type="spellStart"/>
      <w:r w:rsidRPr="00FD271D">
        <w:rPr>
          <w:lang w:val="es-ES"/>
        </w:rPr>
        <w:t>sulfonilo</w:t>
      </w:r>
      <w:proofErr w:type="spellEnd"/>
      <w:r w:rsidRPr="00FD271D">
        <w:rPr>
          <w:lang w:val="es-ES"/>
        </w:rPr>
        <w:t xml:space="preserve"> (PFOSF) para los recubrimientos fotográficos aplicados a películas, papel y placas de impresión, el Comité recomienda que la finalidad aceptable para el uso del PFOS, sus sales y el PFOSF para la creación de imágenes ópticas deje de estar disponible en el marco del Convenio.</w:t>
      </w:r>
    </w:p>
    <w:p w:rsidR="000177C6" w:rsidRPr="00FD271D" w:rsidRDefault="000177C6" w:rsidP="000177C6">
      <w:pPr>
        <w:pStyle w:val="CH3"/>
        <w:rPr>
          <w:lang w:val="es-ES"/>
        </w:rPr>
      </w:pPr>
      <w:r w:rsidRPr="00FD271D">
        <w:rPr>
          <w:lang w:val="es-ES"/>
        </w:rPr>
        <w:tab/>
        <w:t>b)</w:t>
      </w:r>
      <w:r w:rsidRPr="00FD271D">
        <w:rPr>
          <w:lang w:val="es-ES"/>
        </w:rPr>
        <w:tab/>
        <w:t xml:space="preserve">Revestimientos </w:t>
      </w:r>
      <w:proofErr w:type="spellStart"/>
      <w:r w:rsidRPr="00FD271D">
        <w:rPr>
          <w:lang w:val="es-ES"/>
        </w:rPr>
        <w:t>fotorresistentes</w:t>
      </w:r>
      <w:proofErr w:type="spellEnd"/>
      <w:r w:rsidRPr="00FD271D">
        <w:rPr>
          <w:lang w:val="es-ES"/>
        </w:rPr>
        <w:t xml:space="preserve"> y antirreflejantes para semiconductores; agente decapante para semiconductores compuestos y filtros de cerámica:</w:t>
      </w:r>
    </w:p>
    <w:p w:rsidR="000177C6" w:rsidRPr="00FD271D" w:rsidRDefault="000177C6" w:rsidP="000177C6">
      <w:pPr>
        <w:pStyle w:val="NormalNonumber"/>
        <w:ind w:firstLine="624"/>
        <w:rPr>
          <w:rFonts w:asciiTheme="majorBidi" w:hAnsiTheme="majorBidi" w:cstheme="majorBidi"/>
          <w:lang w:val="es-ES"/>
        </w:rPr>
      </w:pPr>
      <w:r w:rsidRPr="00FD271D">
        <w:rPr>
          <w:lang w:val="es-ES"/>
        </w:rPr>
        <w:t xml:space="preserve">Habida cuenta de la disminución constante del uso del PFOS, sus sales y el PFOSF para los semiconductores (revestimientos </w:t>
      </w:r>
      <w:proofErr w:type="spellStart"/>
      <w:r w:rsidRPr="00FD271D">
        <w:rPr>
          <w:lang w:val="es-ES"/>
        </w:rPr>
        <w:t>fotorresistentes</w:t>
      </w:r>
      <w:proofErr w:type="spellEnd"/>
      <w:r w:rsidRPr="00FD271D">
        <w:rPr>
          <w:lang w:val="es-ES"/>
        </w:rPr>
        <w:t xml:space="preserve"> y antirreflejantes para semiconductores; agente decapante para semiconductores compuestos y filtros de cerámica) y la disponibilidad comercial de alternativas, el Comité recomienda que la finalidad aceptable para el uso del PFOS, sus sales y el PFOSF para revestimientos </w:t>
      </w:r>
      <w:proofErr w:type="spellStart"/>
      <w:r w:rsidRPr="00FD271D">
        <w:rPr>
          <w:lang w:val="es-ES"/>
        </w:rPr>
        <w:t>fotorresistentes</w:t>
      </w:r>
      <w:proofErr w:type="spellEnd"/>
      <w:r w:rsidRPr="00FD271D">
        <w:rPr>
          <w:lang w:val="es-ES"/>
        </w:rPr>
        <w:t xml:space="preserve"> y antirreflejantes para semiconductores y como agente decapante para los semiconductores compuestos y filtros de cerámica deje de estar disponible en el marco del Convenio.</w:t>
      </w:r>
    </w:p>
    <w:p w:rsidR="000177C6" w:rsidRPr="00FD271D" w:rsidRDefault="000177C6" w:rsidP="000177C6">
      <w:pPr>
        <w:pStyle w:val="CH3"/>
        <w:rPr>
          <w:lang w:val="es-ES"/>
        </w:rPr>
      </w:pPr>
      <w:r w:rsidRPr="00FD271D">
        <w:rPr>
          <w:lang w:val="es-ES"/>
        </w:rPr>
        <w:tab/>
        <w:t>c)</w:t>
      </w:r>
      <w:r w:rsidRPr="00FD271D">
        <w:rPr>
          <w:lang w:val="es-ES"/>
        </w:rPr>
        <w:tab/>
        <w:t>Fluidos hidráulicos para la aviación:</w:t>
      </w:r>
    </w:p>
    <w:p w:rsidR="000177C6" w:rsidRPr="00FD271D" w:rsidRDefault="000177C6" w:rsidP="000177C6">
      <w:pPr>
        <w:pStyle w:val="NormalNonumber"/>
        <w:ind w:firstLine="624"/>
        <w:rPr>
          <w:rFonts w:asciiTheme="majorBidi" w:hAnsiTheme="majorBidi" w:cstheme="majorBidi"/>
          <w:lang w:val="es-ES"/>
        </w:rPr>
      </w:pPr>
      <w:r w:rsidRPr="00FD271D">
        <w:rPr>
          <w:lang w:val="es-ES"/>
        </w:rPr>
        <w:t>Habida cuenta de la evaluación y la disponibilidad de alternativas y la retirada de varias Partes del Registro de Finalidades Aceptables, el Comité recomienda que la finalidad aceptable para el uso del PFOS, sus sales y el PFOSF para fluidos hidráulicos para la aviación deje de estar disponible en el marco del Convenio.</w:t>
      </w:r>
    </w:p>
    <w:p w:rsidR="000177C6" w:rsidRPr="00FD271D" w:rsidRDefault="000177C6" w:rsidP="000177C6">
      <w:pPr>
        <w:pStyle w:val="CH3"/>
        <w:rPr>
          <w:rFonts w:asciiTheme="majorBidi" w:hAnsiTheme="majorBidi" w:cstheme="majorBidi"/>
          <w:b w:val="0"/>
          <w:bCs w:val="0"/>
          <w:lang w:val="es-ES"/>
        </w:rPr>
      </w:pPr>
      <w:r w:rsidRPr="00FD271D">
        <w:rPr>
          <w:lang w:val="es-ES"/>
        </w:rPr>
        <w:tab/>
        <w:t>d)</w:t>
      </w:r>
      <w:r w:rsidRPr="00FD271D">
        <w:rPr>
          <w:lang w:val="es-ES"/>
        </w:rPr>
        <w:tab/>
        <w:t>Recubrimiento metálico (recubrimiento metálico duro) únicamente en sistemas de lazo cerrado:</w:t>
      </w:r>
    </w:p>
    <w:p w:rsidR="000177C6" w:rsidRPr="00FD271D" w:rsidRDefault="000177C6" w:rsidP="000177C6">
      <w:pPr>
        <w:pStyle w:val="NormalNonumber"/>
        <w:ind w:firstLine="624"/>
        <w:rPr>
          <w:rFonts w:asciiTheme="majorBidi" w:hAnsiTheme="majorBidi" w:cstheme="majorBidi"/>
          <w:lang w:val="es-ES"/>
        </w:rPr>
      </w:pPr>
      <w:r w:rsidRPr="00FD271D">
        <w:rPr>
          <w:lang w:val="es-ES"/>
        </w:rPr>
        <w:t xml:space="preserve">Habida cuenta de la disponibilidad de alternativas </w:t>
      </w:r>
      <w:r>
        <w:rPr>
          <w:lang w:val="es-ES"/>
        </w:rPr>
        <w:t>al</w:t>
      </w:r>
      <w:r w:rsidRPr="00FD271D">
        <w:rPr>
          <w:lang w:val="es-ES"/>
        </w:rPr>
        <w:t xml:space="preserve"> PFOS, sus sales y el PFOSF para el recubrimiento metálico (recubrimiento metálico duro) y su evaluación, y del hecho de que algunas Partes han indicado que el uso del PFOS está disminuyendo o se ha eliminado completamente, mientras que otras han indicado que continúan necesitando utilizar el PFOS, el Comité recomienda que el uso del PFOS, sus sales y el PFOSF para el recubrimiento metálico (recubrimiento metálico duro) se modifique de manera que deje de constituir una finalidad aceptable y se convierta en una exención concreta.</w:t>
      </w:r>
    </w:p>
    <w:p w:rsidR="000177C6" w:rsidRPr="00FD271D" w:rsidRDefault="000177C6" w:rsidP="000177C6">
      <w:pPr>
        <w:pStyle w:val="CH3"/>
        <w:rPr>
          <w:rFonts w:asciiTheme="majorBidi" w:hAnsiTheme="majorBidi" w:cstheme="majorBidi"/>
          <w:b w:val="0"/>
          <w:bCs w:val="0"/>
          <w:lang w:val="es-ES"/>
        </w:rPr>
      </w:pPr>
      <w:r w:rsidRPr="00FD271D">
        <w:rPr>
          <w:lang w:val="es-ES"/>
        </w:rPr>
        <w:tab/>
        <w:t>e)</w:t>
      </w:r>
      <w:r w:rsidRPr="00FD271D">
        <w:rPr>
          <w:lang w:val="es-ES"/>
        </w:rPr>
        <w:tab/>
        <w:t>Determinados dispositivos médicos (como las capas de copolímeros de etileno-</w:t>
      </w:r>
      <w:proofErr w:type="spellStart"/>
      <w:r w:rsidRPr="00FD271D">
        <w:rPr>
          <w:lang w:val="es-ES"/>
        </w:rPr>
        <w:t>tetrafluoroetileno</w:t>
      </w:r>
      <w:proofErr w:type="spellEnd"/>
      <w:r w:rsidRPr="00FD271D">
        <w:rPr>
          <w:lang w:val="es-ES"/>
        </w:rPr>
        <w:t xml:space="preserve"> (ETFE) y la producción de ETFE </w:t>
      </w:r>
      <w:proofErr w:type="spellStart"/>
      <w:r w:rsidRPr="00FD271D">
        <w:rPr>
          <w:lang w:val="es-ES"/>
        </w:rPr>
        <w:t>radioopaco</w:t>
      </w:r>
      <w:proofErr w:type="spellEnd"/>
      <w:r w:rsidRPr="00FD271D">
        <w:rPr>
          <w:lang w:val="es-ES"/>
        </w:rPr>
        <w:t>, dispositivos médicos de diagnóstico in vitro y filtros de color CCD):</w:t>
      </w:r>
    </w:p>
    <w:p w:rsidR="000177C6" w:rsidRPr="00FD271D" w:rsidRDefault="000177C6" w:rsidP="000177C6">
      <w:pPr>
        <w:pStyle w:val="NormalNonumber"/>
        <w:ind w:firstLine="624"/>
        <w:rPr>
          <w:rFonts w:asciiTheme="majorBidi" w:hAnsiTheme="majorBidi" w:cstheme="majorBidi"/>
          <w:lang w:val="es-ES"/>
        </w:rPr>
      </w:pPr>
      <w:r w:rsidRPr="00FD271D">
        <w:rPr>
          <w:lang w:val="es-ES"/>
        </w:rPr>
        <w:t>Habida cuenta de su evaluación, el Comité llegó a la conclusión de que existen alternativas disponibles al uso del PFOS, sus sales y el PFOSF para determinados dispositivos médicos y, por lo tanto, recomienda que el uso de PFOS, sus sales y el PFOSF para determinados dispositivos médicos (como las capas de copolímeros de etileno-</w:t>
      </w:r>
      <w:proofErr w:type="spellStart"/>
      <w:r w:rsidRPr="00FD271D">
        <w:rPr>
          <w:lang w:val="es-ES"/>
        </w:rPr>
        <w:t>tetrafluoroetileno</w:t>
      </w:r>
      <w:proofErr w:type="spellEnd"/>
      <w:r w:rsidRPr="00FD271D">
        <w:rPr>
          <w:lang w:val="es-ES"/>
        </w:rPr>
        <w:t xml:space="preserve"> (ETFE) y la producción de ETFE </w:t>
      </w:r>
      <w:proofErr w:type="spellStart"/>
      <w:r w:rsidRPr="00FD271D">
        <w:rPr>
          <w:lang w:val="es-ES"/>
        </w:rPr>
        <w:t>radioopaco</w:t>
      </w:r>
      <w:proofErr w:type="spellEnd"/>
      <w:r w:rsidRPr="00FD271D">
        <w:rPr>
          <w:lang w:val="es-ES"/>
        </w:rPr>
        <w:t>, dispositivos médicos de diagnóstico in vitro y filtros de color CCD) deje de estar disponible en el marco del Convenio.</w:t>
      </w:r>
    </w:p>
    <w:p w:rsidR="000177C6" w:rsidRPr="00FD271D" w:rsidRDefault="000177C6" w:rsidP="000177C6">
      <w:pPr>
        <w:pStyle w:val="CH3"/>
        <w:rPr>
          <w:rFonts w:asciiTheme="majorBidi" w:hAnsiTheme="majorBidi" w:cstheme="majorBidi"/>
          <w:b w:val="0"/>
          <w:bCs w:val="0"/>
          <w:lang w:val="es-ES"/>
        </w:rPr>
      </w:pPr>
      <w:r w:rsidRPr="00FD271D">
        <w:rPr>
          <w:lang w:val="es-ES"/>
        </w:rPr>
        <w:lastRenderedPageBreak/>
        <w:tab/>
        <w:t>f)</w:t>
      </w:r>
      <w:r w:rsidRPr="00FD271D">
        <w:rPr>
          <w:lang w:val="es-ES"/>
        </w:rPr>
        <w:tab/>
        <w:t>Espumas ignífugas:</w:t>
      </w:r>
    </w:p>
    <w:p w:rsidR="000177C6" w:rsidRPr="00FD271D" w:rsidRDefault="000177C6" w:rsidP="000177C6">
      <w:pPr>
        <w:spacing w:after="120"/>
        <w:ind w:left="1253" w:firstLine="619"/>
        <w:rPr>
          <w:rFonts w:asciiTheme="majorBidi" w:hAnsiTheme="majorBidi" w:cstheme="majorBidi"/>
          <w:sz w:val="20"/>
          <w:szCs w:val="20"/>
          <w:lang w:val="es-ES"/>
        </w:rPr>
      </w:pPr>
      <w:r w:rsidRPr="00FD271D">
        <w:rPr>
          <w:sz w:val="20"/>
          <w:szCs w:val="20"/>
          <w:lang w:val="es-ES"/>
        </w:rPr>
        <w:t xml:space="preserve">La evaluación indicó que las alternativas a las espumas ignífugas basadas en el PFOS están disponibles en muchos países y se ha comprobado que son técnicamente factibles y </w:t>
      </w:r>
      <w:proofErr w:type="spellStart"/>
      <w:r w:rsidRPr="00FD271D">
        <w:rPr>
          <w:sz w:val="20"/>
          <w:szCs w:val="20"/>
          <w:lang w:val="es-ES"/>
        </w:rPr>
        <w:t>económicamentes</w:t>
      </w:r>
      <w:proofErr w:type="spellEnd"/>
      <w:r w:rsidRPr="00FD271D">
        <w:rPr>
          <w:sz w:val="20"/>
          <w:szCs w:val="20"/>
          <w:lang w:val="es-ES"/>
        </w:rPr>
        <w:t xml:space="preserve"> viables, pero que algunas tienen posibles efectos negativos sobre el medio ambiente y la salud. Sobre esa base, el Comité recomienda que se enmienden las finalidades aceptables para la producción y el uso del PFOS, sus sales y el PFOSF para espumas ignífugas, de forma que incluyan una exención específica para el uso de espumas ignífugas en la supresión de vapores de combustibles líquidos e incendios de combustibles líquidos (incendios de clase B) ya presentes en sistemas instalados, incluidos los sistemas tanto móviles como fijos, y en las mismas condiciones que se especifican en los párrafos 2 a) a </w:t>
      </w:r>
      <w:r>
        <w:rPr>
          <w:sz w:val="20"/>
          <w:szCs w:val="20"/>
          <w:lang w:val="es-ES"/>
        </w:rPr>
        <w:t>e</w:t>
      </w:r>
      <w:r w:rsidRPr="00FD271D">
        <w:rPr>
          <w:sz w:val="20"/>
          <w:szCs w:val="20"/>
          <w:lang w:val="es-ES"/>
        </w:rPr>
        <w:t xml:space="preserve">) del anexo de la decisión POPRC-14/2 sobre el ácido </w:t>
      </w:r>
      <w:proofErr w:type="spellStart"/>
      <w:r w:rsidRPr="00FD271D">
        <w:rPr>
          <w:sz w:val="20"/>
          <w:szCs w:val="20"/>
          <w:lang w:val="es-ES"/>
        </w:rPr>
        <w:t>perfluorooctanoico</w:t>
      </w:r>
      <w:proofErr w:type="spellEnd"/>
      <w:r w:rsidRPr="00FD271D">
        <w:rPr>
          <w:sz w:val="20"/>
          <w:szCs w:val="20"/>
          <w:lang w:val="es-ES"/>
        </w:rPr>
        <w:t xml:space="preserve"> (PFOA), sus sales y los compuestos conexos del PFOA;</w:t>
      </w:r>
    </w:p>
    <w:p w:rsidR="000177C6" w:rsidRPr="00FD271D" w:rsidRDefault="000177C6" w:rsidP="000177C6">
      <w:pPr>
        <w:spacing w:after="120"/>
        <w:ind w:left="1253" w:firstLine="619"/>
        <w:rPr>
          <w:rFonts w:asciiTheme="majorBidi" w:hAnsiTheme="majorBidi" w:cstheme="majorBidi"/>
          <w:sz w:val="20"/>
          <w:szCs w:val="20"/>
          <w:lang w:val="es-ES"/>
        </w:rPr>
      </w:pPr>
      <w:r w:rsidRPr="00FD271D">
        <w:rPr>
          <w:sz w:val="20"/>
          <w:szCs w:val="20"/>
          <w:lang w:val="es-ES"/>
        </w:rPr>
        <w:t xml:space="preserve">El Comité reconoció que la transición hacia el uso de sustancias </w:t>
      </w:r>
      <w:proofErr w:type="spellStart"/>
      <w:r w:rsidRPr="00FD271D">
        <w:rPr>
          <w:sz w:val="20"/>
          <w:szCs w:val="20"/>
          <w:lang w:val="es-ES"/>
        </w:rPr>
        <w:t>perfluoroalquilas</w:t>
      </w:r>
      <w:proofErr w:type="spellEnd"/>
      <w:r w:rsidRPr="00FD271D">
        <w:rPr>
          <w:sz w:val="20"/>
          <w:szCs w:val="20"/>
          <w:lang w:val="es-ES"/>
        </w:rPr>
        <w:t xml:space="preserve"> y </w:t>
      </w:r>
      <w:proofErr w:type="spellStart"/>
      <w:r w:rsidRPr="00FD271D">
        <w:rPr>
          <w:sz w:val="20"/>
          <w:szCs w:val="20"/>
          <w:lang w:val="es-ES"/>
        </w:rPr>
        <w:t>polifluoroalquilas</w:t>
      </w:r>
      <w:proofErr w:type="spellEnd"/>
      <w:r w:rsidRPr="00FD271D">
        <w:rPr>
          <w:sz w:val="20"/>
          <w:szCs w:val="20"/>
          <w:lang w:val="es-ES"/>
        </w:rPr>
        <w:t xml:space="preserve"> (PFAS) de cadena corta para usos dispersivos, como espumas ignífugas, no es una opción adecuada desde el punto de vista del medio ambiente y la salud humana, y que puede ser necesario cierto tiempo para una transición a alternativas sin PFAS.</w:t>
      </w:r>
    </w:p>
    <w:p w:rsidR="000177C6" w:rsidRPr="00FD271D" w:rsidRDefault="000177C6" w:rsidP="000177C6">
      <w:pPr>
        <w:pStyle w:val="CH3"/>
        <w:rPr>
          <w:rFonts w:asciiTheme="majorBidi" w:hAnsiTheme="majorBidi" w:cstheme="majorBidi"/>
          <w:b w:val="0"/>
          <w:bCs w:val="0"/>
          <w:lang w:val="es-ES"/>
        </w:rPr>
      </w:pPr>
      <w:r w:rsidRPr="00FD271D">
        <w:rPr>
          <w:lang w:val="es-ES"/>
        </w:rPr>
        <w:tab/>
        <w:t>g)</w:t>
      </w:r>
      <w:r w:rsidRPr="00FD271D">
        <w:rPr>
          <w:lang w:val="es-ES"/>
        </w:rPr>
        <w:tab/>
        <w:t xml:space="preserve">Cebos para el control de hormigas cortadoras de hojas de </w:t>
      </w:r>
      <w:r w:rsidRPr="00FD271D">
        <w:rPr>
          <w:i/>
          <w:iCs/>
          <w:lang w:val="es-ES"/>
        </w:rPr>
        <w:t xml:space="preserve">Atta </w:t>
      </w:r>
      <w:proofErr w:type="spellStart"/>
      <w:r w:rsidRPr="00626116">
        <w:rPr>
          <w:i/>
          <w:lang w:val="es-ES"/>
        </w:rPr>
        <w:t>spp</w:t>
      </w:r>
      <w:proofErr w:type="spellEnd"/>
      <w:r w:rsidRPr="00626116">
        <w:rPr>
          <w:i/>
          <w:lang w:val="es-ES"/>
        </w:rPr>
        <w:t>.</w:t>
      </w:r>
      <w:r w:rsidRPr="00FD271D">
        <w:rPr>
          <w:lang w:val="es-ES"/>
        </w:rPr>
        <w:t xml:space="preserve"> y </w:t>
      </w:r>
      <w:proofErr w:type="spellStart"/>
      <w:r w:rsidRPr="00FD271D">
        <w:rPr>
          <w:i/>
          <w:iCs/>
          <w:lang w:val="es-ES"/>
        </w:rPr>
        <w:t>Acromyrmex</w:t>
      </w:r>
      <w:proofErr w:type="spellEnd"/>
      <w:r w:rsidRPr="00FD271D">
        <w:rPr>
          <w:i/>
          <w:iCs/>
          <w:lang w:val="es-ES"/>
        </w:rPr>
        <w:t xml:space="preserve"> </w:t>
      </w:r>
      <w:proofErr w:type="spellStart"/>
      <w:r w:rsidRPr="00626116">
        <w:rPr>
          <w:i/>
          <w:lang w:val="es-ES"/>
        </w:rPr>
        <w:t>spp</w:t>
      </w:r>
      <w:proofErr w:type="spellEnd"/>
      <w:r w:rsidRPr="00FD271D">
        <w:rPr>
          <w:lang w:val="es-ES"/>
        </w:rPr>
        <w:t>.:</w:t>
      </w:r>
    </w:p>
    <w:p w:rsidR="000177C6" w:rsidRPr="00FD271D" w:rsidRDefault="000177C6" w:rsidP="000177C6">
      <w:pPr>
        <w:pStyle w:val="NormalNonumber"/>
        <w:ind w:firstLine="624"/>
        <w:rPr>
          <w:rFonts w:asciiTheme="majorBidi" w:hAnsiTheme="majorBidi" w:cstheme="majorBidi"/>
          <w:lang w:val="es-ES"/>
        </w:rPr>
      </w:pPr>
      <w:r w:rsidRPr="00FD271D">
        <w:rPr>
          <w:lang w:val="es-ES"/>
        </w:rPr>
        <w:t xml:space="preserve">La evaluación de la utilización de las alternativas al PFOS, sus sales y el PFOSF puso de relieve opiniones discrepantes sobre la necesidad de utilizar la </w:t>
      </w:r>
      <w:proofErr w:type="spellStart"/>
      <w:r w:rsidRPr="00FD271D">
        <w:rPr>
          <w:lang w:val="es-ES"/>
        </w:rPr>
        <w:t>sulfluramida</w:t>
      </w:r>
      <w:proofErr w:type="spellEnd"/>
      <w:r w:rsidRPr="00FD271D">
        <w:rPr>
          <w:lang w:val="es-ES"/>
        </w:rPr>
        <w:t xml:space="preserve"> para combatir las hormigas cortadoras de hojas</w:t>
      </w:r>
      <w:r>
        <w:rPr>
          <w:lang w:val="es-ES"/>
        </w:rPr>
        <w:t xml:space="preserve"> y</w:t>
      </w:r>
      <w:r w:rsidRPr="00FD271D">
        <w:rPr>
          <w:lang w:val="es-ES"/>
        </w:rPr>
        <w:t xml:space="preserve"> la disponibilidad de alternativas, </w:t>
      </w:r>
      <w:r>
        <w:rPr>
          <w:lang w:val="es-ES"/>
        </w:rPr>
        <w:t xml:space="preserve">así como sobre </w:t>
      </w:r>
      <w:r w:rsidRPr="00FD271D">
        <w:rPr>
          <w:lang w:val="es-ES"/>
        </w:rPr>
        <w:t xml:space="preserve">la viabilidad técnica y económica y la eficacia operacional de esas alternativas; </w:t>
      </w:r>
    </w:p>
    <w:p w:rsidR="000177C6" w:rsidRPr="00FD271D" w:rsidRDefault="000177C6" w:rsidP="000177C6">
      <w:pPr>
        <w:pStyle w:val="NormalNonumber"/>
        <w:ind w:firstLine="624"/>
        <w:rPr>
          <w:rFonts w:asciiTheme="majorBidi" w:hAnsiTheme="majorBidi" w:cstheme="majorBidi"/>
          <w:lang w:val="es-ES"/>
        </w:rPr>
      </w:pPr>
      <w:r w:rsidRPr="00FD271D">
        <w:rPr>
          <w:lang w:val="es-ES"/>
        </w:rPr>
        <w:t>El Comité debatió tanto la falta de claridad del texto del anexo B en el que se enumeran el</w:t>
      </w:r>
      <w:r>
        <w:rPr>
          <w:lang w:val="es-ES"/>
        </w:rPr>
        <w:t> </w:t>
      </w:r>
      <w:r w:rsidRPr="00FD271D">
        <w:rPr>
          <w:lang w:val="es-ES"/>
        </w:rPr>
        <w:t xml:space="preserve">PFOS, sus sales y el PFOSF (ya que la </w:t>
      </w:r>
      <w:proofErr w:type="spellStart"/>
      <w:r w:rsidRPr="00FD271D">
        <w:rPr>
          <w:lang w:val="es-ES"/>
        </w:rPr>
        <w:t>sulfluramida</w:t>
      </w:r>
      <w:proofErr w:type="spellEnd"/>
      <w:r w:rsidRPr="00FD271D">
        <w:rPr>
          <w:lang w:val="es-ES"/>
        </w:rPr>
        <w:t xml:space="preserve"> no se menciona explícitamente en la entrada del anexo correspondiente a los usos) como la actual utilización generalizada de la </w:t>
      </w:r>
      <w:proofErr w:type="spellStart"/>
      <w:r w:rsidRPr="00FD271D">
        <w:rPr>
          <w:lang w:val="es-ES"/>
        </w:rPr>
        <w:t>sulfluramida</w:t>
      </w:r>
      <w:proofErr w:type="spellEnd"/>
      <w:r w:rsidRPr="00FD271D">
        <w:rPr>
          <w:lang w:val="es-ES"/>
        </w:rPr>
        <w:t>. Sobre la base de ese debate, el Comité sugiere que se incluya “</w:t>
      </w:r>
      <w:proofErr w:type="spellStart"/>
      <w:r w:rsidRPr="00FD271D">
        <w:rPr>
          <w:lang w:val="es-ES"/>
        </w:rPr>
        <w:t>sulfluramida</w:t>
      </w:r>
      <w:proofErr w:type="spellEnd"/>
      <w:r w:rsidRPr="00FD271D">
        <w:rPr>
          <w:lang w:val="es-ES"/>
        </w:rPr>
        <w:t xml:space="preserve"> (núm. de CAS: 4151-50-2)” en la entrada correspondiente a la finalidad aceptable enumerada y se especifique que la finalidad aceptable actual tiene únicamente por objeto el uso agrícola.</w:t>
      </w:r>
    </w:p>
    <w:p w:rsidR="000177C6" w:rsidRPr="00FD271D" w:rsidRDefault="000177C6" w:rsidP="000177C6">
      <w:pPr>
        <w:pStyle w:val="NormalNonumber"/>
        <w:tabs>
          <w:tab w:val="clear" w:pos="1247"/>
          <w:tab w:val="clear" w:pos="1814"/>
          <w:tab w:val="clear" w:pos="2381"/>
          <w:tab w:val="clear" w:pos="2948"/>
          <w:tab w:val="clear" w:pos="3515"/>
          <w:tab w:val="clear" w:pos="4082"/>
          <w:tab w:val="left" w:pos="2430"/>
        </w:tabs>
        <w:ind w:firstLine="624"/>
        <w:rPr>
          <w:rFonts w:asciiTheme="majorBidi" w:hAnsiTheme="majorBidi" w:cstheme="majorBidi"/>
          <w:lang w:val="es-ES"/>
        </w:rPr>
      </w:pPr>
      <w:r w:rsidRPr="00FD271D">
        <w:rPr>
          <w:lang w:val="es-ES"/>
        </w:rPr>
        <w:t xml:space="preserve">Por consiguiente, el Comité recomienda que se mantenga la finalidad aceptable y que el texto de la entrada del anexo correspondiente a la utilización se aclare de la manera siguiente: “cebos para insectos con </w:t>
      </w:r>
      <w:proofErr w:type="spellStart"/>
      <w:r w:rsidRPr="00FD271D">
        <w:rPr>
          <w:lang w:val="es-ES"/>
        </w:rPr>
        <w:t>sulfluramida</w:t>
      </w:r>
      <w:proofErr w:type="spellEnd"/>
      <w:r w:rsidRPr="00FD271D">
        <w:rPr>
          <w:lang w:val="es-ES"/>
        </w:rPr>
        <w:t xml:space="preserve"> (núm. de CAS 4151-50-2) como ingrediente activo para el control de las hormigas cortadoras de hojas de </w:t>
      </w:r>
      <w:r w:rsidRPr="00FD271D">
        <w:rPr>
          <w:i/>
          <w:iCs/>
          <w:lang w:val="es-ES"/>
        </w:rPr>
        <w:t xml:space="preserve">Atta </w:t>
      </w:r>
      <w:proofErr w:type="spellStart"/>
      <w:r w:rsidRPr="00626116">
        <w:rPr>
          <w:i/>
          <w:lang w:val="es-ES"/>
        </w:rPr>
        <w:t>spp</w:t>
      </w:r>
      <w:proofErr w:type="spellEnd"/>
      <w:r w:rsidRPr="00FD271D">
        <w:rPr>
          <w:lang w:val="es-ES"/>
        </w:rPr>
        <w:t xml:space="preserve">. y </w:t>
      </w:r>
      <w:proofErr w:type="spellStart"/>
      <w:r w:rsidRPr="00626116">
        <w:rPr>
          <w:i/>
          <w:iCs/>
          <w:lang w:val="es-ES"/>
        </w:rPr>
        <w:t>Acromyrmex</w:t>
      </w:r>
      <w:proofErr w:type="spellEnd"/>
      <w:r w:rsidRPr="00626116">
        <w:rPr>
          <w:i/>
          <w:iCs/>
          <w:lang w:val="es-ES"/>
        </w:rPr>
        <w:t xml:space="preserve"> </w:t>
      </w:r>
      <w:proofErr w:type="spellStart"/>
      <w:r w:rsidRPr="00626116">
        <w:rPr>
          <w:i/>
          <w:lang w:val="es-ES"/>
        </w:rPr>
        <w:t>spp</w:t>
      </w:r>
      <w:proofErr w:type="spellEnd"/>
      <w:r w:rsidRPr="00FD271D">
        <w:rPr>
          <w:lang w:val="es-ES"/>
        </w:rPr>
        <w:t xml:space="preserve">. únicamente para uso agrícola”. </w:t>
      </w:r>
    </w:p>
    <w:p w:rsidR="000177C6" w:rsidRPr="00FD271D" w:rsidRDefault="000177C6" w:rsidP="000177C6">
      <w:pPr>
        <w:pStyle w:val="NormalNonumber"/>
        <w:tabs>
          <w:tab w:val="clear" w:pos="1247"/>
          <w:tab w:val="clear" w:pos="1814"/>
          <w:tab w:val="clear" w:pos="2381"/>
          <w:tab w:val="clear" w:pos="2948"/>
          <w:tab w:val="clear" w:pos="3515"/>
          <w:tab w:val="clear" w:pos="4082"/>
          <w:tab w:val="left" w:pos="2430"/>
        </w:tabs>
        <w:ind w:firstLine="624"/>
        <w:rPr>
          <w:rFonts w:asciiTheme="majorBidi" w:hAnsiTheme="majorBidi" w:cstheme="majorBidi"/>
          <w:lang w:val="es-ES"/>
        </w:rPr>
      </w:pPr>
      <w:r w:rsidRPr="00FD271D">
        <w:rPr>
          <w:lang w:val="es-ES"/>
        </w:rPr>
        <w:t>El Comité alienta que se lleven a cabo nuevas actividades de investigación y desarrollo de alternativas y que se utilicen alternativas cuando se disponga de ellas;</w:t>
      </w:r>
    </w:p>
    <w:p w:rsidR="000177C6" w:rsidRPr="00FD271D" w:rsidRDefault="000177C6" w:rsidP="000177C6">
      <w:pPr>
        <w:pStyle w:val="NormalNonumber"/>
        <w:ind w:firstLine="624"/>
        <w:rPr>
          <w:rFonts w:asciiTheme="majorBidi" w:hAnsiTheme="majorBidi" w:cstheme="majorBidi"/>
          <w:lang w:val="es-ES"/>
        </w:rPr>
      </w:pPr>
      <w:r w:rsidRPr="00FD271D">
        <w:rPr>
          <w:lang w:val="es-ES"/>
        </w:rPr>
        <w:t xml:space="preserve">El Comité alienta también a las Partes a que examinen la posibilidad de actividades de vigilancia para la </w:t>
      </w:r>
      <w:proofErr w:type="spellStart"/>
      <w:r w:rsidRPr="00FD271D">
        <w:rPr>
          <w:lang w:val="es-ES"/>
        </w:rPr>
        <w:t>sulfluramida</w:t>
      </w:r>
      <w:proofErr w:type="spellEnd"/>
      <w:r w:rsidRPr="00FD271D">
        <w:rPr>
          <w:lang w:val="es-ES"/>
        </w:rPr>
        <w:t>, el PFOS y otros productos de degradación pertinentes en los diferentes compartimentos ambientales (el suelo, las aguas subterráneas, las aguas superficiales) de los lugares de</w:t>
      </w:r>
      <w:r>
        <w:rPr>
          <w:lang w:val="es-ES"/>
        </w:rPr>
        <w:t> </w:t>
      </w:r>
      <w:r w:rsidRPr="00FD271D">
        <w:rPr>
          <w:lang w:val="es-ES"/>
        </w:rPr>
        <w:t>aplicación.</w:t>
      </w:r>
    </w:p>
    <w:p w:rsidR="000177C6" w:rsidRPr="00FD271D" w:rsidRDefault="000177C6" w:rsidP="000177C6">
      <w:pPr>
        <w:pStyle w:val="CH2"/>
        <w:rPr>
          <w:szCs w:val="20"/>
          <w:lang w:val="es-ES"/>
        </w:rPr>
      </w:pPr>
      <w:r w:rsidRPr="00FD271D">
        <w:rPr>
          <w:szCs w:val="20"/>
          <w:lang w:val="es-ES"/>
        </w:rPr>
        <w:tab/>
        <w:t>B.</w:t>
      </w:r>
      <w:r w:rsidRPr="00FD271D">
        <w:rPr>
          <w:szCs w:val="20"/>
          <w:lang w:val="es-ES"/>
        </w:rPr>
        <w:tab/>
        <w:t>Exenciones específicas</w:t>
      </w:r>
    </w:p>
    <w:p w:rsidR="000177C6" w:rsidRPr="00FD271D" w:rsidRDefault="000177C6" w:rsidP="000177C6">
      <w:pPr>
        <w:pStyle w:val="CH3"/>
        <w:rPr>
          <w:lang w:val="es-ES"/>
        </w:rPr>
      </w:pPr>
      <w:r w:rsidRPr="00FD271D">
        <w:rPr>
          <w:lang w:val="es-ES"/>
        </w:rPr>
        <w:tab/>
        <w:t>a)</w:t>
      </w:r>
      <w:r w:rsidRPr="00FD271D">
        <w:rPr>
          <w:lang w:val="es-ES"/>
        </w:rPr>
        <w:tab/>
      </w:r>
      <w:proofErr w:type="spellStart"/>
      <w:r w:rsidRPr="00FD271D">
        <w:rPr>
          <w:lang w:val="es-ES"/>
        </w:rPr>
        <w:t>Fotomáscaras</w:t>
      </w:r>
      <w:proofErr w:type="spellEnd"/>
      <w:r w:rsidRPr="00FD271D">
        <w:rPr>
          <w:lang w:val="es-ES"/>
        </w:rPr>
        <w:t xml:space="preserve"> en las industrias de semiconductores y pantallas de cristal líquido (LCD):</w:t>
      </w:r>
    </w:p>
    <w:p w:rsidR="000177C6" w:rsidRPr="00FD271D" w:rsidRDefault="000177C6" w:rsidP="000177C6">
      <w:pPr>
        <w:pStyle w:val="NormalNonumber"/>
        <w:ind w:firstLine="624"/>
        <w:rPr>
          <w:rFonts w:asciiTheme="majorBidi" w:hAnsiTheme="majorBidi" w:cstheme="majorBidi"/>
          <w:lang w:val="es-ES"/>
        </w:rPr>
      </w:pPr>
      <w:r>
        <w:rPr>
          <w:lang w:val="es-ES"/>
        </w:rPr>
        <w:t>Estas</w:t>
      </w:r>
      <w:r w:rsidRPr="00FD271D">
        <w:rPr>
          <w:lang w:val="es-ES"/>
        </w:rPr>
        <w:t xml:space="preserve"> industria</w:t>
      </w:r>
      <w:r>
        <w:rPr>
          <w:lang w:val="es-ES"/>
        </w:rPr>
        <w:t>s</w:t>
      </w:r>
      <w:r w:rsidRPr="00FD271D">
        <w:rPr>
          <w:lang w:val="es-ES"/>
        </w:rPr>
        <w:t xml:space="preserve"> ha</w:t>
      </w:r>
      <w:r>
        <w:rPr>
          <w:lang w:val="es-ES"/>
        </w:rPr>
        <w:t>n</w:t>
      </w:r>
      <w:r w:rsidRPr="00FD271D">
        <w:rPr>
          <w:lang w:val="es-ES"/>
        </w:rPr>
        <w:t xml:space="preserve"> eliminado en gran medida el uso del PFOS, sus sales y el PFOSF de dicha utilización. Por lo tanto, el Comité recomienda que la exención específica para el uso del PFOS, sus sales y el PFOSF para </w:t>
      </w:r>
      <w:proofErr w:type="spellStart"/>
      <w:r w:rsidRPr="00FD271D">
        <w:rPr>
          <w:lang w:val="es-ES"/>
        </w:rPr>
        <w:t>fotomáscaras</w:t>
      </w:r>
      <w:proofErr w:type="spellEnd"/>
      <w:r w:rsidRPr="00FD271D">
        <w:rPr>
          <w:lang w:val="es-ES"/>
        </w:rPr>
        <w:t xml:space="preserve"> en las industrias de semiconductores y pantallas de cristal líquido (LCD) deje de estar disponible en el marco del Convenio.</w:t>
      </w:r>
    </w:p>
    <w:p w:rsidR="000177C6" w:rsidRPr="00FD271D" w:rsidRDefault="000177C6" w:rsidP="000177C6">
      <w:pPr>
        <w:pStyle w:val="CH3"/>
        <w:rPr>
          <w:rFonts w:asciiTheme="majorBidi" w:hAnsiTheme="majorBidi" w:cstheme="majorBidi"/>
          <w:b w:val="0"/>
          <w:bCs w:val="0"/>
          <w:lang w:val="es-ES"/>
        </w:rPr>
      </w:pPr>
      <w:r w:rsidRPr="00FD271D">
        <w:rPr>
          <w:lang w:val="es-ES"/>
        </w:rPr>
        <w:tab/>
        <w:t>b)</w:t>
      </w:r>
      <w:r w:rsidRPr="00FD271D">
        <w:rPr>
          <w:lang w:val="es-ES"/>
        </w:rPr>
        <w:tab/>
        <w:t>Recubrimiento metálico (recubrimiento metálico duro)</w:t>
      </w:r>
      <w:r>
        <w:rPr>
          <w:lang w:val="es-ES"/>
        </w:rPr>
        <w:t>;</w:t>
      </w:r>
      <w:r w:rsidRPr="00FD271D">
        <w:rPr>
          <w:lang w:val="es-ES"/>
        </w:rPr>
        <w:t xml:space="preserve"> recubrimiento metálico (recubrimiento metálico decorativo):</w:t>
      </w:r>
    </w:p>
    <w:p w:rsidR="000177C6" w:rsidRPr="00FD271D" w:rsidRDefault="000177C6" w:rsidP="000177C6">
      <w:pPr>
        <w:pStyle w:val="NormalNonumber"/>
        <w:ind w:firstLine="624"/>
        <w:rPr>
          <w:rFonts w:asciiTheme="majorBidi" w:hAnsiTheme="majorBidi" w:cstheme="majorBidi"/>
          <w:lang w:val="es-ES"/>
        </w:rPr>
      </w:pPr>
      <w:r w:rsidRPr="00FD271D">
        <w:rPr>
          <w:lang w:val="es-ES"/>
        </w:rPr>
        <w:t>Para el recubrimiento metálico (recubrimiento metálico duro)</w:t>
      </w:r>
      <w:r>
        <w:rPr>
          <w:lang w:val="es-ES"/>
        </w:rPr>
        <w:t>;</w:t>
      </w:r>
      <w:r w:rsidRPr="00FD271D">
        <w:rPr>
          <w:lang w:val="es-ES"/>
        </w:rPr>
        <w:t xml:space="preserve"> recubrimiento metálico (recubrimiento metálico decorativo), cabe señalar que, en lo que respecta a algunas Partes, la notificación ha expirado o se ha retirado. Si bien existe incertidumbre sobre las posibilidades de conversión de Cr(VI) a Cr(III), habida cuenta de la disponibilidad de alternativas viables, y el uso de técnicas basadas en Cr(III) en el caso de recubrimientos decorativos, el Comité recomienda que las </w:t>
      </w:r>
      <w:r w:rsidRPr="00FD271D">
        <w:rPr>
          <w:lang w:val="es-ES"/>
        </w:rPr>
        <w:lastRenderedPageBreak/>
        <w:t>exenciones específicas para el uso del PFOS, sus sales y el PFOSF para recubrimientos metálicos (recubrimiento metálico duro) y recubrimiento metálico (recubrimiento metálico decorativo) dejen de estar disponibles en el marco del Convenio.</w:t>
      </w:r>
    </w:p>
    <w:p w:rsidR="000177C6" w:rsidRPr="00FD271D" w:rsidRDefault="000177C6" w:rsidP="000177C6">
      <w:pPr>
        <w:pStyle w:val="CH3"/>
        <w:rPr>
          <w:rFonts w:asciiTheme="majorBidi" w:hAnsiTheme="majorBidi" w:cstheme="majorBidi"/>
          <w:b w:val="0"/>
          <w:bCs w:val="0"/>
          <w:lang w:val="es-ES"/>
        </w:rPr>
      </w:pPr>
      <w:r w:rsidRPr="00FD271D">
        <w:rPr>
          <w:lang w:val="es-ES"/>
        </w:rPr>
        <w:tab/>
        <w:t>c)</w:t>
      </w:r>
      <w:r w:rsidRPr="00FD271D">
        <w:rPr>
          <w:lang w:val="es-ES"/>
        </w:rPr>
        <w:tab/>
        <w:t>Partes eléctricas y electrónicas de algunas impresoras y fotocopiadoras a color:</w:t>
      </w:r>
    </w:p>
    <w:p w:rsidR="000177C6" w:rsidRPr="00FD271D" w:rsidRDefault="000177C6" w:rsidP="000177C6">
      <w:pPr>
        <w:pStyle w:val="NormalNonumber"/>
        <w:ind w:firstLine="624"/>
        <w:rPr>
          <w:rFonts w:asciiTheme="majorBidi" w:hAnsiTheme="majorBidi" w:cstheme="majorBidi"/>
          <w:lang w:val="es-ES"/>
        </w:rPr>
      </w:pPr>
      <w:r w:rsidRPr="00FD271D">
        <w:rPr>
          <w:lang w:val="es-ES"/>
        </w:rPr>
        <w:t>En gran medida, para estos usos se han eliminado el PFOS, sus sales y el PFOSF. Eso indica que existen alternativas al PFOS disponibles que se emplean ampliamente. Por lo tanto, el Comité recomienda que la exención específica para el uso del PFOS, sus sales y el PFOSF para partes eléctricas y electrónicas para algunas impresoras y fotocopiadoras a color deje de estar disponible en el marco del Convenio.</w:t>
      </w:r>
    </w:p>
    <w:p w:rsidR="000177C6" w:rsidRPr="00FD271D" w:rsidRDefault="000177C6" w:rsidP="000177C6">
      <w:pPr>
        <w:pStyle w:val="CH3"/>
        <w:rPr>
          <w:lang w:val="es-ES"/>
        </w:rPr>
      </w:pPr>
      <w:r w:rsidRPr="00FD271D">
        <w:rPr>
          <w:lang w:val="es-ES"/>
        </w:rPr>
        <w:tab/>
        <w:t>d)</w:t>
      </w:r>
      <w:r w:rsidRPr="00FD271D">
        <w:rPr>
          <w:lang w:val="es-ES"/>
        </w:rPr>
        <w:tab/>
        <w:t>Insecticidas para el control de hormigas de fuego rojas importadas y termitas:</w:t>
      </w:r>
    </w:p>
    <w:p w:rsidR="000177C6" w:rsidRPr="00FD271D" w:rsidRDefault="000177C6" w:rsidP="000177C6">
      <w:pPr>
        <w:pStyle w:val="NormalNonumber"/>
        <w:ind w:firstLine="624"/>
        <w:rPr>
          <w:rFonts w:asciiTheme="majorBidi" w:hAnsiTheme="majorBidi" w:cstheme="majorBidi"/>
          <w:lang w:val="es-ES"/>
        </w:rPr>
      </w:pPr>
      <w:r w:rsidRPr="00FD271D">
        <w:rPr>
          <w:lang w:val="es-ES"/>
        </w:rPr>
        <w:t xml:space="preserve">Se ha hallado una serie de alternativas químicas y no químicas que, según se ha indicado, están disponibles ampliamente y son viables desde el punto de vista técnico. Esas alternativas se han utilizado de manera generalizada. El Comité recomienda que la exención específica para el uso del PFOS, sus sales y el PFOSF en insecticidas para el control de hormigas de fuego rojas importadas y termitas deje de estar disponible en el marco del Convenio. </w:t>
      </w:r>
    </w:p>
    <w:p w:rsidR="000177C6" w:rsidRPr="00FD271D" w:rsidRDefault="000177C6" w:rsidP="000177C6">
      <w:pPr>
        <w:pStyle w:val="CH3"/>
        <w:rPr>
          <w:rFonts w:asciiTheme="majorBidi" w:hAnsiTheme="majorBidi" w:cstheme="majorBidi"/>
          <w:b w:val="0"/>
          <w:bCs w:val="0"/>
          <w:lang w:val="es-ES"/>
        </w:rPr>
      </w:pPr>
      <w:r w:rsidRPr="00FD271D">
        <w:rPr>
          <w:lang w:val="es-ES"/>
        </w:rPr>
        <w:tab/>
        <w:t>e)</w:t>
      </w:r>
      <w:r w:rsidRPr="00FD271D">
        <w:rPr>
          <w:lang w:val="es-ES"/>
        </w:rPr>
        <w:tab/>
        <w:t>Producción de petróleo por medios químicos:</w:t>
      </w:r>
    </w:p>
    <w:p w:rsidR="000177C6" w:rsidRPr="00FD271D" w:rsidRDefault="000177C6" w:rsidP="000177C6">
      <w:pPr>
        <w:pStyle w:val="NormalNonumber"/>
        <w:ind w:firstLine="624"/>
        <w:rPr>
          <w:rFonts w:asciiTheme="majorBidi" w:hAnsiTheme="majorBidi" w:cstheme="majorBidi"/>
          <w:lang w:val="es-ES"/>
        </w:rPr>
      </w:pPr>
      <w:r w:rsidRPr="00FD271D">
        <w:rPr>
          <w:lang w:val="es-ES"/>
        </w:rPr>
        <w:t>La evaluación mostró que hay una amplia disponibilidad de alternativas. Habida cuenta de la utilización de las alternativas al PFOS, sus sales y el PFOSF en la mayoría de las zonas productoras de petróleo, el Comité recomienda que la exención específica para el uso del PFOS, sus sales y el PFOSF para la producción de petróleo por medios químicos deje de estar disponible en el marco del Convenio.</w:t>
      </w:r>
    </w:p>
    <w:p w:rsidR="000177C6" w:rsidRPr="00FD271D" w:rsidRDefault="000177C6" w:rsidP="000177C6">
      <w:pPr>
        <w:rPr>
          <w:lang w:val="es-ES"/>
        </w:rPr>
      </w:pPr>
    </w:p>
    <w:p w:rsidR="00CF7497" w:rsidRPr="000177C6" w:rsidRDefault="00CF7497" w:rsidP="000177C6">
      <w:pPr>
        <w:spacing w:after="160" w:line="259" w:lineRule="auto"/>
        <w:rPr>
          <w:lang w:val="es-ES"/>
        </w:rPr>
      </w:pPr>
    </w:p>
    <w:sectPr w:rsidR="00CF7497" w:rsidRPr="000177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40BF" w:rsidRDefault="008640BF" w:rsidP="000177C6">
      <w:r>
        <w:separator/>
      </w:r>
    </w:p>
  </w:endnote>
  <w:endnote w:type="continuationSeparator" w:id="0">
    <w:p w:rsidR="008640BF" w:rsidRDefault="008640BF" w:rsidP="000177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40BF" w:rsidRDefault="008640BF" w:rsidP="000177C6">
      <w:r>
        <w:separator/>
      </w:r>
    </w:p>
  </w:footnote>
  <w:footnote w:type="continuationSeparator" w:id="0">
    <w:p w:rsidR="008640BF" w:rsidRDefault="008640BF" w:rsidP="000177C6">
      <w:r>
        <w:continuationSeparator/>
      </w:r>
    </w:p>
  </w:footnote>
  <w:footnote w:id="1">
    <w:p w:rsidR="000177C6" w:rsidRPr="00E66CA4" w:rsidRDefault="000177C6" w:rsidP="000177C6">
      <w:pPr>
        <w:pStyle w:val="FootnoteText"/>
        <w:tabs>
          <w:tab w:val="left" w:pos="624"/>
        </w:tabs>
      </w:pPr>
      <w:r w:rsidRPr="00E66CA4">
        <w:rPr>
          <w:rStyle w:val="FootnoteReference"/>
          <w:rFonts w:eastAsiaTheme="majorEastAsia"/>
          <w:lang w:val="es-ES"/>
        </w:rPr>
        <w:footnoteRef/>
      </w:r>
      <w:r w:rsidRPr="00D83CE4">
        <w:t xml:space="preserve"> UNEP/POPS/POPRC.14/INF/8, UNEP/POPS/POPRC.14/INF/8/Add.1.</w:t>
      </w:r>
    </w:p>
  </w:footnote>
  <w:footnote w:id="2">
    <w:p w:rsidR="000177C6" w:rsidRPr="00D83CE4" w:rsidRDefault="000177C6" w:rsidP="000177C6">
      <w:pPr>
        <w:pStyle w:val="NormalNonumber"/>
        <w:tabs>
          <w:tab w:val="left" w:pos="624"/>
        </w:tabs>
        <w:spacing w:before="20" w:after="40"/>
        <w:rPr>
          <w:sz w:val="18"/>
          <w:szCs w:val="18"/>
          <w:lang w:val="fr-FR"/>
        </w:rPr>
      </w:pPr>
      <w:r w:rsidRPr="00E66CA4">
        <w:rPr>
          <w:rStyle w:val="FootnoteReference"/>
          <w:rFonts w:eastAsiaTheme="majorEastAsia"/>
          <w:lang w:val="es-ES"/>
        </w:rPr>
        <w:footnoteRef/>
      </w:r>
      <w:r w:rsidRPr="00D83CE4">
        <w:rPr>
          <w:sz w:val="18"/>
          <w:szCs w:val="18"/>
          <w:lang w:val="fr-FR"/>
        </w:rPr>
        <w:t xml:space="preserve"> UNEP/POPS/POPRC.14/INF/9.</w:t>
      </w:r>
    </w:p>
  </w:footnote>
  <w:footnote w:id="3">
    <w:p w:rsidR="000177C6" w:rsidRPr="00D83CE4" w:rsidRDefault="000177C6" w:rsidP="000177C6">
      <w:pPr>
        <w:pStyle w:val="NormalNonumber"/>
        <w:tabs>
          <w:tab w:val="left" w:pos="624"/>
        </w:tabs>
        <w:spacing w:before="20" w:after="40"/>
        <w:rPr>
          <w:sz w:val="18"/>
          <w:szCs w:val="18"/>
          <w:lang w:val="fr-FR"/>
        </w:rPr>
      </w:pPr>
      <w:r w:rsidRPr="00E66CA4">
        <w:rPr>
          <w:rStyle w:val="FootnoteReference"/>
          <w:rFonts w:eastAsiaTheme="majorEastAsia"/>
          <w:lang w:val="es-ES"/>
        </w:rPr>
        <w:footnoteRef/>
      </w:r>
      <w:r w:rsidRPr="00D83CE4">
        <w:rPr>
          <w:sz w:val="18"/>
          <w:szCs w:val="18"/>
          <w:lang w:val="fr-FR"/>
        </w:rPr>
        <w:t xml:space="preserve"> UNEP/POPS/POPRC.13/INF/9.</w:t>
      </w:r>
    </w:p>
  </w:footnote>
  <w:footnote w:id="4">
    <w:p w:rsidR="000177C6" w:rsidRPr="00D83CE4" w:rsidRDefault="000177C6" w:rsidP="000177C6">
      <w:pPr>
        <w:pStyle w:val="NormalNonumber"/>
        <w:tabs>
          <w:tab w:val="left" w:pos="624"/>
        </w:tabs>
        <w:spacing w:before="20" w:after="40"/>
        <w:rPr>
          <w:sz w:val="18"/>
          <w:szCs w:val="18"/>
          <w:lang w:val="fr-FR"/>
        </w:rPr>
      </w:pPr>
      <w:r w:rsidRPr="00E66CA4">
        <w:rPr>
          <w:rStyle w:val="FootnoteReference"/>
          <w:rFonts w:eastAsiaTheme="majorEastAsia"/>
          <w:lang w:val="es-ES"/>
        </w:rPr>
        <w:footnoteRef/>
      </w:r>
      <w:r w:rsidRPr="00D83CE4">
        <w:rPr>
          <w:sz w:val="18"/>
          <w:szCs w:val="18"/>
          <w:lang w:val="fr-FR"/>
        </w:rPr>
        <w:t xml:space="preserve"> UNEP/POPS/POPRC.14/INF/13. </w:t>
      </w:r>
    </w:p>
  </w:footnote>
  <w:footnote w:id="5">
    <w:p w:rsidR="000177C6" w:rsidRPr="000177C6" w:rsidRDefault="000177C6" w:rsidP="000177C6">
      <w:pPr>
        <w:pStyle w:val="NormalNonumber"/>
        <w:tabs>
          <w:tab w:val="left" w:pos="624"/>
        </w:tabs>
        <w:spacing w:before="20" w:after="40"/>
        <w:rPr>
          <w:sz w:val="18"/>
          <w:szCs w:val="18"/>
          <w:lang w:val="fr-FR"/>
        </w:rPr>
      </w:pPr>
      <w:r w:rsidRPr="00E66CA4">
        <w:rPr>
          <w:rStyle w:val="FootnoteReference"/>
          <w:rFonts w:eastAsiaTheme="majorEastAsia"/>
          <w:lang w:val="es-ES"/>
        </w:rPr>
        <w:footnoteRef/>
      </w:r>
      <w:r w:rsidRPr="000177C6">
        <w:rPr>
          <w:sz w:val="18"/>
          <w:szCs w:val="18"/>
          <w:lang w:val="fr-FR"/>
        </w:rPr>
        <w:t xml:space="preserve"> </w:t>
      </w:r>
      <w:r w:rsidRPr="000177C6">
        <w:rPr>
          <w:sz w:val="18"/>
          <w:szCs w:val="18"/>
          <w:lang w:val="fr-FR"/>
        </w:rPr>
        <w:t>UNEP/POPS/POPRC.14/INF/9.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A66A9D"/>
    <w:multiLevelType w:val="multilevel"/>
    <w:tmpl w:val="0686AA48"/>
    <w:styleLink w:val="Normallist"/>
    <w:lvl w:ilvl="0">
      <w:start w:val="1"/>
      <w:numFmt w:val="decimal"/>
      <w:pStyle w:val="Normalnumber"/>
      <w:lvlText w:val="%1."/>
      <w:lvlJc w:val="left"/>
      <w:pPr>
        <w:tabs>
          <w:tab w:val="num" w:pos="1134"/>
        </w:tabs>
        <w:ind w:left="1247"/>
      </w:pPr>
      <w:rPr>
        <w:rFonts w:cs="Times New Roman" w:hint="default"/>
      </w:rPr>
    </w:lvl>
    <w:lvl w:ilvl="1">
      <w:start w:val="1"/>
      <w:numFmt w:val="lowerLetter"/>
      <w:lvlText w:val="(%2)"/>
      <w:lvlJc w:val="left"/>
      <w:pPr>
        <w:tabs>
          <w:tab w:val="num" w:pos="1134"/>
        </w:tabs>
        <w:ind w:left="1247" w:firstLine="567"/>
      </w:pPr>
      <w:rPr>
        <w:rFonts w:cs="Times New Roman" w:hint="default"/>
      </w:rPr>
    </w:lvl>
    <w:lvl w:ilvl="2">
      <w:start w:val="1"/>
      <w:numFmt w:val="lowerRoman"/>
      <w:lvlText w:val="(%3)"/>
      <w:lvlJc w:val="left"/>
      <w:pPr>
        <w:tabs>
          <w:tab w:val="num" w:pos="1134"/>
        </w:tabs>
        <w:ind w:left="2948" w:hanging="567"/>
      </w:pPr>
      <w:rPr>
        <w:rFonts w:cs="Times New Roman" w:hint="default"/>
      </w:rPr>
    </w:lvl>
    <w:lvl w:ilvl="3">
      <w:start w:val="1"/>
      <w:numFmt w:val="lowerLetter"/>
      <w:lvlText w:val="%4."/>
      <w:lvlJc w:val="left"/>
      <w:pPr>
        <w:tabs>
          <w:tab w:val="num" w:pos="1134"/>
        </w:tabs>
        <w:ind w:left="3515" w:hanging="567"/>
      </w:pPr>
      <w:rPr>
        <w:rFonts w:cs="Times New Roman" w:hint="default"/>
      </w:rPr>
    </w:lvl>
    <w:lvl w:ilvl="4">
      <w:start w:val="1"/>
      <w:numFmt w:val="lowerRoman"/>
      <w:lvlText w:val="%5."/>
      <w:lvlJc w:val="left"/>
      <w:pPr>
        <w:tabs>
          <w:tab w:val="num" w:pos="1134"/>
        </w:tabs>
        <w:ind w:left="4082" w:hanging="567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7835"/>
        </w:tabs>
        <w:ind w:left="7835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8555"/>
        </w:tabs>
        <w:ind w:left="8555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9275"/>
        </w:tabs>
        <w:ind w:left="9275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9995"/>
        </w:tabs>
        <w:ind w:left="9995" w:hanging="180"/>
      </w:pPr>
      <w:rPr>
        <w:rFonts w:cs="Times New Roman" w:hint="default"/>
      </w:rPr>
    </w:lvl>
  </w:abstractNum>
  <w:abstractNum w:abstractNumId="1" w15:restartNumberingAfterBreak="0">
    <w:nsid w:val="62291BF8"/>
    <w:multiLevelType w:val="multilevel"/>
    <w:tmpl w:val="EA682398"/>
    <w:lvl w:ilvl="0">
      <w:start w:val="1"/>
      <w:numFmt w:val="decimal"/>
      <w:lvlText w:val="%1."/>
      <w:lvlJc w:val="left"/>
      <w:pPr>
        <w:tabs>
          <w:tab w:val="num" w:pos="454"/>
        </w:tabs>
        <w:ind w:left="1134" w:firstLine="0"/>
      </w:pPr>
      <w:rPr>
        <w:rFonts w:hint="default"/>
        <w:b w:val="0"/>
        <w:i w:val="0"/>
      </w:rPr>
    </w:lvl>
    <w:lvl w:ilvl="1">
      <w:start w:val="1"/>
      <w:numFmt w:val="lowerLetter"/>
      <w:lvlText w:val="(%2)"/>
      <w:lvlJc w:val="left"/>
      <w:pPr>
        <w:tabs>
          <w:tab w:val="num" w:pos="454"/>
        </w:tabs>
        <w:ind w:left="1134" w:firstLine="567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484"/>
        </w:tabs>
        <w:ind w:left="2865" w:hanging="567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454"/>
        </w:tabs>
        <w:ind w:left="3402" w:hanging="567"/>
      </w:pPr>
      <w:rPr>
        <w:rFonts w:hint="default"/>
      </w:rPr>
    </w:lvl>
    <w:lvl w:ilvl="4">
      <w:start w:val="1"/>
      <w:numFmt w:val="lowerRoman"/>
      <w:lvlText w:val="%5."/>
      <w:lvlJc w:val="left"/>
      <w:pPr>
        <w:tabs>
          <w:tab w:val="num" w:pos="454"/>
        </w:tabs>
        <w:ind w:left="3969" w:hanging="567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7722"/>
        </w:tabs>
        <w:ind w:left="772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8442"/>
        </w:tabs>
        <w:ind w:left="844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9162"/>
        </w:tabs>
        <w:ind w:left="916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9882"/>
        </w:tabs>
        <w:ind w:left="9882" w:hanging="180"/>
      </w:pPr>
      <w:rPr>
        <w:rFonts w:hint="default"/>
      </w:rPr>
    </w:lvl>
  </w:abstractNum>
  <w:num w:numId="1">
    <w:abstractNumId w:val="0"/>
  </w:num>
  <w:num w:numId="2">
    <w:abstractNumId w:val="0"/>
    <w:lvlOverride w:ilvl="0">
      <w:lvl w:ilvl="0">
        <w:start w:val="1"/>
        <w:numFmt w:val="decimal"/>
        <w:pStyle w:val="Normalnumber"/>
        <w:lvlText w:val="%1."/>
        <w:lvlJc w:val="left"/>
        <w:pPr>
          <w:tabs>
            <w:tab w:val="num" w:pos="1134"/>
          </w:tabs>
          <w:ind w:left="1247"/>
        </w:pPr>
        <w:rPr>
          <w:rFonts w:cs="Times New Roman" w:hint="default"/>
        </w:rPr>
      </w:lvl>
    </w:lvlOverride>
    <w:lvlOverride w:ilvl="1">
      <w:lvl w:ilvl="1">
        <w:start w:val="1"/>
        <w:numFmt w:val="lowerLetter"/>
        <w:lvlText w:val="(%2)"/>
        <w:lvlJc w:val="left"/>
        <w:pPr>
          <w:tabs>
            <w:tab w:val="num" w:pos="1134"/>
          </w:tabs>
          <w:ind w:left="1247" w:firstLine="567"/>
        </w:pPr>
        <w:rPr>
          <w:rFonts w:cs="Times New Roman" w:hint="default"/>
        </w:rPr>
      </w:lvl>
    </w:lvlOverride>
    <w:lvlOverride w:ilvl="2">
      <w:lvl w:ilvl="2">
        <w:start w:val="1"/>
        <w:numFmt w:val="lowerRoman"/>
        <w:lvlText w:val="(%3)"/>
        <w:lvlJc w:val="left"/>
        <w:pPr>
          <w:tabs>
            <w:tab w:val="num" w:pos="1134"/>
          </w:tabs>
          <w:ind w:left="2948" w:hanging="567"/>
        </w:pPr>
        <w:rPr>
          <w:rFonts w:cs="Times New Roman"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1134"/>
          </w:tabs>
          <w:ind w:left="3515" w:hanging="567"/>
        </w:pPr>
        <w:rPr>
          <w:rFonts w:cs="Times New Roman" w:hint="default"/>
        </w:rPr>
      </w:lvl>
    </w:lvlOverride>
    <w:lvlOverride w:ilvl="4">
      <w:lvl w:ilvl="4">
        <w:start w:val="1"/>
        <w:numFmt w:val="lowerRoman"/>
        <w:lvlText w:val="%5."/>
        <w:lvlJc w:val="left"/>
        <w:pPr>
          <w:tabs>
            <w:tab w:val="num" w:pos="1134"/>
          </w:tabs>
          <w:ind w:left="4082" w:hanging="567"/>
        </w:pPr>
        <w:rPr>
          <w:rFonts w:cs="Times New Roman"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tabs>
            <w:tab w:val="num" w:pos="7835"/>
          </w:tabs>
          <w:ind w:left="7835" w:hanging="180"/>
        </w:pPr>
        <w:rPr>
          <w:rFonts w:cs="Times New Roman"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8555"/>
          </w:tabs>
          <w:ind w:left="8555" w:hanging="360"/>
        </w:pPr>
        <w:rPr>
          <w:rFonts w:cs="Times New Roman"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tabs>
            <w:tab w:val="num" w:pos="9275"/>
          </w:tabs>
          <w:ind w:left="9275" w:hanging="360"/>
        </w:pPr>
        <w:rPr>
          <w:rFonts w:cs="Times New Roman"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tabs>
            <w:tab w:val="num" w:pos="9995"/>
          </w:tabs>
          <w:ind w:left="9995" w:hanging="180"/>
        </w:pPr>
        <w:rPr>
          <w:rFonts w:cs="Times New Roman" w:hint="default"/>
        </w:rPr>
      </w:lvl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7C6"/>
    <w:rsid w:val="000177C6"/>
    <w:rsid w:val="00304CF0"/>
    <w:rsid w:val="008640BF"/>
    <w:rsid w:val="00987DB3"/>
    <w:rsid w:val="009D258D"/>
    <w:rsid w:val="00C873CC"/>
    <w:rsid w:val="00CF7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BAA46"/>
  <w15:chartTrackingRefBased/>
  <w15:docId w15:val="{3522CFBF-8A22-4BB0-A511-44102ACA0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177C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2">
    <w:name w:val="CH2"/>
    <w:basedOn w:val="Normal"/>
    <w:next w:val="Normalnumber"/>
    <w:link w:val="CH2Char"/>
    <w:rsid w:val="000177C6"/>
    <w:pPr>
      <w:keepNext/>
      <w:keepLines/>
      <w:tabs>
        <w:tab w:val="right" w:pos="851"/>
        <w:tab w:val="left" w:pos="1247"/>
        <w:tab w:val="left" w:pos="1814"/>
        <w:tab w:val="left" w:pos="2381"/>
        <w:tab w:val="left" w:pos="2948"/>
        <w:tab w:val="left" w:pos="3515"/>
        <w:tab w:val="left" w:pos="4082"/>
      </w:tabs>
      <w:suppressAutoHyphens/>
      <w:spacing w:before="80" w:after="120"/>
      <w:ind w:left="1247" w:right="284" w:hanging="1247"/>
    </w:pPr>
    <w:rPr>
      <w:b/>
      <w:bCs/>
      <w:lang w:eastAsia="ru-RU"/>
    </w:rPr>
  </w:style>
  <w:style w:type="paragraph" w:customStyle="1" w:styleId="CH3">
    <w:name w:val="CH3"/>
    <w:basedOn w:val="Normal"/>
    <w:next w:val="Normalnumber"/>
    <w:rsid w:val="000177C6"/>
    <w:pPr>
      <w:keepNext/>
      <w:keepLines/>
      <w:tabs>
        <w:tab w:val="right" w:pos="851"/>
        <w:tab w:val="left" w:pos="1247"/>
        <w:tab w:val="left" w:pos="1814"/>
        <w:tab w:val="left" w:pos="2381"/>
        <w:tab w:val="left" w:pos="2948"/>
        <w:tab w:val="left" w:pos="3515"/>
        <w:tab w:val="left" w:pos="4082"/>
      </w:tabs>
      <w:suppressAutoHyphens/>
      <w:spacing w:after="120"/>
      <w:ind w:left="1247" w:right="284" w:hanging="1247"/>
    </w:pPr>
    <w:rPr>
      <w:b/>
      <w:bCs/>
      <w:sz w:val="20"/>
      <w:szCs w:val="20"/>
    </w:rPr>
  </w:style>
  <w:style w:type="paragraph" w:customStyle="1" w:styleId="Normal-pool">
    <w:name w:val="Normal-pool"/>
    <w:link w:val="Normal-poolChar"/>
    <w:rsid w:val="000177C6"/>
    <w:pPr>
      <w:tabs>
        <w:tab w:val="left" w:pos="1247"/>
        <w:tab w:val="left" w:pos="1814"/>
        <w:tab w:val="left" w:pos="2381"/>
        <w:tab w:val="left" w:pos="2948"/>
        <w:tab w:val="left" w:pos="3515"/>
        <w:tab w:val="left" w:pos="4082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character" w:styleId="FootnoteReference">
    <w:name w:val="footnote reference"/>
    <w:aliases w:val="16 Point,Superscript 6 Point,number,SUPERS,Footnote Reference Superscript,Footnote Reference1,ftref,(Ref. de nota al pie),Ref,de nota al pie,註腳內容,de nota al pie + (Asian) MS Mincho,11 pt,Ref. de nota de rodapé1,stylish,Footnote symbo"/>
    <w:basedOn w:val="DefaultParagraphFont"/>
    <w:rsid w:val="000177C6"/>
    <w:rPr>
      <w:rFonts w:ascii="Times New Roman" w:hAnsi="Times New Roman" w:cs="Times New Roman"/>
      <w:color w:val="auto"/>
      <w:sz w:val="18"/>
      <w:szCs w:val="18"/>
      <w:vertAlign w:val="superscript"/>
    </w:rPr>
  </w:style>
  <w:style w:type="paragraph" w:styleId="FootnoteText">
    <w:name w:val="footnote text"/>
    <w:aliases w:val="Geneva 9,Font: Geneva 9,Boston 10,f,Footnote Text Char Char,Footnote Text Char Char Char Char,Footnote Text1,Footnote Text Char Char Char,93,single space,Footnote Text Rail EIS,ft,Char,footnote3,Footnotes,Footnote ak,fn cafc,fn Char Char,C"/>
    <w:basedOn w:val="Normal"/>
    <w:link w:val="FootnoteTextChar"/>
    <w:qFormat/>
    <w:rsid w:val="000177C6"/>
    <w:pPr>
      <w:tabs>
        <w:tab w:val="left" w:pos="1247"/>
        <w:tab w:val="left" w:pos="1814"/>
        <w:tab w:val="left" w:pos="2381"/>
        <w:tab w:val="left" w:pos="2948"/>
        <w:tab w:val="left" w:pos="3515"/>
        <w:tab w:val="left" w:pos="4082"/>
      </w:tabs>
      <w:spacing w:before="20" w:after="40"/>
      <w:ind w:left="1247"/>
    </w:pPr>
    <w:rPr>
      <w:sz w:val="18"/>
      <w:szCs w:val="18"/>
      <w:lang w:val="fr-FR" w:eastAsia="ru-RU"/>
    </w:rPr>
  </w:style>
  <w:style w:type="character" w:customStyle="1" w:styleId="FootnoteTextChar">
    <w:name w:val="Footnote Text Char"/>
    <w:aliases w:val="Geneva 9 Char,Font: Geneva 9 Char,Boston 10 Char,f Char,Footnote Text Char Char Char1,Footnote Text Char Char Char Char Char,Footnote Text1 Char,Footnote Text Char Char Char Char1,93 Char,single space Char,Footnote Text Rail EIS Char"/>
    <w:basedOn w:val="DefaultParagraphFont"/>
    <w:link w:val="FootnoteText"/>
    <w:rsid w:val="000177C6"/>
    <w:rPr>
      <w:rFonts w:ascii="Times New Roman" w:eastAsia="Times New Roman" w:hAnsi="Times New Roman" w:cs="Times New Roman"/>
      <w:sz w:val="18"/>
      <w:szCs w:val="18"/>
      <w:lang w:val="fr-FR" w:eastAsia="ru-RU"/>
    </w:rPr>
  </w:style>
  <w:style w:type="character" w:customStyle="1" w:styleId="NormalnumberChar">
    <w:name w:val="Normal_number Char"/>
    <w:link w:val="Normalnumber"/>
    <w:uiPriority w:val="99"/>
    <w:locked/>
    <w:rsid w:val="000177C6"/>
    <w:rPr>
      <w:lang w:val="en-GB" w:eastAsia="x-none"/>
    </w:rPr>
  </w:style>
  <w:style w:type="paragraph" w:customStyle="1" w:styleId="NormalNonumber">
    <w:name w:val="Normal_No_number"/>
    <w:basedOn w:val="Normal"/>
    <w:rsid w:val="000177C6"/>
    <w:pPr>
      <w:tabs>
        <w:tab w:val="left" w:pos="1247"/>
        <w:tab w:val="left" w:pos="1814"/>
        <w:tab w:val="left" w:pos="2381"/>
        <w:tab w:val="left" w:pos="2948"/>
        <w:tab w:val="left" w:pos="3515"/>
        <w:tab w:val="left" w:pos="4082"/>
      </w:tabs>
      <w:spacing w:after="120"/>
      <w:ind w:left="1247"/>
    </w:pPr>
    <w:rPr>
      <w:sz w:val="20"/>
      <w:szCs w:val="20"/>
    </w:rPr>
  </w:style>
  <w:style w:type="paragraph" w:customStyle="1" w:styleId="Normalnumber">
    <w:name w:val="Normal_number"/>
    <w:basedOn w:val="Normal"/>
    <w:link w:val="NormalnumberChar"/>
    <w:uiPriority w:val="99"/>
    <w:rsid w:val="000177C6"/>
    <w:pPr>
      <w:numPr>
        <w:numId w:val="1"/>
      </w:numPr>
      <w:spacing w:after="120"/>
    </w:pPr>
    <w:rPr>
      <w:rFonts w:asciiTheme="minorHAnsi" w:eastAsiaTheme="minorEastAsia" w:hAnsiTheme="minorHAnsi" w:cstheme="minorBidi"/>
      <w:sz w:val="22"/>
      <w:szCs w:val="22"/>
      <w:lang w:eastAsia="x-none"/>
    </w:rPr>
  </w:style>
  <w:style w:type="character" w:customStyle="1" w:styleId="CH2Char">
    <w:name w:val="CH2 Char"/>
    <w:link w:val="CH2"/>
    <w:locked/>
    <w:rsid w:val="000177C6"/>
    <w:rPr>
      <w:rFonts w:ascii="Times New Roman" w:eastAsia="Times New Roman" w:hAnsi="Times New Roman" w:cs="Times New Roman"/>
      <w:b/>
      <w:bCs/>
      <w:sz w:val="24"/>
      <w:szCs w:val="24"/>
      <w:lang w:val="en-GB" w:eastAsia="ru-RU"/>
    </w:rPr>
  </w:style>
  <w:style w:type="numbering" w:customStyle="1" w:styleId="Normallist">
    <w:name w:val="Normal_list"/>
    <w:rsid w:val="000177C6"/>
    <w:pPr>
      <w:numPr>
        <w:numId w:val="1"/>
      </w:numPr>
    </w:pPr>
  </w:style>
  <w:style w:type="character" w:customStyle="1" w:styleId="Normal-poolChar">
    <w:name w:val="Normal-pool Char"/>
    <w:link w:val="Normal-pool"/>
    <w:rsid w:val="000177C6"/>
    <w:rPr>
      <w:rFonts w:ascii="Times New Roman" w:eastAsia="Times New Roman" w:hAnsi="Times New Roman" w:cs="Times New Roman"/>
      <w:sz w:val="20"/>
      <w:szCs w:val="20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1792</Words>
  <Characters>10218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Gong</dc:creator>
  <cp:keywords/>
  <dc:description/>
  <cp:lastModifiedBy>Le Gong</cp:lastModifiedBy>
  <cp:revision>1</cp:revision>
  <dcterms:created xsi:type="dcterms:W3CDTF">2019-01-02T16:38:00Z</dcterms:created>
  <dcterms:modified xsi:type="dcterms:W3CDTF">2019-01-02T16:39:00Z</dcterms:modified>
</cp:coreProperties>
</file>