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0370" w:rsidRPr="001923D6" w:rsidRDefault="00090370" w:rsidP="00090370">
      <w:pPr>
        <w:pStyle w:val="CH2"/>
      </w:pPr>
      <w:r>
        <w:tab/>
      </w:r>
      <w:r>
        <w:tab/>
      </w:r>
      <w:bookmarkStart w:id="0" w:name="_GoBack"/>
      <w:bookmarkEnd w:id="0"/>
      <w:r w:rsidRPr="001923D6">
        <w:t xml:space="preserve">POPRC-14/1: </w:t>
      </w:r>
      <w:proofErr w:type="spellStart"/>
      <w:r w:rsidRPr="001923D6">
        <w:t>Perfluorohexane</w:t>
      </w:r>
      <w:proofErr w:type="spellEnd"/>
      <w:r w:rsidRPr="001923D6">
        <w:t xml:space="preserve"> sulfonic acid (</w:t>
      </w:r>
      <w:proofErr w:type="spellStart"/>
      <w:r w:rsidRPr="001923D6">
        <w:t>PFHxS</w:t>
      </w:r>
      <w:proofErr w:type="spellEnd"/>
      <w:r w:rsidRPr="001923D6">
        <w:t xml:space="preserve">), its salts and </w:t>
      </w:r>
      <w:r>
        <w:br/>
      </w:r>
      <w:proofErr w:type="spellStart"/>
      <w:r w:rsidRPr="001923D6">
        <w:t>PFHxS</w:t>
      </w:r>
      <w:proofErr w:type="spellEnd"/>
      <w:r w:rsidRPr="001923D6">
        <w:t>-related compounds</w:t>
      </w:r>
    </w:p>
    <w:p w:rsidR="00090370" w:rsidRPr="001923D6" w:rsidRDefault="00090370" w:rsidP="00090370">
      <w:pPr>
        <w:pStyle w:val="Normal-pool"/>
        <w:tabs>
          <w:tab w:val="left" w:pos="624"/>
        </w:tabs>
        <w:spacing w:after="120"/>
        <w:ind w:left="1247" w:firstLine="624"/>
        <w:rPr>
          <w:rFonts w:asciiTheme="majorBidi" w:hAnsiTheme="majorBidi" w:cstheme="majorBidi"/>
          <w:i/>
          <w:iCs/>
        </w:rPr>
      </w:pPr>
      <w:r w:rsidRPr="001923D6">
        <w:rPr>
          <w:rFonts w:asciiTheme="majorBidi" w:hAnsiTheme="majorBidi" w:cstheme="majorBidi"/>
          <w:i/>
        </w:rPr>
        <w:t>The Persistent Organic Pollutants Review Committee,</w:t>
      </w:r>
    </w:p>
    <w:p w:rsidR="00090370" w:rsidRPr="001923D6" w:rsidRDefault="00090370" w:rsidP="00090370">
      <w:pPr>
        <w:pStyle w:val="Normal-pool"/>
        <w:tabs>
          <w:tab w:val="left" w:pos="624"/>
        </w:tabs>
        <w:spacing w:after="120"/>
        <w:ind w:left="1247" w:firstLine="624"/>
        <w:rPr>
          <w:rFonts w:asciiTheme="majorBidi" w:hAnsiTheme="majorBidi" w:cstheme="majorBidi"/>
        </w:rPr>
      </w:pPr>
      <w:r w:rsidRPr="001923D6">
        <w:rPr>
          <w:rFonts w:asciiTheme="majorBidi" w:hAnsiTheme="majorBidi" w:cstheme="majorBidi"/>
          <w:i/>
          <w:iCs/>
        </w:rPr>
        <w:t xml:space="preserve">Having completed </w:t>
      </w:r>
      <w:r w:rsidRPr="001923D6">
        <w:rPr>
          <w:rFonts w:asciiTheme="majorBidi" w:hAnsiTheme="majorBidi" w:cstheme="majorBidi"/>
        </w:rPr>
        <w:t xml:space="preserve">an evaluation of the proposal by Norway to list </w:t>
      </w:r>
      <w:proofErr w:type="spellStart"/>
      <w:r w:rsidRPr="001923D6">
        <w:rPr>
          <w:rFonts w:asciiTheme="majorBidi" w:hAnsiTheme="majorBidi" w:cstheme="majorBidi"/>
        </w:rPr>
        <w:t>perfluorohexane</w:t>
      </w:r>
      <w:proofErr w:type="spellEnd"/>
      <w:r w:rsidRPr="001923D6">
        <w:rPr>
          <w:rFonts w:asciiTheme="majorBidi" w:hAnsiTheme="majorBidi" w:cstheme="majorBidi"/>
        </w:rPr>
        <w:t xml:space="preserve"> sulfonic acid (</w:t>
      </w:r>
      <w:proofErr w:type="spellStart"/>
      <w:r w:rsidRPr="001923D6">
        <w:rPr>
          <w:rFonts w:asciiTheme="majorBidi" w:hAnsiTheme="majorBidi" w:cstheme="majorBidi"/>
        </w:rPr>
        <w:t>PFHxS</w:t>
      </w:r>
      <w:proofErr w:type="spellEnd"/>
      <w:r w:rsidRPr="001923D6">
        <w:rPr>
          <w:rFonts w:asciiTheme="majorBidi" w:hAnsiTheme="majorBidi" w:cstheme="majorBidi"/>
        </w:rPr>
        <w:t xml:space="preserve">), its salts and </w:t>
      </w:r>
      <w:proofErr w:type="spellStart"/>
      <w:r w:rsidRPr="001923D6">
        <w:rPr>
          <w:rFonts w:asciiTheme="majorBidi" w:hAnsiTheme="majorBidi" w:cstheme="majorBidi"/>
        </w:rPr>
        <w:t>PFHxS</w:t>
      </w:r>
      <w:proofErr w:type="spellEnd"/>
      <w:r w:rsidRPr="001923D6">
        <w:rPr>
          <w:rFonts w:asciiTheme="majorBidi" w:hAnsiTheme="majorBidi" w:cstheme="majorBidi"/>
        </w:rPr>
        <w:t>-related compounds, defined as any substance that contains the chemical moiety C</w:t>
      </w:r>
      <w:r w:rsidRPr="001923D6">
        <w:rPr>
          <w:rFonts w:asciiTheme="majorBidi" w:hAnsiTheme="majorBidi" w:cstheme="majorBidi"/>
          <w:vertAlign w:val="subscript"/>
        </w:rPr>
        <w:t>6</w:t>
      </w:r>
      <w:r w:rsidRPr="001923D6">
        <w:rPr>
          <w:rFonts w:asciiTheme="majorBidi" w:hAnsiTheme="majorBidi" w:cstheme="majorBidi"/>
        </w:rPr>
        <w:t>F</w:t>
      </w:r>
      <w:r w:rsidRPr="001923D6">
        <w:rPr>
          <w:rFonts w:asciiTheme="majorBidi" w:hAnsiTheme="majorBidi" w:cstheme="majorBidi"/>
          <w:vertAlign w:val="subscript"/>
        </w:rPr>
        <w:t>13</w:t>
      </w:r>
      <w:r w:rsidRPr="001923D6">
        <w:rPr>
          <w:rFonts w:asciiTheme="majorBidi" w:hAnsiTheme="majorBidi" w:cstheme="majorBidi"/>
        </w:rPr>
        <w:t>SO</w:t>
      </w:r>
      <w:r w:rsidRPr="001923D6">
        <w:rPr>
          <w:rFonts w:asciiTheme="majorBidi" w:hAnsiTheme="majorBidi" w:cstheme="majorBidi"/>
          <w:vertAlign w:val="subscript"/>
        </w:rPr>
        <w:t>2</w:t>
      </w:r>
      <w:r w:rsidRPr="001923D6">
        <w:rPr>
          <w:rFonts w:asciiTheme="majorBidi" w:hAnsiTheme="majorBidi" w:cstheme="majorBidi"/>
        </w:rPr>
        <w:t xml:space="preserve">- as one of its structural elements and that potentially degrades to </w:t>
      </w:r>
      <w:proofErr w:type="spellStart"/>
      <w:r w:rsidRPr="001923D6">
        <w:rPr>
          <w:rFonts w:asciiTheme="majorBidi" w:hAnsiTheme="majorBidi" w:cstheme="majorBidi"/>
        </w:rPr>
        <w:t>PFHxS</w:t>
      </w:r>
      <w:proofErr w:type="spellEnd"/>
      <w:r w:rsidRPr="001923D6">
        <w:rPr>
          <w:rFonts w:asciiTheme="majorBidi" w:hAnsiTheme="majorBidi" w:cstheme="majorBidi"/>
        </w:rPr>
        <w:t>, in Annexes A, B and/or C to the Stockholm Convention and having decided at its thirteenth meeting, in its decision POPRC</w:t>
      </w:r>
      <w:r w:rsidRPr="001923D6">
        <w:rPr>
          <w:rFonts w:asciiTheme="majorBidi" w:hAnsiTheme="majorBidi" w:cstheme="majorBidi"/>
        </w:rPr>
        <w:noBreakHyphen/>
        <w:t>13/3, that the proposal meets the criteria set out in Annex D to the Convention,</w:t>
      </w:r>
    </w:p>
    <w:p w:rsidR="00090370" w:rsidRPr="001923D6" w:rsidRDefault="00090370" w:rsidP="00090370">
      <w:pPr>
        <w:pStyle w:val="Normal-pool"/>
        <w:tabs>
          <w:tab w:val="left" w:pos="624"/>
        </w:tabs>
        <w:spacing w:after="120"/>
        <w:ind w:left="1247" w:firstLine="624"/>
        <w:rPr>
          <w:rFonts w:asciiTheme="majorBidi" w:hAnsiTheme="majorBidi" w:cstheme="majorBidi"/>
        </w:rPr>
      </w:pPr>
      <w:r w:rsidRPr="001923D6">
        <w:rPr>
          <w:rFonts w:asciiTheme="majorBidi" w:hAnsiTheme="majorBidi" w:cstheme="majorBidi"/>
          <w:i/>
          <w:iCs/>
        </w:rPr>
        <w:t xml:space="preserve">Having also completed </w:t>
      </w:r>
      <w:r w:rsidRPr="001923D6">
        <w:rPr>
          <w:rFonts w:asciiTheme="majorBidi" w:hAnsiTheme="majorBidi" w:cstheme="majorBidi"/>
          <w:iCs/>
        </w:rPr>
        <w:t>the</w:t>
      </w:r>
      <w:r w:rsidRPr="001923D6">
        <w:rPr>
          <w:rFonts w:asciiTheme="majorBidi" w:hAnsiTheme="majorBidi" w:cstheme="majorBidi"/>
        </w:rPr>
        <w:t xml:space="preserve"> risk profile for </w:t>
      </w:r>
      <w:proofErr w:type="spellStart"/>
      <w:r w:rsidRPr="001923D6">
        <w:rPr>
          <w:rFonts w:asciiTheme="majorBidi" w:hAnsiTheme="majorBidi" w:cstheme="majorBidi"/>
        </w:rPr>
        <w:t>perfluorohexane</w:t>
      </w:r>
      <w:proofErr w:type="spellEnd"/>
      <w:r w:rsidRPr="001923D6">
        <w:rPr>
          <w:rFonts w:asciiTheme="majorBidi" w:hAnsiTheme="majorBidi" w:cstheme="majorBidi"/>
        </w:rPr>
        <w:t xml:space="preserve"> sulfonic acid (</w:t>
      </w:r>
      <w:proofErr w:type="spellStart"/>
      <w:r w:rsidRPr="001923D6">
        <w:rPr>
          <w:rFonts w:asciiTheme="majorBidi" w:hAnsiTheme="majorBidi" w:cstheme="majorBidi"/>
        </w:rPr>
        <w:t>PFHxS</w:t>
      </w:r>
      <w:proofErr w:type="spellEnd"/>
      <w:r w:rsidRPr="001923D6">
        <w:rPr>
          <w:rFonts w:asciiTheme="majorBidi" w:hAnsiTheme="majorBidi" w:cstheme="majorBidi"/>
        </w:rPr>
        <w:t xml:space="preserve">), its salts and </w:t>
      </w:r>
      <w:proofErr w:type="spellStart"/>
      <w:r w:rsidRPr="001923D6">
        <w:rPr>
          <w:rFonts w:asciiTheme="majorBidi" w:hAnsiTheme="majorBidi" w:cstheme="majorBidi"/>
        </w:rPr>
        <w:t>PFHxS</w:t>
      </w:r>
      <w:proofErr w:type="spellEnd"/>
      <w:r w:rsidRPr="001923D6">
        <w:rPr>
          <w:rFonts w:asciiTheme="majorBidi" w:hAnsiTheme="majorBidi" w:cstheme="majorBidi"/>
        </w:rPr>
        <w:t xml:space="preserve">-related compounds in accordance with paragraph 6 of Article 8 of the Convention, </w:t>
      </w:r>
    </w:p>
    <w:p w:rsidR="00090370" w:rsidRPr="001923D6" w:rsidRDefault="00090370" w:rsidP="00090370">
      <w:pPr>
        <w:pStyle w:val="NormalNonumber"/>
        <w:tabs>
          <w:tab w:val="left" w:pos="624"/>
        </w:tabs>
        <w:ind w:firstLine="624"/>
        <w:rPr>
          <w:rFonts w:asciiTheme="majorBidi" w:hAnsiTheme="majorBidi" w:cstheme="majorBidi"/>
        </w:rPr>
      </w:pPr>
      <w:r w:rsidRPr="001923D6">
        <w:rPr>
          <w:rFonts w:asciiTheme="majorBidi" w:hAnsiTheme="majorBidi" w:cstheme="majorBidi"/>
        </w:rPr>
        <w:t>1.</w:t>
      </w:r>
      <w:r w:rsidRPr="001923D6">
        <w:rPr>
          <w:rFonts w:asciiTheme="majorBidi" w:hAnsiTheme="majorBidi" w:cstheme="majorBidi"/>
        </w:rPr>
        <w:tab/>
      </w:r>
      <w:r w:rsidRPr="001923D6">
        <w:rPr>
          <w:rFonts w:asciiTheme="majorBidi" w:hAnsiTheme="majorBidi" w:cstheme="majorBidi"/>
          <w:i/>
          <w:iCs/>
        </w:rPr>
        <w:t>Adopts</w:t>
      </w:r>
      <w:r w:rsidRPr="001923D6">
        <w:rPr>
          <w:rFonts w:asciiTheme="majorBidi" w:hAnsiTheme="majorBidi" w:cstheme="majorBidi"/>
        </w:rPr>
        <w:t xml:space="preserve"> the risk </w:t>
      </w:r>
      <w:r w:rsidRPr="001923D6">
        <w:rPr>
          <w:rFonts w:asciiTheme="majorBidi" w:hAnsiTheme="majorBidi" w:cstheme="majorBidi"/>
          <w:iCs/>
        </w:rPr>
        <w:t>profile</w:t>
      </w:r>
      <w:r w:rsidRPr="001923D6">
        <w:rPr>
          <w:rFonts w:asciiTheme="majorBidi" w:hAnsiTheme="majorBidi" w:cstheme="majorBidi"/>
        </w:rPr>
        <w:t xml:space="preserve"> for </w:t>
      </w:r>
      <w:proofErr w:type="spellStart"/>
      <w:r w:rsidRPr="001923D6">
        <w:rPr>
          <w:rFonts w:asciiTheme="majorBidi" w:hAnsiTheme="majorBidi" w:cstheme="majorBidi"/>
        </w:rPr>
        <w:t>perfluorohexane</w:t>
      </w:r>
      <w:proofErr w:type="spellEnd"/>
      <w:r w:rsidRPr="001923D6">
        <w:rPr>
          <w:rFonts w:asciiTheme="majorBidi" w:hAnsiTheme="majorBidi" w:cstheme="majorBidi"/>
        </w:rPr>
        <w:t xml:space="preserve"> sulfonic acid (</w:t>
      </w:r>
      <w:proofErr w:type="spellStart"/>
      <w:r w:rsidRPr="001923D6">
        <w:rPr>
          <w:rFonts w:asciiTheme="majorBidi" w:hAnsiTheme="majorBidi" w:cstheme="majorBidi"/>
        </w:rPr>
        <w:t>PFHxS</w:t>
      </w:r>
      <w:proofErr w:type="spellEnd"/>
      <w:r w:rsidRPr="001923D6">
        <w:rPr>
          <w:rFonts w:asciiTheme="majorBidi" w:hAnsiTheme="majorBidi" w:cstheme="majorBidi"/>
        </w:rPr>
        <w:t xml:space="preserve">), its salts and </w:t>
      </w:r>
      <w:r w:rsidRPr="001923D6">
        <w:rPr>
          <w:rFonts w:asciiTheme="majorBidi" w:hAnsiTheme="majorBidi" w:cstheme="majorBidi"/>
        </w:rPr>
        <w:br/>
      </w:r>
      <w:proofErr w:type="spellStart"/>
      <w:r w:rsidRPr="001923D6">
        <w:rPr>
          <w:rFonts w:asciiTheme="majorBidi" w:hAnsiTheme="majorBidi" w:cstheme="majorBidi"/>
        </w:rPr>
        <w:t>PFHxS</w:t>
      </w:r>
      <w:proofErr w:type="spellEnd"/>
      <w:r w:rsidRPr="001923D6">
        <w:rPr>
          <w:rFonts w:asciiTheme="majorBidi" w:hAnsiTheme="majorBidi" w:cstheme="majorBidi"/>
        </w:rPr>
        <w:t>-related compounds;</w:t>
      </w:r>
      <w:r w:rsidRPr="001923D6">
        <w:rPr>
          <w:rFonts w:asciiTheme="majorBidi" w:hAnsiTheme="majorBidi" w:cstheme="majorBidi"/>
          <w:vertAlign w:val="superscript"/>
        </w:rPr>
        <w:footnoteReference w:id="1"/>
      </w:r>
    </w:p>
    <w:p w:rsidR="00090370" w:rsidRPr="001923D6" w:rsidRDefault="00090370" w:rsidP="00090370">
      <w:pPr>
        <w:pStyle w:val="NormalNonumber"/>
        <w:tabs>
          <w:tab w:val="left" w:pos="624"/>
        </w:tabs>
        <w:ind w:firstLine="624"/>
        <w:rPr>
          <w:rFonts w:asciiTheme="majorBidi" w:hAnsiTheme="majorBidi" w:cstheme="majorBidi"/>
        </w:rPr>
      </w:pPr>
      <w:r w:rsidRPr="001923D6">
        <w:rPr>
          <w:rFonts w:asciiTheme="majorBidi" w:hAnsiTheme="majorBidi" w:cstheme="majorBidi"/>
        </w:rPr>
        <w:t>2.</w:t>
      </w:r>
      <w:r w:rsidRPr="001923D6">
        <w:rPr>
          <w:rFonts w:asciiTheme="majorBidi" w:hAnsiTheme="majorBidi" w:cstheme="majorBidi"/>
        </w:rPr>
        <w:tab/>
      </w:r>
      <w:r w:rsidRPr="001923D6">
        <w:rPr>
          <w:rFonts w:asciiTheme="majorBidi" w:hAnsiTheme="majorBidi" w:cstheme="majorBidi"/>
          <w:i/>
        </w:rPr>
        <w:t>Decides</w:t>
      </w:r>
      <w:r w:rsidRPr="001923D6">
        <w:rPr>
          <w:rFonts w:asciiTheme="majorBidi" w:hAnsiTheme="majorBidi" w:cstheme="majorBidi"/>
        </w:rPr>
        <w:t xml:space="preserve">, in accordance with paragraph 7 (a) of Article 8 of the Convention, that </w:t>
      </w:r>
      <w:proofErr w:type="spellStart"/>
      <w:r w:rsidRPr="001923D6">
        <w:rPr>
          <w:rFonts w:asciiTheme="majorBidi" w:hAnsiTheme="majorBidi" w:cstheme="majorBidi"/>
        </w:rPr>
        <w:t>perfluorohexane</w:t>
      </w:r>
      <w:proofErr w:type="spellEnd"/>
      <w:r w:rsidRPr="001923D6">
        <w:rPr>
          <w:rFonts w:asciiTheme="majorBidi" w:hAnsiTheme="majorBidi" w:cstheme="majorBidi"/>
        </w:rPr>
        <w:t xml:space="preserve"> sulfonic acid (</w:t>
      </w:r>
      <w:proofErr w:type="spellStart"/>
      <w:r w:rsidRPr="001923D6">
        <w:rPr>
          <w:rFonts w:asciiTheme="majorBidi" w:hAnsiTheme="majorBidi" w:cstheme="majorBidi"/>
        </w:rPr>
        <w:t>PFHxS</w:t>
      </w:r>
      <w:proofErr w:type="spellEnd"/>
      <w:r w:rsidRPr="001923D6">
        <w:rPr>
          <w:rFonts w:asciiTheme="majorBidi" w:hAnsiTheme="majorBidi" w:cstheme="majorBidi"/>
        </w:rPr>
        <w:t xml:space="preserve">), its salts and </w:t>
      </w:r>
      <w:proofErr w:type="spellStart"/>
      <w:r w:rsidRPr="001923D6">
        <w:rPr>
          <w:rFonts w:asciiTheme="majorBidi" w:hAnsiTheme="majorBidi" w:cstheme="majorBidi"/>
        </w:rPr>
        <w:t>PFHxS</w:t>
      </w:r>
      <w:proofErr w:type="spellEnd"/>
      <w:r w:rsidRPr="001923D6">
        <w:rPr>
          <w:rFonts w:asciiTheme="majorBidi" w:hAnsiTheme="majorBidi" w:cstheme="majorBidi"/>
        </w:rPr>
        <w:t xml:space="preserve">-related compounds are likely </w:t>
      </w:r>
      <w:proofErr w:type="gramStart"/>
      <w:r w:rsidRPr="001923D6">
        <w:rPr>
          <w:rFonts w:asciiTheme="majorBidi" w:hAnsiTheme="majorBidi" w:cstheme="majorBidi"/>
        </w:rPr>
        <w:t>as a result of</w:t>
      </w:r>
      <w:proofErr w:type="gramEnd"/>
      <w:r w:rsidRPr="001923D6">
        <w:rPr>
          <w:rFonts w:asciiTheme="majorBidi" w:hAnsiTheme="majorBidi" w:cstheme="majorBidi"/>
        </w:rPr>
        <w:t xml:space="preserve"> their long</w:t>
      </w:r>
      <w:r w:rsidRPr="001923D6">
        <w:rPr>
          <w:rFonts w:asciiTheme="majorBidi" w:hAnsiTheme="majorBidi" w:cstheme="majorBidi"/>
        </w:rPr>
        <w:noBreakHyphen/>
        <w:t xml:space="preserve">range environmental transport to lead to significant adverse human health and environmental effects such that global action is warranted; </w:t>
      </w:r>
    </w:p>
    <w:p w:rsidR="00090370" w:rsidRPr="001923D6" w:rsidRDefault="00090370" w:rsidP="00090370">
      <w:pPr>
        <w:pStyle w:val="NormalNonumber"/>
        <w:tabs>
          <w:tab w:val="left" w:pos="624"/>
        </w:tabs>
        <w:ind w:firstLine="624"/>
        <w:rPr>
          <w:rFonts w:asciiTheme="majorBidi" w:hAnsiTheme="majorBidi" w:cstheme="majorBidi"/>
        </w:rPr>
      </w:pPr>
      <w:r w:rsidRPr="001923D6">
        <w:rPr>
          <w:rFonts w:asciiTheme="majorBidi" w:hAnsiTheme="majorBidi" w:cstheme="majorBidi"/>
        </w:rPr>
        <w:t>3.</w:t>
      </w:r>
      <w:r w:rsidRPr="001923D6">
        <w:rPr>
          <w:rFonts w:asciiTheme="majorBidi" w:hAnsiTheme="majorBidi" w:cstheme="majorBidi"/>
        </w:rPr>
        <w:tab/>
      </w:r>
      <w:r w:rsidRPr="001923D6">
        <w:rPr>
          <w:rFonts w:asciiTheme="majorBidi" w:hAnsiTheme="majorBidi" w:cstheme="majorBidi"/>
          <w:i/>
          <w:iCs/>
        </w:rPr>
        <w:t>Also decides,</w:t>
      </w:r>
      <w:r w:rsidRPr="001923D6">
        <w:rPr>
          <w:rFonts w:asciiTheme="majorBidi" w:hAnsiTheme="majorBidi" w:cstheme="majorBidi"/>
        </w:rPr>
        <w:t xml:space="preserve"> in accordance with paragraph 7 (a) of Article 8 of the Convention and paragraph 29 of the annex to decision SC-1/7 of the Conference of the Parties, to establish an intersessional working group to prepare a risk management evaluation that includes an analysis of possible control measures for </w:t>
      </w:r>
      <w:proofErr w:type="spellStart"/>
      <w:r w:rsidRPr="001923D6">
        <w:rPr>
          <w:rFonts w:asciiTheme="majorBidi" w:hAnsiTheme="majorBidi" w:cstheme="majorBidi"/>
        </w:rPr>
        <w:t>perfluorohexane</w:t>
      </w:r>
      <w:proofErr w:type="spellEnd"/>
      <w:r w:rsidRPr="001923D6">
        <w:rPr>
          <w:rFonts w:asciiTheme="majorBidi" w:hAnsiTheme="majorBidi" w:cstheme="majorBidi"/>
        </w:rPr>
        <w:t xml:space="preserve"> sulfonic acid (</w:t>
      </w:r>
      <w:proofErr w:type="spellStart"/>
      <w:r w:rsidRPr="001923D6">
        <w:rPr>
          <w:rFonts w:asciiTheme="majorBidi" w:hAnsiTheme="majorBidi" w:cstheme="majorBidi"/>
        </w:rPr>
        <w:t>PFHxS</w:t>
      </w:r>
      <w:proofErr w:type="spellEnd"/>
      <w:r w:rsidRPr="001923D6">
        <w:rPr>
          <w:rFonts w:asciiTheme="majorBidi" w:hAnsiTheme="majorBidi" w:cstheme="majorBidi"/>
        </w:rPr>
        <w:t xml:space="preserve">), its salts and </w:t>
      </w:r>
      <w:proofErr w:type="spellStart"/>
      <w:r w:rsidRPr="001923D6">
        <w:rPr>
          <w:rFonts w:asciiTheme="majorBidi" w:hAnsiTheme="majorBidi" w:cstheme="majorBidi"/>
        </w:rPr>
        <w:t>PFHxS</w:t>
      </w:r>
      <w:proofErr w:type="spellEnd"/>
      <w:r w:rsidRPr="001923D6">
        <w:rPr>
          <w:rFonts w:asciiTheme="majorBidi" w:hAnsiTheme="majorBidi" w:cstheme="majorBidi"/>
        </w:rPr>
        <w:t xml:space="preserve">-related compounds in accordance with Annex F to the Convention; </w:t>
      </w:r>
    </w:p>
    <w:p w:rsidR="00090370" w:rsidRPr="001923D6" w:rsidRDefault="00090370" w:rsidP="00090370">
      <w:pPr>
        <w:pStyle w:val="NormalNonumber"/>
        <w:tabs>
          <w:tab w:val="left" w:pos="624"/>
        </w:tabs>
        <w:spacing w:after="160"/>
        <w:ind w:left="1253" w:firstLine="619"/>
        <w:rPr>
          <w:rFonts w:asciiTheme="majorBidi" w:hAnsiTheme="majorBidi" w:cstheme="majorBidi"/>
        </w:rPr>
      </w:pPr>
      <w:r w:rsidRPr="001923D6">
        <w:rPr>
          <w:rFonts w:asciiTheme="majorBidi" w:hAnsiTheme="majorBidi" w:cstheme="majorBidi"/>
        </w:rPr>
        <w:t>4.</w:t>
      </w:r>
      <w:r w:rsidRPr="001923D6">
        <w:rPr>
          <w:rFonts w:asciiTheme="majorBidi" w:hAnsiTheme="majorBidi" w:cstheme="majorBidi"/>
        </w:rPr>
        <w:tab/>
      </w:r>
      <w:r w:rsidRPr="001923D6">
        <w:rPr>
          <w:rFonts w:asciiTheme="majorBidi" w:hAnsiTheme="majorBidi" w:cstheme="majorBidi"/>
          <w:i/>
          <w:iCs/>
        </w:rPr>
        <w:t>Invites,</w:t>
      </w:r>
      <w:r w:rsidRPr="001923D6">
        <w:rPr>
          <w:rFonts w:asciiTheme="majorBidi" w:hAnsiTheme="majorBidi" w:cstheme="majorBidi"/>
        </w:rPr>
        <w:t xml:space="preserve"> in accordance with paragraph 7 (a) of Article 8 of the Convention, Parties and observers to submit to the Secretariat the information specified in Annex F by 26 November 2018</w:t>
      </w:r>
      <w:r w:rsidRPr="001923D6">
        <w:rPr>
          <w:rFonts w:asciiTheme="majorBidi" w:hAnsiTheme="majorBidi" w:cstheme="majorBidi"/>
          <w:szCs w:val="24"/>
          <w:lang w:eastAsia="zh-CN"/>
        </w:rPr>
        <w:t>.</w:t>
      </w:r>
    </w:p>
    <w:p w:rsidR="00CF7497" w:rsidRDefault="00090370" w:rsidP="00090370">
      <w:r>
        <w:tab/>
      </w:r>
      <w:r>
        <w:tab/>
      </w:r>
    </w:p>
    <w:sectPr w:rsidR="00CF7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24F7" w:rsidRDefault="00BE24F7" w:rsidP="00090370">
      <w:r>
        <w:separator/>
      </w:r>
    </w:p>
  </w:endnote>
  <w:endnote w:type="continuationSeparator" w:id="0">
    <w:p w:rsidR="00BE24F7" w:rsidRDefault="00BE24F7" w:rsidP="00090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24F7" w:rsidRDefault="00BE24F7" w:rsidP="00090370">
      <w:r>
        <w:separator/>
      </w:r>
    </w:p>
  </w:footnote>
  <w:footnote w:type="continuationSeparator" w:id="0">
    <w:p w:rsidR="00BE24F7" w:rsidRDefault="00BE24F7" w:rsidP="00090370">
      <w:r>
        <w:continuationSeparator/>
      </w:r>
    </w:p>
  </w:footnote>
  <w:footnote w:id="1">
    <w:p w:rsidR="00090370" w:rsidRPr="00E819CD" w:rsidRDefault="00090370" w:rsidP="00090370">
      <w:pPr>
        <w:pStyle w:val="FootnoteText"/>
        <w:tabs>
          <w:tab w:val="left" w:pos="624"/>
        </w:tabs>
        <w:rPr>
          <w:lang w:val="en-US"/>
        </w:rPr>
      </w:pPr>
      <w:r w:rsidRPr="00E819CD">
        <w:rPr>
          <w:rStyle w:val="FootnoteReference"/>
          <w:rFonts w:eastAsiaTheme="majorEastAsia"/>
        </w:rPr>
        <w:footnoteRef/>
      </w:r>
      <w:r w:rsidRPr="00E819CD">
        <w:rPr>
          <w:rStyle w:val="FootnoteReference"/>
          <w:rFonts w:eastAsiaTheme="majorEastAsia"/>
          <w:lang w:val="en-US"/>
        </w:rPr>
        <w:t xml:space="preserve"> UNEP/POPS/POPRC.14/6/Add.1.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370"/>
    <w:rsid w:val="00090370"/>
    <w:rsid w:val="00304CF0"/>
    <w:rsid w:val="00987DB3"/>
    <w:rsid w:val="009D258D"/>
    <w:rsid w:val="00BE24F7"/>
    <w:rsid w:val="00C873CC"/>
    <w:rsid w:val="00CF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99434"/>
  <w15:chartTrackingRefBased/>
  <w15:docId w15:val="{D17D2CF5-094D-4864-9EC1-34FB847B0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03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2">
    <w:name w:val="CH2"/>
    <w:basedOn w:val="Normal"/>
    <w:next w:val="Normal"/>
    <w:link w:val="CH2Char"/>
    <w:rsid w:val="00090370"/>
    <w:pPr>
      <w:keepNext/>
      <w:keepLines/>
      <w:tabs>
        <w:tab w:val="right" w:pos="851"/>
        <w:tab w:val="left" w:pos="1247"/>
        <w:tab w:val="left" w:pos="1814"/>
        <w:tab w:val="left" w:pos="2381"/>
        <w:tab w:val="left" w:pos="2948"/>
        <w:tab w:val="left" w:pos="3515"/>
        <w:tab w:val="left" w:pos="4082"/>
      </w:tabs>
      <w:suppressAutoHyphens/>
      <w:spacing w:before="80" w:after="120"/>
      <w:ind w:left="1247" w:right="284" w:hanging="1247"/>
    </w:pPr>
    <w:rPr>
      <w:b/>
      <w:bCs/>
      <w:lang w:eastAsia="ru-RU"/>
    </w:rPr>
  </w:style>
  <w:style w:type="paragraph" w:customStyle="1" w:styleId="Normal-pool">
    <w:name w:val="Normal-pool"/>
    <w:link w:val="Normal-poolChar"/>
    <w:rsid w:val="00090370"/>
    <w:pPr>
      <w:tabs>
        <w:tab w:val="left" w:pos="1247"/>
        <w:tab w:val="left" w:pos="1814"/>
        <w:tab w:val="left" w:pos="2381"/>
        <w:tab w:val="left" w:pos="2948"/>
        <w:tab w:val="left" w:pos="3515"/>
        <w:tab w:val="left" w:pos="4082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character" w:styleId="FootnoteReference">
    <w:name w:val="footnote reference"/>
    <w:aliases w:val="16 Point,Superscript 6 Point,number,SUPERS,Footnote Reference Superscript,Footnote Reference1,ftref,(Ref. de nota al pie),Ref,de nota al pie,註腳內容,de nota al pie + (Asian) MS Mincho,11 pt,Ref. de nota de rodapé1,stylish,Footnote symbo"/>
    <w:basedOn w:val="DefaultParagraphFont"/>
    <w:rsid w:val="00090370"/>
    <w:rPr>
      <w:rFonts w:ascii="Times New Roman" w:hAnsi="Times New Roman" w:cs="Times New Roman"/>
      <w:color w:val="auto"/>
      <w:sz w:val="18"/>
      <w:szCs w:val="18"/>
      <w:vertAlign w:val="superscript"/>
    </w:rPr>
  </w:style>
  <w:style w:type="paragraph" w:styleId="FootnoteText">
    <w:name w:val="footnote text"/>
    <w:aliases w:val="Geneva 9,Font: Geneva 9,Boston 10,f,Footnote Text Char Char,Footnote Text Char Char Char Char,Footnote Text1,Footnote Text Char Char Char,93,single space,Footnote Text Rail EIS,ft,Char,footnote3,Footnotes,Footnote ak,fn cafc,fn Char Char,C"/>
    <w:basedOn w:val="Normal"/>
    <w:link w:val="FootnoteTextChar"/>
    <w:qFormat/>
    <w:rsid w:val="00090370"/>
    <w:pPr>
      <w:tabs>
        <w:tab w:val="left" w:pos="1247"/>
        <w:tab w:val="left" w:pos="1814"/>
        <w:tab w:val="left" w:pos="2381"/>
        <w:tab w:val="left" w:pos="2948"/>
        <w:tab w:val="left" w:pos="3515"/>
        <w:tab w:val="left" w:pos="4082"/>
      </w:tabs>
      <w:spacing w:before="20" w:after="40"/>
      <w:ind w:left="1247"/>
    </w:pPr>
    <w:rPr>
      <w:sz w:val="18"/>
      <w:szCs w:val="18"/>
      <w:lang w:val="fr-FR" w:eastAsia="ru-RU"/>
    </w:rPr>
  </w:style>
  <w:style w:type="character" w:customStyle="1" w:styleId="FootnoteTextChar">
    <w:name w:val="Footnote Text Char"/>
    <w:aliases w:val="Geneva 9 Char,Font: Geneva 9 Char,Boston 10 Char,f Char,Footnote Text Char Char Char1,Footnote Text Char Char Char Char Char,Footnote Text1 Char,Footnote Text Char Char Char Char1,93 Char,single space Char,Footnote Text Rail EIS Char"/>
    <w:basedOn w:val="DefaultParagraphFont"/>
    <w:link w:val="FootnoteText"/>
    <w:rsid w:val="00090370"/>
    <w:rPr>
      <w:rFonts w:ascii="Times New Roman" w:eastAsia="Times New Roman" w:hAnsi="Times New Roman" w:cs="Times New Roman"/>
      <w:sz w:val="18"/>
      <w:szCs w:val="18"/>
      <w:lang w:val="fr-FR" w:eastAsia="ru-RU"/>
    </w:rPr>
  </w:style>
  <w:style w:type="paragraph" w:customStyle="1" w:styleId="NormalNonumber">
    <w:name w:val="Normal_No_number"/>
    <w:basedOn w:val="Normal"/>
    <w:rsid w:val="00090370"/>
    <w:pPr>
      <w:tabs>
        <w:tab w:val="left" w:pos="1247"/>
        <w:tab w:val="left" w:pos="1814"/>
        <w:tab w:val="left" w:pos="2381"/>
        <w:tab w:val="left" w:pos="2948"/>
        <w:tab w:val="left" w:pos="3515"/>
        <w:tab w:val="left" w:pos="4082"/>
      </w:tabs>
      <w:spacing w:after="120"/>
      <w:ind w:left="1247"/>
    </w:pPr>
    <w:rPr>
      <w:sz w:val="20"/>
      <w:szCs w:val="20"/>
    </w:rPr>
  </w:style>
  <w:style w:type="character" w:customStyle="1" w:styleId="CH2Char">
    <w:name w:val="CH2 Char"/>
    <w:link w:val="CH2"/>
    <w:locked/>
    <w:rsid w:val="00090370"/>
    <w:rPr>
      <w:rFonts w:ascii="Times New Roman" w:eastAsia="Times New Roman" w:hAnsi="Times New Roman" w:cs="Times New Roman"/>
      <w:b/>
      <w:bCs/>
      <w:sz w:val="24"/>
      <w:szCs w:val="24"/>
      <w:lang w:val="en-GB" w:eastAsia="ru-RU"/>
    </w:rPr>
  </w:style>
  <w:style w:type="character" w:customStyle="1" w:styleId="Normal-poolChar">
    <w:name w:val="Normal-pool Char"/>
    <w:link w:val="Normal-pool"/>
    <w:rsid w:val="00090370"/>
    <w:rPr>
      <w:rFonts w:ascii="Times New Roman" w:eastAsia="Times New Roman" w:hAnsi="Times New Roman" w:cs="Times New Roman"/>
      <w:sz w:val="20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Gong</dc:creator>
  <cp:keywords/>
  <dc:description/>
  <cp:lastModifiedBy>Le Gong</cp:lastModifiedBy>
  <cp:revision>1</cp:revision>
  <dcterms:created xsi:type="dcterms:W3CDTF">2019-01-02T16:13:00Z</dcterms:created>
  <dcterms:modified xsi:type="dcterms:W3CDTF">2019-01-02T16:14:00Z</dcterms:modified>
</cp:coreProperties>
</file>