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7A4" w:rsidRPr="00CA47A4" w:rsidRDefault="00CA47A4" w:rsidP="00CA47A4">
      <w:pPr>
        <w:keepNext/>
        <w:keepLines/>
        <w:tabs>
          <w:tab w:val="left" w:pos="1247"/>
          <w:tab w:val="left" w:pos="1814"/>
          <w:tab w:val="left" w:pos="2381"/>
          <w:tab w:val="left" w:pos="2948"/>
          <w:tab w:val="left" w:pos="3515"/>
          <w:tab w:val="left" w:pos="4082"/>
        </w:tabs>
        <w:suppressAutoHyphens/>
        <w:spacing w:before="320" w:after="240" w:line="240" w:lineRule="auto"/>
        <w:ind w:left="1247" w:right="567"/>
        <w:rPr>
          <w:rFonts w:ascii="Times New Roman" w:eastAsia="Times New Roman" w:hAnsi="Times New Roman" w:cs="Times New Roman"/>
          <w:b/>
          <w:i/>
          <w:sz w:val="28"/>
          <w:szCs w:val="28"/>
          <w:lang w:val="en-GB"/>
        </w:rPr>
      </w:pPr>
      <w:r w:rsidRPr="00CA47A4">
        <w:rPr>
          <w:rFonts w:ascii="Times New Roman" w:eastAsia="Times New Roman" w:hAnsi="Times New Roman" w:cs="Times New Roman"/>
          <w:b/>
          <w:sz w:val="28"/>
          <w:szCs w:val="28"/>
          <w:lang w:val="en-GB"/>
        </w:rPr>
        <w:t>POPRC-</w:t>
      </w:r>
      <w:r w:rsidRPr="00CA47A4">
        <w:rPr>
          <w:rFonts w:ascii="Times New Roman" w:eastAsia="Times New Roman" w:hAnsi="Times New Roman" w:cs="Times New Roman"/>
          <w:b/>
          <w:sz w:val="28"/>
          <w:szCs w:val="28"/>
          <w:lang w:val="en-GB" w:eastAsia="ja-JP"/>
        </w:rPr>
        <w:t>12</w:t>
      </w:r>
      <w:r w:rsidRPr="00CA47A4">
        <w:rPr>
          <w:rFonts w:ascii="Times New Roman" w:eastAsia="Times New Roman" w:hAnsi="Times New Roman" w:cs="Times New Roman"/>
          <w:b/>
          <w:sz w:val="28"/>
          <w:szCs w:val="28"/>
          <w:lang w:val="en-GB"/>
        </w:rPr>
        <w:t>/4: Decabromodiphenyl ether (commercial mixture, c-decaBDE)</w:t>
      </w:r>
      <w:r w:rsidRPr="00CA47A4">
        <w:rPr>
          <w:rFonts w:ascii="Times New Roman" w:eastAsia="Times New Roman" w:hAnsi="Times New Roman" w:cs="Times New Roman"/>
          <w:b/>
          <w:i/>
          <w:sz w:val="28"/>
          <w:szCs w:val="28"/>
          <w:lang w:val="en-GB"/>
        </w:rPr>
        <w:t xml:space="preserve"> </w:t>
      </w:r>
    </w:p>
    <w:p w:rsidR="00CA47A4" w:rsidRPr="00CA47A4" w:rsidRDefault="00CA47A4" w:rsidP="00CA47A4">
      <w:pPr>
        <w:tabs>
          <w:tab w:val="left" w:pos="624"/>
        </w:tabs>
        <w:spacing w:after="120" w:line="240" w:lineRule="auto"/>
        <w:ind w:left="1247" w:firstLine="624"/>
        <w:rPr>
          <w:rFonts w:ascii="Times New Roman" w:eastAsia="Times New Roman" w:hAnsi="Times New Roman" w:cs="Times New Roman"/>
          <w:i/>
          <w:sz w:val="20"/>
          <w:szCs w:val="20"/>
          <w:lang w:val="en-GB"/>
        </w:rPr>
      </w:pPr>
      <w:r w:rsidRPr="00CA47A4">
        <w:rPr>
          <w:rFonts w:ascii="Times New Roman" w:eastAsia="Times New Roman" w:hAnsi="Times New Roman" w:cs="Times New Roman"/>
          <w:i/>
          <w:sz w:val="20"/>
          <w:szCs w:val="20"/>
          <w:lang w:val="en-GB"/>
        </w:rPr>
        <w:t>The Persistent Organic Pollutants Review Committee,</w:t>
      </w:r>
    </w:p>
    <w:p w:rsidR="00CA47A4" w:rsidRPr="00CA47A4" w:rsidRDefault="00CA47A4" w:rsidP="00CA47A4">
      <w:pPr>
        <w:tabs>
          <w:tab w:val="left" w:pos="624"/>
        </w:tabs>
        <w:spacing w:after="120" w:line="240" w:lineRule="auto"/>
        <w:ind w:left="1247" w:firstLine="624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CA47A4">
        <w:rPr>
          <w:rFonts w:ascii="Times New Roman" w:eastAsia="Times New Roman" w:hAnsi="Times New Roman" w:cs="Times New Roman"/>
          <w:i/>
          <w:sz w:val="20"/>
          <w:szCs w:val="20"/>
          <w:lang w:val="en-GB"/>
        </w:rPr>
        <w:t xml:space="preserve">Recalling </w:t>
      </w:r>
      <w:r w:rsidRPr="00CA47A4">
        <w:rPr>
          <w:rFonts w:ascii="Times New Roman" w:eastAsia="Times New Roman" w:hAnsi="Times New Roman" w:cs="Times New Roman"/>
          <w:sz w:val="20"/>
          <w:szCs w:val="20"/>
          <w:lang w:val="en-GB"/>
        </w:rPr>
        <w:t>its decision POPRC-11/1, by which it recommended to the Conference of the Parties that it consider listing decabromodiphenyl ether (BDE-209) of c-decaBDE in Annex A to the Convention with specific exemptions for some critical spare parts, to be defined, for the automotive and aerospace industries,</w:t>
      </w:r>
    </w:p>
    <w:p w:rsidR="00CA47A4" w:rsidRPr="00CA47A4" w:rsidRDefault="00CA47A4" w:rsidP="00CA47A4">
      <w:pPr>
        <w:tabs>
          <w:tab w:val="left" w:pos="624"/>
        </w:tabs>
        <w:spacing w:after="120" w:line="240" w:lineRule="auto"/>
        <w:ind w:left="1247" w:firstLine="624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CA47A4">
        <w:rPr>
          <w:rFonts w:ascii="Times New Roman" w:eastAsia="Times New Roman" w:hAnsi="Times New Roman" w:cs="Times New Roman"/>
          <w:i/>
          <w:sz w:val="20"/>
          <w:szCs w:val="20"/>
          <w:lang w:val="en-GB"/>
        </w:rPr>
        <w:t>Having</w:t>
      </w:r>
      <w:r w:rsidRPr="00CA47A4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assessed the information provided in accordance with paragraph 3 of decision </w:t>
      </w:r>
      <w:r w:rsidRPr="00CA47A4">
        <w:rPr>
          <w:rFonts w:ascii="Times New Roman" w:eastAsia="Times New Roman" w:hAnsi="Times New Roman" w:cs="Times New Roman"/>
          <w:sz w:val="20"/>
          <w:szCs w:val="20"/>
          <w:lang w:val="en-GB"/>
        </w:rPr>
        <w:br/>
        <w:t>POPRC-11/1,</w:t>
      </w:r>
      <w:r w:rsidRPr="00CA47A4">
        <w:rPr>
          <w:rFonts w:ascii="Times New Roman" w:eastAsia="Times New Roman" w:hAnsi="Times New Roman" w:cs="Times New Roman"/>
          <w:sz w:val="20"/>
          <w:szCs w:val="18"/>
          <w:vertAlign w:val="superscript"/>
          <w:lang w:val="en-GB"/>
        </w:rPr>
        <w:t xml:space="preserve"> </w:t>
      </w:r>
      <w:r w:rsidRPr="00CA47A4">
        <w:rPr>
          <w:rFonts w:ascii="Times New Roman" w:eastAsia="Times New Roman" w:hAnsi="Times New Roman" w:cs="Times New Roman"/>
          <w:sz w:val="20"/>
          <w:szCs w:val="18"/>
          <w:vertAlign w:val="superscript"/>
          <w:lang w:val="en-GB"/>
        </w:rPr>
        <w:footnoteReference w:id="1"/>
      </w:r>
    </w:p>
    <w:p w:rsidR="00CA47A4" w:rsidRPr="00CA47A4" w:rsidRDefault="00CA47A4" w:rsidP="00CA47A4">
      <w:pPr>
        <w:numPr>
          <w:ilvl w:val="0"/>
          <w:numId w:val="4"/>
        </w:numPr>
        <w:tabs>
          <w:tab w:val="left" w:pos="624"/>
          <w:tab w:val="left" w:pos="1247"/>
          <w:tab w:val="left" w:pos="1814"/>
          <w:tab w:val="left" w:pos="2381"/>
          <w:tab w:val="left" w:pos="2948"/>
          <w:tab w:val="left" w:pos="3515"/>
        </w:tabs>
        <w:spacing w:after="120" w:line="240" w:lineRule="auto"/>
        <w:ind w:firstLine="624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CA47A4">
        <w:rPr>
          <w:rFonts w:ascii="Times New Roman" w:eastAsia="Times New Roman" w:hAnsi="Times New Roman" w:cs="Times New Roman"/>
          <w:i/>
          <w:sz w:val="20"/>
          <w:szCs w:val="20"/>
          <w:lang w:val="en-GB"/>
        </w:rPr>
        <w:t>Adopts</w:t>
      </w:r>
      <w:r w:rsidRPr="00CA47A4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the addendum to the risk management evaluation for decabromodiphenyl ether (commercial mixture, c-decaBDE);</w:t>
      </w:r>
      <w:r w:rsidRPr="00CA47A4">
        <w:rPr>
          <w:rFonts w:ascii="Times New Roman" w:eastAsia="Times New Roman" w:hAnsi="Times New Roman" w:cs="Times New Roman"/>
          <w:sz w:val="20"/>
          <w:szCs w:val="20"/>
          <w:vertAlign w:val="superscript"/>
          <w:lang w:val="en-GB"/>
        </w:rPr>
        <w:footnoteReference w:id="2"/>
      </w:r>
    </w:p>
    <w:p w:rsidR="00CA47A4" w:rsidRPr="00CA47A4" w:rsidRDefault="00CA47A4" w:rsidP="00CA47A4">
      <w:pPr>
        <w:numPr>
          <w:ilvl w:val="0"/>
          <w:numId w:val="4"/>
        </w:numPr>
        <w:tabs>
          <w:tab w:val="left" w:pos="624"/>
          <w:tab w:val="left" w:pos="1247"/>
          <w:tab w:val="left" w:pos="1814"/>
          <w:tab w:val="left" w:pos="2381"/>
          <w:tab w:val="left" w:pos="2948"/>
          <w:tab w:val="left" w:pos="3515"/>
        </w:tabs>
        <w:spacing w:after="120" w:line="240" w:lineRule="auto"/>
        <w:ind w:firstLine="624"/>
        <w:rPr>
          <w:rFonts w:ascii="Times New Roman" w:eastAsia="Times New Roman" w:hAnsi="Times New Roman" w:cs="Times New Roman"/>
          <w:i/>
          <w:sz w:val="20"/>
          <w:szCs w:val="20"/>
          <w:lang w:val="en-GB"/>
        </w:rPr>
      </w:pPr>
      <w:r w:rsidRPr="00CA47A4">
        <w:rPr>
          <w:rFonts w:ascii="Times New Roman" w:eastAsia="Times New Roman" w:hAnsi="Times New Roman" w:cs="Times New Roman"/>
          <w:i/>
          <w:sz w:val="20"/>
          <w:szCs w:val="20"/>
          <w:lang w:val="en-GB"/>
        </w:rPr>
        <w:t xml:space="preserve">Decides, </w:t>
      </w:r>
      <w:r w:rsidRPr="00CA47A4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in accordance with paragraph 9 of Article 8 of the Convention, to recommend to the Conference of the Parties that it consider listing decabromodiphenyl ether (BDE-209) of </w:t>
      </w:r>
      <w:r w:rsidRPr="00CA47A4">
        <w:rPr>
          <w:rFonts w:ascii="Times New Roman" w:eastAsia="Times New Roman" w:hAnsi="Times New Roman" w:cs="Times New Roman"/>
          <w:sz w:val="20"/>
          <w:szCs w:val="20"/>
          <w:lang w:val="en-GB"/>
        </w:rPr>
        <w:br/>
        <w:t>c-decaBDE in Annex A to the Convention with specific exemptions for the automotive industry, with the production and use of c-decaBDE limited to parts for use in legacy vehicles, defined as vehicles that have ceased mass production, and with such parts falling in one or more of the following categories:</w:t>
      </w:r>
    </w:p>
    <w:p w:rsidR="00CA47A4" w:rsidRPr="00CA47A4" w:rsidRDefault="00CA47A4" w:rsidP="00CA47A4">
      <w:pPr>
        <w:numPr>
          <w:ilvl w:val="0"/>
          <w:numId w:val="5"/>
        </w:numPr>
        <w:tabs>
          <w:tab w:val="left" w:pos="624"/>
          <w:tab w:val="left" w:pos="1247"/>
          <w:tab w:val="left" w:pos="1814"/>
          <w:tab w:val="left" w:pos="2381"/>
          <w:tab w:val="left" w:pos="2948"/>
          <w:tab w:val="left" w:pos="3515"/>
        </w:tabs>
        <w:autoSpaceDE w:val="0"/>
        <w:autoSpaceDN w:val="0"/>
        <w:adjustRightInd w:val="0"/>
        <w:snapToGrid w:val="0"/>
        <w:spacing w:after="120" w:line="240" w:lineRule="auto"/>
        <w:ind w:left="1247" w:firstLine="624"/>
        <w:rPr>
          <w:rFonts w:ascii="Times New Roman" w:eastAsia="Calibri" w:hAnsi="Times New Roman" w:cs="Times New Roman"/>
          <w:color w:val="000000"/>
          <w:sz w:val="20"/>
          <w:szCs w:val="20"/>
          <w:lang w:val="en-GB"/>
        </w:rPr>
      </w:pPr>
      <w:r w:rsidRPr="00CA47A4">
        <w:rPr>
          <w:rFonts w:ascii="Times New Roman" w:eastAsia="Calibri" w:hAnsi="Times New Roman" w:cs="Times New Roman"/>
          <w:bCs/>
          <w:iCs/>
          <w:color w:val="000000"/>
          <w:sz w:val="20"/>
          <w:szCs w:val="20"/>
          <w:lang w:val="en-GB"/>
        </w:rPr>
        <w:t>Powertrain and under-hood applications such as battery mass wire, battery interconnection wire, mobile air-conditioning (MAC) pipe, powertrains, exhaust manifold bushings, under-hood insulation, wiring and harness under hood (engine wiring, etc.), speed sensors, hoses, fan modules and knock sensors;</w:t>
      </w:r>
    </w:p>
    <w:p w:rsidR="00CA47A4" w:rsidRPr="00CA47A4" w:rsidRDefault="00CA47A4" w:rsidP="00CA47A4">
      <w:pPr>
        <w:numPr>
          <w:ilvl w:val="0"/>
          <w:numId w:val="5"/>
        </w:numPr>
        <w:tabs>
          <w:tab w:val="left" w:pos="624"/>
          <w:tab w:val="left" w:pos="1247"/>
          <w:tab w:val="left" w:pos="1814"/>
          <w:tab w:val="left" w:pos="2381"/>
          <w:tab w:val="left" w:pos="2948"/>
          <w:tab w:val="left" w:pos="3515"/>
        </w:tabs>
        <w:autoSpaceDE w:val="0"/>
        <w:autoSpaceDN w:val="0"/>
        <w:adjustRightInd w:val="0"/>
        <w:snapToGrid w:val="0"/>
        <w:spacing w:after="120" w:line="240" w:lineRule="auto"/>
        <w:ind w:left="1247" w:firstLine="624"/>
        <w:rPr>
          <w:rFonts w:ascii="Times New Roman" w:eastAsia="Calibri" w:hAnsi="Times New Roman" w:cs="Times New Roman"/>
          <w:color w:val="000000"/>
          <w:sz w:val="20"/>
          <w:szCs w:val="20"/>
          <w:lang w:val="en-GB"/>
        </w:rPr>
      </w:pPr>
      <w:r w:rsidRPr="00CA47A4">
        <w:rPr>
          <w:rFonts w:ascii="Times New Roman" w:eastAsia="Calibri" w:hAnsi="Times New Roman" w:cs="Times New Roman"/>
          <w:bCs/>
          <w:iCs/>
          <w:color w:val="000000"/>
          <w:sz w:val="20"/>
          <w:szCs w:val="20"/>
          <w:lang w:val="en-GB"/>
        </w:rPr>
        <w:t>Fuel system applications such as fuel hoses, fuel tanks and fuel tanks under body;</w:t>
      </w:r>
    </w:p>
    <w:p w:rsidR="00CA47A4" w:rsidRPr="00CA47A4" w:rsidRDefault="00CA47A4" w:rsidP="00CA47A4">
      <w:pPr>
        <w:numPr>
          <w:ilvl w:val="0"/>
          <w:numId w:val="5"/>
        </w:numPr>
        <w:tabs>
          <w:tab w:val="left" w:pos="624"/>
          <w:tab w:val="left" w:pos="1247"/>
          <w:tab w:val="left" w:pos="1814"/>
          <w:tab w:val="left" w:pos="2381"/>
          <w:tab w:val="left" w:pos="2948"/>
          <w:tab w:val="left" w:pos="3515"/>
        </w:tabs>
        <w:autoSpaceDE w:val="0"/>
        <w:autoSpaceDN w:val="0"/>
        <w:adjustRightInd w:val="0"/>
        <w:snapToGrid w:val="0"/>
        <w:spacing w:after="120" w:line="240" w:lineRule="auto"/>
        <w:ind w:left="1247" w:firstLine="624"/>
        <w:rPr>
          <w:rFonts w:ascii="Times New Roman" w:eastAsia="Calibri" w:hAnsi="Times New Roman" w:cs="Times New Roman"/>
          <w:bCs/>
          <w:color w:val="000000"/>
          <w:sz w:val="20"/>
          <w:szCs w:val="20"/>
          <w:lang w:val="en-GB"/>
        </w:rPr>
      </w:pPr>
      <w:r w:rsidRPr="00CA47A4">
        <w:rPr>
          <w:rFonts w:ascii="Times New Roman" w:eastAsia="Calibri" w:hAnsi="Times New Roman" w:cs="Times New Roman"/>
          <w:bCs/>
          <w:color w:val="000000"/>
          <w:sz w:val="20"/>
          <w:szCs w:val="20"/>
          <w:lang w:val="en-GB"/>
        </w:rPr>
        <w:t xml:space="preserve">Pyrotechnical </w:t>
      </w:r>
      <w:r w:rsidRPr="00CA47A4">
        <w:rPr>
          <w:rFonts w:ascii="Times New Roman" w:eastAsia="Calibri" w:hAnsi="Times New Roman" w:cs="Times New Roman"/>
          <w:bCs/>
          <w:iCs/>
          <w:color w:val="000000"/>
          <w:sz w:val="20"/>
          <w:szCs w:val="20"/>
          <w:lang w:val="en-GB"/>
        </w:rPr>
        <w:t>devices</w:t>
      </w:r>
      <w:r w:rsidRPr="00CA47A4">
        <w:rPr>
          <w:rFonts w:ascii="Times New Roman" w:eastAsia="Calibri" w:hAnsi="Times New Roman" w:cs="Times New Roman"/>
          <w:bCs/>
          <w:color w:val="000000"/>
          <w:sz w:val="20"/>
          <w:szCs w:val="20"/>
          <w:lang w:val="en-GB"/>
        </w:rPr>
        <w:t xml:space="preserve"> and applications affected by pyrotechnical devices such as air bag ignition cables, seat covers/fabrics (only if airbag relevant) and airbags (front and side);</w:t>
      </w:r>
    </w:p>
    <w:p w:rsidR="00CA47A4" w:rsidRPr="00CA47A4" w:rsidRDefault="00CA47A4" w:rsidP="00CA47A4">
      <w:pPr>
        <w:numPr>
          <w:ilvl w:val="0"/>
          <w:numId w:val="4"/>
        </w:numPr>
        <w:tabs>
          <w:tab w:val="left" w:pos="624"/>
          <w:tab w:val="left" w:pos="1247"/>
          <w:tab w:val="left" w:pos="1814"/>
          <w:tab w:val="left" w:pos="2381"/>
          <w:tab w:val="left" w:pos="2948"/>
          <w:tab w:val="left" w:pos="3515"/>
        </w:tabs>
        <w:spacing w:after="120" w:line="240" w:lineRule="auto"/>
        <w:ind w:firstLine="624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CA47A4">
        <w:rPr>
          <w:rFonts w:ascii="Times New Roman" w:eastAsia="Times New Roman" w:hAnsi="Times New Roman" w:cs="Times New Roman"/>
          <w:i/>
          <w:sz w:val="20"/>
          <w:szCs w:val="20"/>
          <w:lang w:val="en-GB"/>
        </w:rPr>
        <w:t>Concludes</w:t>
      </w:r>
      <w:r w:rsidRPr="00CA47A4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that the information from the aerospace industry made available to the Committee does not allow the further defining of critical spare parts; </w:t>
      </w:r>
    </w:p>
    <w:p w:rsidR="00CA47A4" w:rsidRPr="00CA47A4" w:rsidRDefault="00CA47A4" w:rsidP="00CA47A4">
      <w:pPr>
        <w:numPr>
          <w:ilvl w:val="0"/>
          <w:numId w:val="4"/>
        </w:numPr>
        <w:tabs>
          <w:tab w:val="left" w:pos="624"/>
          <w:tab w:val="left" w:pos="1247"/>
          <w:tab w:val="left" w:pos="1814"/>
          <w:tab w:val="left" w:pos="2381"/>
          <w:tab w:val="left" w:pos="2948"/>
          <w:tab w:val="left" w:pos="3515"/>
        </w:tabs>
        <w:spacing w:after="120" w:line="240" w:lineRule="auto"/>
        <w:ind w:firstLine="624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CA47A4">
        <w:rPr>
          <w:rFonts w:ascii="Times New Roman" w:eastAsia="Times New Roman" w:hAnsi="Times New Roman" w:cs="Times New Roman"/>
          <w:i/>
          <w:sz w:val="20"/>
          <w:szCs w:val="20"/>
          <w:lang w:val="en-GB"/>
        </w:rPr>
        <w:t>Also concludes</w:t>
      </w:r>
      <w:r w:rsidRPr="00CA47A4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that there is no apparent need for an exemption for textile production in small and medium-size enterprises in developing countries;</w:t>
      </w:r>
    </w:p>
    <w:p w:rsidR="00BD1BC6" w:rsidRPr="00CA47A4" w:rsidRDefault="00CA47A4" w:rsidP="00CA47A4">
      <w:pPr>
        <w:numPr>
          <w:ilvl w:val="0"/>
          <w:numId w:val="4"/>
        </w:numPr>
        <w:tabs>
          <w:tab w:val="left" w:pos="624"/>
          <w:tab w:val="left" w:pos="1247"/>
          <w:tab w:val="left" w:pos="1814"/>
          <w:tab w:val="left" w:pos="2381"/>
          <w:tab w:val="left" w:pos="2948"/>
          <w:tab w:val="left" w:pos="3515"/>
        </w:tabs>
        <w:spacing w:after="120" w:line="240" w:lineRule="auto"/>
        <w:ind w:firstLine="624"/>
        <w:rPr>
          <w:rFonts w:ascii="Times New Roman" w:eastAsia="Times New Roman" w:hAnsi="Times New Roman" w:cs="Times New Roman"/>
          <w:sz w:val="20"/>
          <w:szCs w:val="20"/>
        </w:rPr>
      </w:pPr>
      <w:r w:rsidRPr="00CA47A4">
        <w:rPr>
          <w:rFonts w:ascii="Times New Roman" w:eastAsia="Times New Roman" w:hAnsi="Times New Roman" w:cs="Times New Roman"/>
          <w:i/>
          <w:sz w:val="20"/>
          <w:szCs w:val="20"/>
        </w:rPr>
        <w:t>Notes</w:t>
      </w:r>
      <w:r w:rsidRPr="00CA47A4">
        <w:rPr>
          <w:rFonts w:ascii="Times New Roman" w:eastAsia="Times New Roman" w:hAnsi="Times New Roman" w:cs="Times New Roman"/>
          <w:sz w:val="20"/>
          <w:szCs w:val="20"/>
        </w:rPr>
        <w:t xml:space="preserve"> that the increasing waste burden in developing countries from older vehicles that continue to be serviced with spare parts that contain decaBDE is a concern.</w:t>
      </w:r>
      <w:bookmarkStart w:id="0" w:name="_GoBack"/>
      <w:bookmarkEnd w:id="0"/>
    </w:p>
    <w:sectPr w:rsidR="00BD1BC6" w:rsidRPr="00CA4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05AF" w:rsidRDefault="00B505AF" w:rsidP="004C5746">
      <w:pPr>
        <w:spacing w:after="0" w:line="240" w:lineRule="auto"/>
      </w:pPr>
      <w:r>
        <w:separator/>
      </w:r>
    </w:p>
  </w:endnote>
  <w:endnote w:type="continuationSeparator" w:id="0">
    <w:p w:rsidR="00B505AF" w:rsidRDefault="00B505AF" w:rsidP="004C57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05AF" w:rsidRDefault="00B505AF" w:rsidP="004C5746">
      <w:pPr>
        <w:spacing w:after="0" w:line="240" w:lineRule="auto"/>
      </w:pPr>
      <w:r>
        <w:separator/>
      </w:r>
    </w:p>
  </w:footnote>
  <w:footnote w:type="continuationSeparator" w:id="0">
    <w:p w:rsidR="00B505AF" w:rsidRDefault="00B505AF" w:rsidP="004C5746">
      <w:pPr>
        <w:spacing w:after="0" w:line="240" w:lineRule="auto"/>
      </w:pPr>
      <w:r>
        <w:continuationSeparator/>
      </w:r>
    </w:p>
  </w:footnote>
  <w:footnote w:id="1">
    <w:p w:rsidR="00CA47A4" w:rsidRPr="00F85A7F" w:rsidRDefault="00CA47A4" w:rsidP="00CA47A4">
      <w:pPr>
        <w:pStyle w:val="FootnoteText"/>
      </w:pPr>
      <w:r>
        <w:rPr>
          <w:rStyle w:val="FootnoteReference"/>
        </w:rPr>
        <w:footnoteRef/>
      </w:r>
      <w:r w:rsidRPr="00F85A7F">
        <w:t xml:space="preserve"> UNEP/POPS/POPRC.12/INF/</w:t>
      </w:r>
      <w:r>
        <w:t>9</w:t>
      </w:r>
      <w:r w:rsidRPr="00F85A7F">
        <w:t>/Rev.1.</w:t>
      </w:r>
    </w:p>
  </w:footnote>
  <w:footnote w:id="2">
    <w:p w:rsidR="00CA47A4" w:rsidRPr="006864DD" w:rsidRDefault="00CA47A4" w:rsidP="00CA47A4">
      <w:pPr>
        <w:pStyle w:val="FootnoteText"/>
        <w:tabs>
          <w:tab w:val="left" w:pos="624"/>
        </w:tabs>
        <w:rPr>
          <w:szCs w:val="18"/>
        </w:rPr>
      </w:pPr>
      <w:r w:rsidRPr="006864DD">
        <w:rPr>
          <w:rStyle w:val="FootnoteReference"/>
          <w:sz w:val="18"/>
        </w:rPr>
        <w:footnoteRef/>
      </w:r>
      <w:r w:rsidRPr="006864DD">
        <w:rPr>
          <w:rStyle w:val="FootnoteReference"/>
          <w:sz w:val="18"/>
        </w:rPr>
        <w:t xml:space="preserve"> UNEP/POPS/POPRC.12/1</w:t>
      </w:r>
      <w:r w:rsidRPr="006864DD">
        <w:rPr>
          <w:szCs w:val="18"/>
        </w:rPr>
        <w:t>1</w:t>
      </w:r>
      <w:r w:rsidRPr="006864DD">
        <w:rPr>
          <w:rStyle w:val="FootnoteReference"/>
          <w:sz w:val="18"/>
        </w:rPr>
        <w:t>/Add.</w:t>
      </w:r>
      <w:r w:rsidRPr="006864DD">
        <w:rPr>
          <w:szCs w:val="18"/>
        </w:rPr>
        <w:t>4</w:t>
      </w:r>
      <w:r w:rsidRPr="006864DD">
        <w:rPr>
          <w:rStyle w:val="FootnoteReference"/>
          <w:sz w:val="18"/>
        </w:rP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E27E3"/>
    <w:multiLevelType w:val="hybridMultilevel"/>
    <w:tmpl w:val="DAEC11B6"/>
    <w:lvl w:ilvl="0" w:tplc="ABF41D16">
      <w:start w:val="1"/>
      <w:numFmt w:val="decimal"/>
      <w:lvlText w:val="%1."/>
      <w:lvlJc w:val="left"/>
      <w:pPr>
        <w:ind w:left="25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1113A7"/>
    <w:multiLevelType w:val="multilevel"/>
    <w:tmpl w:val="48241D10"/>
    <w:lvl w:ilvl="0">
      <w:start w:val="1"/>
      <w:numFmt w:val="decimal"/>
      <w:lvlText w:val="%1."/>
      <w:lvlJc w:val="left"/>
      <w:pPr>
        <w:tabs>
          <w:tab w:val="num" w:pos="567"/>
        </w:tabs>
        <w:ind w:left="1247" w:firstLine="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67"/>
        </w:tabs>
        <w:ind w:left="1247" w:firstLine="567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567"/>
        </w:tabs>
        <w:ind w:left="2948" w:hanging="567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567"/>
        </w:tabs>
        <w:ind w:left="3515" w:hanging="56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548"/>
        </w:tabs>
        <w:ind w:left="65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268"/>
        </w:tabs>
        <w:ind w:left="72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988"/>
        </w:tabs>
        <w:ind w:left="79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708"/>
        </w:tabs>
        <w:ind w:left="87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428"/>
        </w:tabs>
        <w:ind w:left="9428" w:hanging="180"/>
      </w:pPr>
      <w:rPr>
        <w:rFonts w:hint="default"/>
      </w:rPr>
    </w:lvl>
  </w:abstractNum>
  <w:abstractNum w:abstractNumId="2">
    <w:nsid w:val="601E3001"/>
    <w:multiLevelType w:val="hybridMultilevel"/>
    <w:tmpl w:val="C6D8DBEA"/>
    <w:lvl w:ilvl="0" w:tplc="E116B680">
      <w:start w:val="1"/>
      <w:numFmt w:val="decimal"/>
      <w:pStyle w:val="Normalnumb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537C15"/>
    <w:multiLevelType w:val="hybridMultilevel"/>
    <w:tmpl w:val="09EA97D4"/>
    <w:lvl w:ilvl="0" w:tplc="5F84B852">
      <w:start w:val="1"/>
      <w:numFmt w:val="lowerLetter"/>
      <w:lvlText w:val="(%1)"/>
      <w:lvlJc w:val="left"/>
      <w:pPr>
        <w:ind w:left="1796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2516" w:hanging="360"/>
      </w:pPr>
    </w:lvl>
    <w:lvl w:ilvl="2" w:tplc="0414001B" w:tentative="1">
      <w:start w:val="1"/>
      <w:numFmt w:val="lowerRoman"/>
      <w:lvlText w:val="%3."/>
      <w:lvlJc w:val="right"/>
      <w:pPr>
        <w:ind w:left="3236" w:hanging="180"/>
      </w:pPr>
    </w:lvl>
    <w:lvl w:ilvl="3" w:tplc="0414000F" w:tentative="1">
      <w:start w:val="1"/>
      <w:numFmt w:val="decimal"/>
      <w:lvlText w:val="%4."/>
      <w:lvlJc w:val="left"/>
      <w:pPr>
        <w:ind w:left="3956" w:hanging="360"/>
      </w:pPr>
    </w:lvl>
    <w:lvl w:ilvl="4" w:tplc="04140019" w:tentative="1">
      <w:start w:val="1"/>
      <w:numFmt w:val="lowerLetter"/>
      <w:lvlText w:val="%5."/>
      <w:lvlJc w:val="left"/>
      <w:pPr>
        <w:ind w:left="4676" w:hanging="360"/>
      </w:pPr>
    </w:lvl>
    <w:lvl w:ilvl="5" w:tplc="0414001B" w:tentative="1">
      <w:start w:val="1"/>
      <w:numFmt w:val="lowerRoman"/>
      <w:lvlText w:val="%6."/>
      <w:lvlJc w:val="right"/>
      <w:pPr>
        <w:ind w:left="5396" w:hanging="180"/>
      </w:pPr>
    </w:lvl>
    <w:lvl w:ilvl="6" w:tplc="0414000F" w:tentative="1">
      <w:start w:val="1"/>
      <w:numFmt w:val="decimal"/>
      <w:lvlText w:val="%7."/>
      <w:lvlJc w:val="left"/>
      <w:pPr>
        <w:ind w:left="6116" w:hanging="360"/>
      </w:pPr>
    </w:lvl>
    <w:lvl w:ilvl="7" w:tplc="04140019" w:tentative="1">
      <w:start w:val="1"/>
      <w:numFmt w:val="lowerLetter"/>
      <w:lvlText w:val="%8."/>
      <w:lvlJc w:val="left"/>
      <w:pPr>
        <w:ind w:left="6836" w:hanging="360"/>
      </w:pPr>
    </w:lvl>
    <w:lvl w:ilvl="8" w:tplc="0414001B" w:tentative="1">
      <w:start w:val="1"/>
      <w:numFmt w:val="lowerRoman"/>
      <w:lvlText w:val="%9."/>
      <w:lvlJc w:val="right"/>
      <w:pPr>
        <w:ind w:left="7556" w:hanging="180"/>
      </w:p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"/>
    <w:lvlOverride w:ilvl="0">
      <w:lvl w:ilvl="0">
        <w:start w:val="1"/>
        <w:numFmt w:val="decimal"/>
        <w:lvlText w:val="%1."/>
        <w:lvlJc w:val="left"/>
        <w:pPr>
          <w:tabs>
            <w:tab w:val="num" w:pos="567"/>
          </w:tabs>
          <w:ind w:left="1247" w:firstLine="0"/>
        </w:pPr>
        <w:rPr>
          <w:rFonts w:hint="default"/>
          <w:b w:val="0"/>
          <w:i w:val="0"/>
        </w:rPr>
      </w:lvl>
    </w:lvlOverride>
    <w:lvlOverride w:ilvl="1">
      <w:lvl w:ilvl="1">
        <w:start w:val="1"/>
        <w:numFmt w:val="lowerLetter"/>
        <w:lvlText w:val="(%2)"/>
        <w:lvlJc w:val="left"/>
        <w:pPr>
          <w:tabs>
            <w:tab w:val="num" w:pos="567"/>
          </w:tabs>
          <w:ind w:left="1247" w:firstLine="56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(%3)"/>
        <w:lvlJc w:val="left"/>
        <w:pPr>
          <w:tabs>
            <w:tab w:val="num" w:pos="567"/>
          </w:tabs>
          <w:ind w:left="2948" w:hanging="567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567"/>
          </w:tabs>
          <w:ind w:left="3515" w:hanging="56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tabs>
            <w:tab w:val="num" w:pos="6548"/>
          </w:tabs>
          <w:ind w:left="6548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tabs>
            <w:tab w:val="num" w:pos="7268"/>
          </w:tabs>
          <w:ind w:left="7268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7988"/>
          </w:tabs>
          <w:ind w:left="7988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8708"/>
          </w:tabs>
          <w:ind w:left="8708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tabs>
            <w:tab w:val="num" w:pos="9428"/>
          </w:tabs>
          <w:ind w:left="9428" w:hanging="180"/>
        </w:pPr>
        <w:rPr>
          <w:rFonts w:hint="default"/>
        </w:rPr>
      </w:lvl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4BE"/>
    <w:rsid w:val="001B7AAB"/>
    <w:rsid w:val="004C5746"/>
    <w:rsid w:val="004E3548"/>
    <w:rsid w:val="00533E54"/>
    <w:rsid w:val="005A5AE1"/>
    <w:rsid w:val="009501DE"/>
    <w:rsid w:val="00B505AF"/>
    <w:rsid w:val="00BD1BC6"/>
    <w:rsid w:val="00C874BE"/>
    <w:rsid w:val="00CA4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4C574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5746"/>
    <w:rPr>
      <w:sz w:val="20"/>
      <w:szCs w:val="20"/>
    </w:rPr>
  </w:style>
  <w:style w:type="character" w:styleId="FootnoteReference">
    <w:name w:val="footnote reference"/>
    <w:aliases w:val="16 Point,Superscript 6 Point,number,SUPERS,Footnote Reference Superscript,ftref,(Ref. de nota al pie)"/>
    <w:rsid w:val="004C5746"/>
    <w:rPr>
      <w:rFonts w:ascii="Times New Roman" w:hAnsi="Times New Roman"/>
      <w:color w:val="auto"/>
      <w:sz w:val="20"/>
      <w:szCs w:val="18"/>
      <w:vertAlign w:val="superscript"/>
    </w:rPr>
  </w:style>
  <w:style w:type="paragraph" w:customStyle="1" w:styleId="Normalnumber">
    <w:name w:val="Normal_number"/>
    <w:basedOn w:val="Normal"/>
    <w:uiPriority w:val="99"/>
    <w:rsid w:val="004E3548"/>
    <w:pPr>
      <w:numPr>
        <w:numId w:val="2"/>
      </w:numPr>
      <w:tabs>
        <w:tab w:val="left" w:pos="624"/>
      </w:tabs>
      <w:spacing w:after="120" w:line="240" w:lineRule="auto"/>
      <w:ind w:left="1247" w:firstLine="0"/>
    </w:pPr>
    <w:rPr>
      <w:rFonts w:ascii="Times New Roman" w:eastAsia="Times New Roman" w:hAnsi="Times New Roman" w:cs="Times New Roman"/>
      <w:sz w:val="20"/>
      <w:szCs w:val="20"/>
      <w:lang w:val="fr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4C574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5746"/>
    <w:rPr>
      <w:sz w:val="20"/>
      <w:szCs w:val="20"/>
    </w:rPr>
  </w:style>
  <w:style w:type="character" w:styleId="FootnoteReference">
    <w:name w:val="footnote reference"/>
    <w:aliases w:val="16 Point,Superscript 6 Point,number,SUPERS,Footnote Reference Superscript,ftref,(Ref. de nota al pie)"/>
    <w:rsid w:val="004C5746"/>
    <w:rPr>
      <w:rFonts w:ascii="Times New Roman" w:hAnsi="Times New Roman"/>
      <w:color w:val="auto"/>
      <w:sz w:val="20"/>
      <w:szCs w:val="18"/>
      <w:vertAlign w:val="superscript"/>
    </w:rPr>
  </w:style>
  <w:style w:type="paragraph" w:customStyle="1" w:styleId="Normalnumber">
    <w:name w:val="Normal_number"/>
    <w:basedOn w:val="Normal"/>
    <w:uiPriority w:val="99"/>
    <w:rsid w:val="004E3548"/>
    <w:pPr>
      <w:numPr>
        <w:numId w:val="2"/>
      </w:numPr>
      <w:tabs>
        <w:tab w:val="left" w:pos="624"/>
      </w:tabs>
      <w:spacing w:after="120" w:line="240" w:lineRule="auto"/>
      <w:ind w:left="1247" w:firstLine="0"/>
    </w:pPr>
    <w:rPr>
      <w:rFonts w:ascii="Times New Roman" w:eastAsia="Times New Roman" w:hAnsi="Times New Roman" w:cs="Times New Roman"/>
      <w:sz w:val="20"/>
      <w:szCs w:val="20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322</Words>
  <Characters>1840</Characters>
  <Application>Microsoft Office Word</Application>
  <DocSecurity>0</DocSecurity>
  <Lines>15</Lines>
  <Paragraphs>4</Paragraphs>
  <ScaleCrop>false</ScaleCrop>
  <Company>UNEP/BRS</Company>
  <LinksUpToDate>false</LinksUpToDate>
  <CharactersWithSpaces>2158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</dc:creator>
  <cp:keywords/>
  <dc:description/>
  <cp:lastModifiedBy>Jawad</cp:lastModifiedBy>
  <cp:revision>5</cp:revision>
  <dcterms:created xsi:type="dcterms:W3CDTF">2017-02-17T08:43:00Z</dcterms:created>
  <dcterms:modified xsi:type="dcterms:W3CDTF">2017-02-17T08:48:00Z</dcterms:modified>
</cp:coreProperties>
</file>