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35" w:rsidRPr="00534AB2" w:rsidRDefault="00027735" w:rsidP="00027735">
      <w:pPr>
        <w:keepNext/>
        <w:keepLines/>
        <w:tabs>
          <w:tab w:val="left" w:pos="4082"/>
        </w:tabs>
        <w:suppressAutoHyphens/>
        <w:spacing w:before="320" w:after="240"/>
        <w:ind w:left="1247" w:right="567"/>
        <w:rPr>
          <w:b/>
          <w:sz w:val="28"/>
          <w:szCs w:val="28"/>
          <w:lang w:val="en-GB"/>
        </w:rPr>
      </w:pPr>
      <w:r w:rsidRPr="00F85A7F">
        <w:rPr>
          <w:b/>
          <w:sz w:val="28"/>
          <w:szCs w:val="28"/>
          <w:lang w:val="en-GB"/>
        </w:rPr>
        <w:t xml:space="preserve">POPRC-12/6: Guidance on alternatives to </w:t>
      </w:r>
      <w:proofErr w:type="spellStart"/>
      <w:r w:rsidRPr="00F85A7F">
        <w:rPr>
          <w:b/>
          <w:sz w:val="28"/>
          <w:szCs w:val="28"/>
          <w:lang w:val="en-GB"/>
        </w:rPr>
        <w:t>perfluorooctane</w:t>
      </w:r>
      <w:proofErr w:type="spellEnd"/>
      <w:r w:rsidRPr="00F85A7F">
        <w:rPr>
          <w:b/>
          <w:sz w:val="28"/>
          <w:szCs w:val="28"/>
          <w:lang w:val="en-GB"/>
        </w:rPr>
        <w:t xml:space="preserve"> sulfonic acid and its related chemicals</w:t>
      </w:r>
    </w:p>
    <w:p w:rsidR="00027735" w:rsidRPr="00534AB2" w:rsidRDefault="00027735" w:rsidP="00027735">
      <w:p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1247" w:firstLine="624"/>
        <w:rPr>
          <w:i/>
          <w:lang w:val="en-GB"/>
        </w:rPr>
      </w:pPr>
      <w:r w:rsidRPr="00F85A7F">
        <w:rPr>
          <w:i/>
          <w:lang w:val="en-GB"/>
        </w:rPr>
        <w:t>The Persistent Organic Pollutants Review Committee</w:t>
      </w:r>
    </w:p>
    <w:p w:rsidR="00027735" w:rsidRPr="00534AB2" w:rsidRDefault="00027735" w:rsidP="00027735">
      <w:pPr>
        <w:numPr>
          <w:ilvl w:val="0"/>
          <w:numId w:val="7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num" w:pos="624"/>
        </w:tabs>
        <w:spacing w:after="120"/>
        <w:ind w:firstLine="624"/>
        <w:rPr>
          <w:rFonts w:eastAsia="MS Mincho"/>
          <w:lang w:val="en-GB"/>
        </w:rPr>
      </w:pPr>
      <w:r w:rsidRPr="00F85A7F">
        <w:rPr>
          <w:rFonts w:eastAsia="MS Mincho"/>
          <w:i/>
          <w:iCs/>
          <w:lang w:val="en-GB"/>
        </w:rPr>
        <w:t>E</w:t>
      </w:r>
      <w:bookmarkStart w:id="0" w:name="_GoBack"/>
      <w:bookmarkEnd w:id="0"/>
      <w:r w:rsidRPr="00F85A7F">
        <w:rPr>
          <w:rFonts w:eastAsia="MS Mincho"/>
          <w:i/>
          <w:iCs/>
          <w:lang w:val="en-GB"/>
        </w:rPr>
        <w:t>ndorses</w:t>
      </w:r>
      <w:r w:rsidRPr="00F85A7F">
        <w:rPr>
          <w:rFonts w:eastAsia="MS Mincho"/>
          <w:lang w:val="en-GB"/>
        </w:rPr>
        <w:t xml:space="preserve"> the consolidated </w:t>
      </w:r>
      <w:r w:rsidRPr="00AF2167">
        <w:rPr>
          <w:rFonts w:eastAsia="MS Mincho"/>
          <w:lang w:val="en-GB"/>
        </w:rPr>
        <w:t>guidance on alternatives</w:t>
      </w:r>
      <w:r w:rsidRPr="00F85A7F">
        <w:rPr>
          <w:rFonts w:eastAsia="MS Mincho"/>
          <w:lang w:val="en-GB"/>
        </w:rPr>
        <w:t xml:space="preserve"> to </w:t>
      </w:r>
      <w:proofErr w:type="spellStart"/>
      <w:r w:rsidRPr="00F85A7F">
        <w:rPr>
          <w:rFonts w:eastAsia="MS Mincho"/>
          <w:lang w:val="en-GB"/>
        </w:rPr>
        <w:t>perfluorooctane</w:t>
      </w:r>
      <w:proofErr w:type="spellEnd"/>
      <w:r w:rsidRPr="00F85A7F">
        <w:rPr>
          <w:rFonts w:eastAsia="MS Mincho"/>
          <w:lang w:val="en-GB"/>
        </w:rPr>
        <w:t xml:space="preserve"> sulfonic acid and its related chemicals as amended at its twelfth meeting;</w:t>
      </w:r>
      <w:r>
        <w:rPr>
          <w:rFonts w:eastAsia="MS Mincho"/>
          <w:szCs w:val="18"/>
          <w:vertAlign w:val="superscript"/>
          <w:lang w:val="en-GB"/>
        </w:rPr>
        <w:footnoteReference w:id="1"/>
      </w:r>
      <w:r w:rsidRPr="00F85A7F">
        <w:rPr>
          <w:rFonts w:eastAsia="MS Mincho"/>
          <w:lang w:val="en-GB"/>
        </w:rPr>
        <w:t xml:space="preserve"> </w:t>
      </w:r>
    </w:p>
    <w:p w:rsidR="00027735" w:rsidRPr="00534AB2" w:rsidRDefault="00027735" w:rsidP="00027735">
      <w:pPr>
        <w:numPr>
          <w:ilvl w:val="0"/>
          <w:numId w:val="7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num" w:pos="624"/>
        </w:tabs>
        <w:spacing w:after="120"/>
        <w:ind w:firstLine="624"/>
        <w:rPr>
          <w:rFonts w:eastAsia="MS Mincho"/>
          <w:lang w:val="en-GB"/>
        </w:rPr>
      </w:pPr>
      <w:r w:rsidRPr="00F85A7F">
        <w:rPr>
          <w:rFonts w:eastAsia="MS Mincho"/>
          <w:i/>
          <w:iCs/>
          <w:lang w:val="en-GB"/>
        </w:rPr>
        <w:t>Requests</w:t>
      </w:r>
      <w:r w:rsidRPr="00F85A7F">
        <w:rPr>
          <w:rFonts w:eastAsia="MS Mincho"/>
          <w:lang w:val="en-GB"/>
        </w:rPr>
        <w:t xml:space="preserve"> the Secretariat to make the guidance available to Parties and observers and to submit it to the Conference of the Parties for consideration at its eighth meeting;</w:t>
      </w:r>
    </w:p>
    <w:p w:rsidR="00027735" w:rsidRPr="00383E2E" w:rsidRDefault="00027735" w:rsidP="00027735">
      <w:pPr>
        <w:numPr>
          <w:ilvl w:val="0"/>
          <w:numId w:val="7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num" w:pos="624"/>
        </w:tabs>
        <w:spacing w:after="120"/>
        <w:ind w:firstLine="624"/>
        <w:rPr>
          <w:rFonts w:eastAsia="MS Mincho"/>
          <w:lang w:val="en-GB"/>
        </w:rPr>
      </w:pPr>
      <w:r w:rsidRPr="00F85A7F">
        <w:rPr>
          <w:rFonts w:eastAsia="MS Mincho"/>
          <w:i/>
          <w:iCs/>
          <w:lang w:val="en-GB"/>
        </w:rPr>
        <w:t xml:space="preserve">Decides </w:t>
      </w:r>
      <w:r w:rsidRPr="00F85A7F">
        <w:rPr>
          <w:rFonts w:eastAsia="MS Mincho"/>
          <w:iCs/>
          <w:lang w:val="en-GB"/>
        </w:rPr>
        <w:t xml:space="preserve">to make use of the information in the guidance when carrying out the assessment of alternatives to </w:t>
      </w:r>
      <w:proofErr w:type="spellStart"/>
      <w:r w:rsidRPr="00F85A7F">
        <w:rPr>
          <w:rFonts w:eastAsia="MS Mincho"/>
          <w:iCs/>
          <w:lang w:val="en-GB"/>
        </w:rPr>
        <w:t>perfluorooctane</w:t>
      </w:r>
      <w:proofErr w:type="spellEnd"/>
      <w:r w:rsidRPr="00F85A7F">
        <w:rPr>
          <w:rFonts w:eastAsia="MS Mincho"/>
          <w:iCs/>
          <w:lang w:val="en-GB"/>
        </w:rPr>
        <w:t xml:space="preserve"> sulfonic acid, its salts and </w:t>
      </w:r>
      <w:proofErr w:type="spellStart"/>
      <w:r w:rsidRPr="00F85A7F">
        <w:rPr>
          <w:rFonts w:eastAsia="MS Mincho"/>
          <w:iCs/>
          <w:lang w:val="en-GB"/>
        </w:rPr>
        <w:t>perfluorooctane</w:t>
      </w:r>
      <w:proofErr w:type="spellEnd"/>
      <w:r w:rsidRPr="00F85A7F">
        <w:rPr>
          <w:rFonts w:eastAsia="MS Mincho"/>
          <w:iCs/>
          <w:lang w:val="en-GB"/>
        </w:rPr>
        <w:t xml:space="preserve"> sulfonyl fluoride pursuant to the process set out in decision SC-6/4;</w:t>
      </w:r>
    </w:p>
    <w:p w:rsidR="00027735" w:rsidRPr="00383E2E" w:rsidRDefault="00027735" w:rsidP="00027735">
      <w:pPr>
        <w:numPr>
          <w:ilvl w:val="0"/>
          <w:numId w:val="7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num" w:pos="624"/>
        </w:tabs>
        <w:spacing w:after="120"/>
        <w:ind w:firstLine="624"/>
        <w:rPr>
          <w:rFonts w:eastAsia="MS Mincho"/>
          <w:lang w:val="en-GB"/>
        </w:rPr>
      </w:pPr>
      <w:r w:rsidRPr="00F85A7F">
        <w:rPr>
          <w:rFonts w:eastAsia="MS Mincho"/>
          <w:i/>
          <w:iCs/>
          <w:lang w:val="en-GB"/>
        </w:rPr>
        <w:t>Notes</w:t>
      </w:r>
      <w:r w:rsidRPr="00F85A7F">
        <w:rPr>
          <w:rFonts w:eastAsia="MS Mincho"/>
          <w:lang w:val="en-GB"/>
        </w:rPr>
        <w:t xml:space="preserve"> the use of </w:t>
      </w:r>
      <w:proofErr w:type="spellStart"/>
      <w:r w:rsidRPr="00F85A7F">
        <w:rPr>
          <w:rFonts w:eastAsia="MS Mincho"/>
          <w:lang w:val="en-GB"/>
        </w:rPr>
        <w:t>sulfluramid</w:t>
      </w:r>
      <w:proofErr w:type="spellEnd"/>
      <w:r w:rsidRPr="00F85A7F">
        <w:rPr>
          <w:rFonts w:eastAsia="MS Mincho"/>
          <w:iCs/>
          <w:lang w:val="en-GB"/>
        </w:rPr>
        <w:t xml:space="preserve">, which is the active ingredient of insect baits for the control of leaf-cutting ants from </w:t>
      </w:r>
      <w:r w:rsidRPr="00F85A7F">
        <w:rPr>
          <w:rFonts w:eastAsia="MS Mincho"/>
          <w:i/>
          <w:iCs/>
          <w:lang w:val="en-GB"/>
        </w:rPr>
        <w:t xml:space="preserve">Atta </w:t>
      </w:r>
      <w:r w:rsidRPr="00F85A7F">
        <w:rPr>
          <w:rFonts w:eastAsia="MS Mincho"/>
          <w:iCs/>
          <w:lang w:val="en-GB"/>
        </w:rPr>
        <w:t xml:space="preserve">spp. and </w:t>
      </w:r>
      <w:proofErr w:type="spellStart"/>
      <w:r w:rsidRPr="00F85A7F">
        <w:rPr>
          <w:rFonts w:eastAsia="MS Mincho"/>
          <w:i/>
          <w:iCs/>
          <w:lang w:val="en-GB"/>
        </w:rPr>
        <w:t>Acromyrmex</w:t>
      </w:r>
      <w:proofErr w:type="spellEnd"/>
      <w:r w:rsidRPr="00F85A7F">
        <w:rPr>
          <w:rFonts w:eastAsia="MS Mincho"/>
          <w:i/>
          <w:iCs/>
          <w:lang w:val="en-GB"/>
        </w:rPr>
        <w:t xml:space="preserve"> </w:t>
      </w:r>
      <w:r w:rsidRPr="00F85A7F">
        <w:rPr>
          <w:rFonts w:eastAsia="MS Mincho"/>
          <w:iCs/>
          <w:lang w:val="en-GB"/>
        </w:rPr>
        <w:t xml:space="preserve">spp. </w:t>
      </w:r>
      <w:r w:rsidRPr="00FD408C">
        <w:rPr>
          <w:rFonts w:eastAsia="MS Mincho"/>
          <w:iCs/>
          <w:lang w:val="en-GB"/>
        </w:rPr>
        <w:t>produced u</w:t>
      </w:r>
      <w:r w:rsidRPr="00F85A7F">
        <w:rPr>
          <w:rFonts w:eastAsia="MS Mincho"/>
          <w:iCs/>
          <w:lang w:val="en-GB"/>
        </w:rPr>
        <w:t xml:space="preserve">sing </w:t>
      </w:r>
      <w:proofErr w:type="spellStart"/>
      <w:r w:rsidRPr="00F85A7F">
        <w:rPr>
          <w:rFonts w:eastAsia="MS Mincho"/>
          <w:iCs/>
          <w:lang w:val="en-GB"/>
        </w:rPr>
        <w:t>perfluorooctane</w:t>
      </w:r>
      <w:proofErr w:type="spellEnd"/>
      <w:r w:rsidRPr="00F85A7F">
        <w:rPr>
          <w:rFonts w:eastAsia="MS Mincho"/>
          <w:iCs/>
          <w:lang w:val="en-GB"/>
        </w:rPr>
        <w:t xml:space="preserve"> sulfonyl fluoride and may degrade to </w:t>
      </w:r>
      <w:proofErr w:type="spellStart"/>
      <w:r w:rsidRPr="00F85A7F">
        <w:rPr>
          <w:rFonts w:eastAsia="MS Mincho"/>
          <w:iCs/>
          <w:lang w:val="en-GB"/>
        </w:rPr>
        <w:t>perfluorooctane</w:t>
      </w:r>
      <w:proofErr w:type="spellEnd"/>
      <w:r w:rsidRPr="00F85A7F">
        <w:rPr>
          <w:rFonts w:eastAsia="MS Mincho"/>
          <w:iCs/>
          <w:lang w:val="en-GB"/>
        </w:rPr>
        <w:t xml:space="preserve"> sulfonic acid;</w:t>
      </w:r>
      <w:r w:rsidRPr="00F85A7F">
        <w:rPr>
          <w:rFonts w:eastAsia="MS Mincho"/>
          <w:i/>
          <w:lang w:val="en-GB"/>
        </w:rPr>
        <w:t xml:space="preserve"> </w:t>
      </w:r>
    </w:p>
    <w:p w:rsidR="00027735" w:rsidRPr="00534AB2" w:rsidRDefault="00027735" w:rsidP="00027735">
      <w:pPr>
        <w:numPr>
          <w:ilvl w:val="0"/>
          <w:numId w:val="7"/>
        </w:numPr>
        <w:tabs>
          <w:tab w:val="clear" w:pos="567"/>
          <w:tab w:val="clear" w:pos="1247"/>
          <w:tab w:val="clear" w:pos="1814"/>
          <w:tab w:val="clear" w:pos="2381"/>
          <w:tab w:val="clear" w:pos="2948"/>
          <w:tab w:val="clear" w:pos="3515"/>
          <w:tab w:val="num" w:pos="624"/>
        </w:tabs>
        <w:spacing w:after="120"/>
        <w:ind w:firstLine="624"/>
        <w:rPr>
          <w:rFonts w:eastAsia="MS Mincho"/>
          <w:lang w:val="en-GB"/>
        </w:rPr>
      </w:pPr>
      <w:r w:rsidRPr="00F85A7F">
        <w:rPr>
          <w:rFonts w:eastAsia="MS Mincho"/>
          <w:i/>
          <w:lang w:val="en-GB"/>
        </w:rPr>
        <w:t xml:space="preserve">Recommends </w:t>
      </w:r>
      <w:r w:rsidRPr="00F85A7F">
        <w:rPr>
          <w:rFonts w:eastAsia="MS Mincho"/>
          <w:lang w:val="en-GB"/>
        </w:rPr>
        <w:t>to the Conference of the Parties that it encourage Parties and observers:</w:t>
      </w:r>
    </w:p>
    <w:p w:rsidR="00027735" w:rsidRPr="00534AB2" w:rsidRDefault="00027735" w:rsidP="00027735">
      <w:pPr>
        <w:numPr>
          <w:ilvl w:val="0"/>
          <w:numId w:val="8"/>
        </w:num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1247" w:firstLine="624"/>
        <w:rPr>
          <w:rFonts w:eastAsia="MS Mincho"/>
          <w:lang w:val="en-GB"/>
        </w:rPr>
      </w:pPr>
      <w:r w:rsidRPr="00F85A7F">
        <w:rPr>
          <w:rFonts w:eastAsia="MS Mincho"/>
          <w:lang w:val="en-GB"/>
        </w:rPr>
        <w:t xml:space="preserve">To collect information on the production and use of </w:t>
      </w:r>
      <w:proofErr w:type="spellStart"/>
      <w:r w:rsidRPr="00F85A7F">
        <w:rPr>
          <w:rFonts w:eastAsia="MS Mincho"/>
          <w:lang w:val="en-GB"/>
        </w:rPr>
        <w:t>sulfluramid</w:t>
      </w:r>
      <w:proofErr w:type="spellEnd"/>
      <w:r w:rsidRPr="00F85A7F">
        <w:rPr>
          <w:rFonts w:eastAsia="MS Mincho"/>
          <w:lang w:val="en-GB"/>
        </w:rPr>
        <w:t xml:space="preserve"> and make that information available for possible future updates of the guidance on alternatives to </w:t>
      </w:r>
      <w:proofErr w:type="spellStart"/>
      <w:r w:rsidRPr="00F85A7F">
        <w:rPr>
          <w:rFonts w:eastAsia="MS Mincho"/>
          <w:lang w:val="en-GB"/>
        </w:rPr>
        <w:t>perfluorooctane</w:t>
      </w:r>
      <w:proofErr w:type="spellEnd"/>
      <w:r w:rsidRPr="00F85A7F">
        <w:rPr>
          <w:rFonts w:eastAsia="MS Mincho"/>
          <w:lang w:val="en-GB"/>
        </w:rPr>
        <w:t xml:space="preserve"> sulfonic acid and its related chemicals by the Committee;</w:t>
      </w:r>
    </w:p>
    <w:p w:rsidR="00027735" w:rsidRPr="00F85A7F" w:rsidRDefault="00027735" w:rsidP="00027735">
      <w:pPr>
        <w:numPr>
          <w:ilvl w:val="0"/>
          <w:numId w:val="8"/>
        </w:numPr>
        <w:tabs>
          <w:tab w:val="clear" w:pos="1247"/>
          <w:tab w:val="clear" w:pos="1814"/>
          <w:tab w:val="clear" w:pos="2381"/>
          <w:tab w:val="clear" w:pos="2948"/>
          <w:tab w:val="clear" w:pos="3515"/>
        </w:tabs>
        <w:spacing w:after="120"/>
        <w:ind w:left="1247" w:firstLine="624"/>
        <w:rPr>
          <w:lang w:val="en-GB"/>
        </w:rPr>
      </w:pPr>
      <w:r w:rsidRPr="00F85A7F">
        <w:rPr>
          <w:rFonts w:eastAsia="MS Mincho"/>
          <w:lang w:val="en-GB"/>
        </w:rPr>
        <w:t xml:space="preserve">To implement local monitoring of releases of </w:t>
      </w:r>
      <w:proofErr w:type="spellStart"/>
      <w:r w:rsidRPr="00F85A7F">
        <w:rPr>
          <w:rFonts w:eastAsia="MS Mincho"/>
          <w:lang w:val="en-GB"/>
        </w:rPr>
        <w:t>perfluorooctane</w:t>
      </w:r>
      <w:proofErr w:type="spellEnd"/>
      <w:r w:rsidRPr="00F85A7F">
        <w:rPr>
          <w:rFonts w:eastAsia="MS Mincho"/>
          <w:lang w:val="en-GB"/>
        </w:rPr>
        <w:t xml:space="preserve"> sulfonic acid from the use of </w:t>
      </w:r>
      <w:proofErr w:type="spellStart"/>
      <w:r w:rsidRPr="00F85A7F">
        <w:rPr>
          <w:rFonts w:eastAsia="MS Mincho"/>
          <w:lang w:val="en-GB"/>
        </w:rPr>
        <w:t>sulfluramid</w:t>
      </w:r>
      <w:proofErr w:type="spellEnd"/>
      <w:r w:rsidRPr="00F85A7F">
        <w:rPr>
          <w:rFonts w:eastAsia="MS Mincho"/>
          <w:lang w:val="en-GB"/>
        </w:rPr>
        <w:t xml:space="preserve"> and make it available to the Secretariat for preparing the report for the evaluation of information on </w:t>
      </w:r>
      <w:proofErr w:type="spellStart"/>
      <w:r w:rsidRPr="00F85A7F">
        <w:rPr>
          <w:rFonts w:eastAsia="MS Mincho"/>
          <w:iCs/>
          <w:lang w:val="en-GB"/>
        </w:rPr>
        <w:t>perfluorooctane</w:t>
      </w:r>
      <w:proofErr w:type="spellEnd"/>
      <w:r w:rsidRPr="00F85A7F">
        <w:rPr>
          <w:rFonts w:eastAsia="MS Mincho"/>
          <w:iCs/>
          <w:lang w:val="en-GB"/>
        </w:rPr>
        <w:t xml:space="preserve"> sulfonic acid, its salts and </w:t>
      </w:r>
      <w:proofErr w:type="spellStart"/>
      <w:r w:rsidRPr="00F85A7F">
        <w:rPr>
          <w:rFonts w:eastAsia="MS Mincho"/>
          <w:iCs/>
          <w:lang w:val="en-GB"/>
        </w:rPr>
        <w:t>perfluorooctane</w:t>
      </w:r>
      <w:proofErr w:type="spellEnd"/>
      <w:r w:rsidRPr="00F85A7F">
        <w:rPr>
          <w:rFonts w:eastAsia="MS Mincho"/>
          <w:iCs/>
          <w:lang w:val="en-GB"/>
        </w:rPr>
        <w:t xml:space="preserve"> sulfonyl fluoride</w:t>
      </w:r>
      <w:r w:rsidRPr="00F85A7F">
        <w:rPr>
          <w:rFonts w:eastAsia="MS Mincho"/>
          <w:lang w:val="en-GB"/>
        </w:rPr>
        <w:t xml:space="preserve"> pursuant to decisions SC-6/4 and SC 7/5.</w:t>
      </w:r>
    </w:p>
    <w:p w:rsidR="00BD1BC6" w:rsidRPr="00027735" w:rsidRDefault="00BD1BC6" w:rsidP="00027735"/>
    <w:sectPr w:rsidR="00BD1BC6" w:rsidRPr="0002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D2D" w:rsidRDefault="00AD3D2D" w:rsidP="004C5746">
      <w:r>
        <w:separator/>
      </w:r>
    </w:p>
  </w:endnote>
  <w:endnote w:type="continuationSeparator" w:id="0">
    <w:p w:rsidR="00AD3D2D" w:rsidRDefault="00AD3D2D" w:rsidP="004C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D2D" w:rsidRDefault="00AD3D2D" w:rsidP="004C5746">
      <w:r>
        <w:separator/>
      </w:r>
    </w:p>
  </w:footnote>
  <w:footnote w:type="continuationSeparator" w:id="0">
    <w:p w:rsidR="00AD3D2D" w:rsidRDefault="00AD3D2D" w:rsidP="004C5746">
      <w:r>
        <w:continuationSeparator/>
      </w:r>
    </w:p>
  </w:footnote>
  <w:footnote w:id="1">
    <w:p w:rsidR="00027735" w:rsidRPr="00915BFB" w:rsidRDefault="00027735" w:rsidP="00027735">
      <w:pPr>
        <w:pStyle w:val="FootnoteText"/>
        <w:rPr>
          <w:szCs w:val="18"/>
          <w:lang w:val="en-US"/>
        </w:rPr>
      </w:pPr>
      <w:r w:rsidRPr="00915BFB">
        <w:rPr>
          <w:rStyle w:val="FootnoteReference"/>
          <w:sz w:val="18"/>
        </w:rPr>
        <w:footnoteRef/>
      </w:r>
      <w:r w:rsidRPr="00915BFB">
        <w:rPr>
          <w:szCs w:val="18"/>
          <w:lang w:val="en-US"/>
        </w:rPr>
        <w:t xml:space="preserve"> UNEP/POPS/POPRC.12/INF/15/Rev.1.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7E3"/>
    <w:multiLevelType w:val="hybridMultilevel"/>
    <w:tmpl w:val="DAEC11B6"/>
    <w:lvl w:ilvl="0" w:tplc="ABF41D16">
      <w:start w:val="1"/>
      <w:numFmt w:val="decimal"/>
      <w:lvlText w:val="%1."/>
      <w:lvlJc w:val="left"/>
      <w:pPr>
        <w:ind w:left="25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113A7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2">
    <w:nsid w:val="32215FC1"/>
    <w:multiLevelType w:val="hybridMultilevel"/>
    <w:tmpl w:val="63726B78"/>
    <w:lvl w:ilvl="0" w:tplc="C00654BC">
      <w:start w:val="1"/>
      <w:numFmt w:val="lowerLetter"/>
      <w:lvlText w:val="(%1)"/>
      <w:lvlJc w:val="left"/>
      <w:pPr>
        <w:ind w:left="2592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3">
    <w:nsid w:val="3BB54F3C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247" w:firstLine="567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cs="Times New Roman"/>
      </w:rPr>
    </w:lvl>
  </w:abstractNum>
  <w:abstractNum w:abstractNumId="4">
    <w:nsid w:val="601E3001"/>
    <w:multiLevelType w:val="hybridMultilevel"/>
    <w:tmpl w:val="C6D8DBEA"/>
    <w:lvl w:ilvl="0" w:tplc="E116B680">
      <w:start w:val="1"/>
      <w:numFmt w:val="decimal"/>
      <w:pStyle w:val="Normal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37C15"/>
    <w:multiLevelType w:val="hybridMultilevel"/>
    <w:tmpl w:val="09EA97D4"/>
    <w:lvl w:ilvl="0" w:tplc="5F84B852">
      <w:start w:val="1"/>
      <w:numFmt w:val="lowerLetter"/>
      <w:lvlText w:val="(%1)"/>
      <w:lvlJc w:val="left"/>
      <w:pPr>
        <w:ind w:left="179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16" w:hanging="360"/>
      </w:pPr>
    </w:lvl>
    <w:lvl w:ilvl="2" w:tplc="0414001B" w:tentative="1">
      <w:start w:val="1"/>
      <w:numFmt w:val="lowerRoman"/>
      <w:lvlText w:val="%3."/>
      <w:lvlJc w:val="right"/>
      <w:pPr>
        <w:ind w:left="3236" w:hanging="180"/>
      </w:pPr>
    </w:lvl>
    <w:lvl w:ilvl="3" w:tplc="0414000F" w:tentative="1">
      <w:start w:val="1"/>
      <w:numFmt w:val="decimal"/>
      <w:lvlText w:val="%4."/>
      <w:lvlJc w:val="left"/>
      <w:pPr>
        <w:ind w:left="3956" w:hanging="360"/>
      </w:pPr>
    </w:lvl>
    <w:lvl w:ilvl="4" w:tplc="04140019" w:tentative="1">
      <w:start w:val="1"/>
      <w:numFmt w:val="lowerLetter"/>
      <w:lvlText w:val="%5."/>
      <w:lvlJc w:val="left"/>
      <w:pPr>
        <w:ind w:left="4676" w:hanging="360"/>
      </w:pPr>
    </w:lvl>
    <w:lvl w:ilvl="5" w:tplc="0414001B" w:tentative="1">
      <w:start w:val="1"/>
      <w:numFmt w:val="lowerRoman"/>
      <w:lvlText w:val="%6."/>
      <w:lvlJc w:val="right"/>
      <w:pPr>
        <w:ind w:left="5396" w:hanging="180"/>
      </w:pPr>
    </w:lvl>
    <w:lvl w:ilvl="6" w:tplc="0414000F" w:tentative="1">
      <w:start w:val="1"/>
      <w:numFmt w:val="decimal"/>
      <w:lvlText w:val="%7."/>
      <w:lvlJc w:val="left"/>
      <w:pPr>
        <w:ind w:left="6116" w:hanging="360"/>
      </w:pPr>
    </w:lvl>
    <w:lvl w:ilvl="7" w:tplc="04140019" w:tentative="1">
      <w:start w:val="1"/>
      <w:numFmt w:val="lowerLetter"/>
      <w:lvlText w:val="%8."/>
      <w:lvlJc w:val="left"/>
      <w:pPr>
        <w:ind w:left="6836" w:hanging="360"/>
      </w:pPr>
    </w:lvl>
    <w:lvl w:ilvl="8" w:tplc="0414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6">
    <w:nsid w:val="75522054"/>
    <w:multiLevelType w:val="multilevel"/>
    <w:tmpl w:val="63669556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97"/>
        </w:tabs>
        <w:ind w:left="297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567"/>
        </w:tabs>
        <w:ind w:left="408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835"/>
        </w:tabs>
        <w:ind w:left="78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55"/>
        </w:tabs>
        <w:ind w:left="85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275"/>
        </w:tabs>
        <w:ind w:left="92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995"/>
        </w:tabs>
        <w:ind w:left="9995" w:hanging="1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1247" w:firstLine="0"/>
        </w:pPr>
        <w:rPr>
          <w:rFonts w:hint="default"/>
          <w:b w:val="0"/>
          <w:i w:val="0"/>
        </w:rPr>
      </w:lvl>
    </w:lvlOverride>
    <w:lvlOverride w:ilvl="1">
      <w:lvl w:ilvl="1">
        <w:start w:val="1"/>
        <w:numFmt w:val="lowerLetter"/>
        <w:lvlText w:val="(%2)"/>
        <w:lvlJc w:val="left"/>
        <w:pPr>
          <w:tabs>
            <w:tab w:val="num" w:pos="567"/>
          </w:tabs>
          <w:ind w:left="1247" w:firstLine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tabs>
            <w:tab w:val="num" w:pos="567"/>
          </w:tabs>
          <w:ind w:left="2948" w:hanging="567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567"/>
          </w:tabs>
          <w:ind w:left="3515" w:hanging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6548"/>
          </w:tabs>
          <w:ind w:left="65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268"/>
          </w:tabs>
          <w:ind w:left="72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988"/>
          </w:tabs>
          <w:ind w:left="79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708"/>
          </w:tabs>
          <w:ind w:left="87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428"/>
          </w:tabs>
          <w:ind w:left="9428" w:hanging="180"/>
        </w:pPr>
        <w:rPr>
          <w:rFonts w:hint="default"/>
        </w:rPr>
      </w:lvl>
    </w:lvlOverride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BE"/>
    <w:rsid w:val="00027735"/>
    <w:rsid w:val="001B7AAB"/>
    <w:rsid w:val="00220C15"/>
    <w:rsid w:val="003F6B46"/>
    <w:rsid w:val="004C5746"/>
    <w:rsid w:val="004E3548"/>
    <w:rsid w:val="00533E54"/>
    <w:rsid w:val="005A5AE1"/>
    <w:rsid w:val="009501DE"/>
    <w:rsid w:val="00AD3D2D"/>
    <w:rsid w:val="00B505AF"/>
    <w:rsid w:val="00BD1BC6"/>
    <w:rsid w:val="00C874BE"/>
    <w:rsid w:val="00CA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4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Geneva 9,Font: Geneva 9,Boston 10,f,93,single space,Footnote Text Rail EIS,ft,Char,footnote3,Footnotes,Footnote ak,fn cafc,Footnotes Char Char,Footnote Text Char Char,fn Char Char,Footnote Text Char Char Char Char,Footnote Text1"/>
    <w:basedOn w:val="Normal"/>
    <w:link w:val="FootnoteTextChar"/>
    <w:unhideWhenUsed/>
    <w:rsid w:val="004C5746"/>
  </w:style>
  <w:style w:type="character" w:customStyle="1" w:styleId="FootnoteTextChar">
    <w:name w:val="Footnote Text Char"/>
    <w:aliases w:val="Geneva 9 Char,Font: Geneva 9 Char,Boston 10 Char,f Char,93 Char,single space Char,Footnote Text Rail EIS Char,ft Char,Char Char,footnote3 Char,Footnotes Char,Footnote ak Char,fn cafc Char,Footnotes Char Char Char,fn Char Char Char"/>
    <w:basedOn w:val="DefaultParagraphFont"/>
    <w:link w:val="FootnoteText"/>
    <w:rsid w:val="004C5746"/>
    <w:rPr>
      <w:sz w:val="20"/>
      <w:szCs w:val="20"/>
    </w:rPr>
  </w:style>
  <w:style w:type="character" w:styleId="FootnoteReference">
    <w:name w:val="footnote reference"/>
    <w:aliases w:val="16 Point,Superscript 6 Point,number,SUPERS,Footnote Reference Superscript,ftref,(Ref. de nota al pie)"/>
    <w:rsid w:val="004C5746"/>
    <w:rPr>
      <w:rFonts w:ascii="Times New Roman" w:hAnsi="Times New Roman"/>
      <w:color w:val="auto"/>
      <w:sz w:val="20"/>
      <w:szCs w:val="18"/>
      <w:vertAlign w:val="superscript"/>
    </w:rPr>
  </w:style>
  <w:style w:type="paragraph" w:customStyle="1" w:styleId="Normalnumber">
    <w:name w:val="Normal_number"/>
    <w:basedOn w:val="Normal"/>
    <w:link w:val="NormalnumberChar"/>
    <w:uiPriority w:val="99"/>
    <w:rsid w:val="004E3548"/>
    <w:pPr>
      <w:numPr>
        <w:numId w:val="2"/>
      </w:numPr>
      <w:tabs>
        <w:tab w:val="left" w:pos="624"/>
      </w:tabs>
      <w:spacing w:after="120"/>
      <w:ind w:left="1247" w:firstLine="0"/>
    </w:pPr>
    <w:rPr>
      <w:lang w:val="fr-CA"/>
    </w:rPr>
  </w:style>
  <w:style w:type="paragraph" w:customStyle="1" w:styleId="Normal-pool">
    <w:name w:val="Normal-pool"/>
    <w:rsid w:val="003F6B46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NormalnumberChar">
    <w:name w:val="Normal_number Char"/>
    <w:link w:val="Normalnumber"/>
    <w:uiPriority w:val="99"/>
    <w:rsid w:val="003F6B46"/>
    <w:rPr>
      <w:rFonts w:ascii="Times New Roman" w:eastAsia="Times New Roman" w:hAnsi="Times New Roman" w:cs="Times New Roman"/>
      <w:sz w:val="20"/>
      <w:szCs w:val="20"/>
      <w:lang w:val="fr-CA"/>
    </w:rPr>
  </w:style>
  <w:style w:type="character" w:customStyle="1" w:styleId="BBTitleChar">
    <w:name w:val="BB_Title Char"/>
    <w:link w:val="BBTitle"/>
    <w:rsid w:val="003F6B46"/>
    <w:rPr>
      <w:b/>
      <w:sz w:val="28"/>
      <w:szCs w:val="28"/>
      <w:lang w:val="fr-CA"/>
    </w:rPr>
  </w:style>
  <w:style w:type="paragraph" w:customStyle="1" w:styleId="BBTitle">
    <w:name w:val="BB_Title"/>
    <w:basedOn w:val="Normal"/>
    <w:link w:val="BBTitleChar"/>
    <w:rsid w:val="003F6B46"/>
    <w:pPr>
      <w:keepNext/>
      <w:keepLines/>
      <w:tabs>
        <w:tab w:val="left" w:pos="4082"/>
      </w:tabs>
      <w:suppressAutoHyphens/>
      <w:spacing w:before="320" w:after="240"/>
      <w:ind w:left="1247" w:right="567"/>
    </w:pPr>
    <w:rPr>
      <w:rFonts w:asciiTheme="minorHAnsi" w:eastAsiaTheme="minorHAnsi" w:hAnsiTheme="minorHAnsi" w:cstheme="minorBidi"/>
      <w:b/>
      <w:sz w:val="28"/>
      <w:szCs w:val="28"/>
      <w:lang w:val="fr-CA"/>
    </w:rPr>
  </w:style>
  <w:style w:type="paragraph" w:customStyle="1" w:styleId="NormalNonumber">
    <w:name w:val="Normal_No_number"/>
    <w:basedOn w:val="Normal"/>
    <w:rsid w:val="003F6B46"/>
    <w:pPr>
      <w:tabs>
        <w:tab w:val="left" w:pos="4082"/>
      </w:tabs>
      <w:spacing w:after="120"/>
      <w:ind w:left="1247"/>
    </w:pPr>
    <w:rPr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46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Geneva 9,Font: Geneva 9,Boston 10,f,93,single space,Footnote Text Rail EIS,ft,Char,footnote3,Footnotes,Footnote ak,fn cafc,Footnotes Char Char,Footnote Text Char Char,fn Char Char,Footnote Text Char Char Char Char,Footnote Text1"/>
    <w:basedOn w:val="Normal"/>
    <w:link w:val="FootnoteTextChar"/>
    <w:unhideWhenUsed/>
    <w:rsid w:val="004C5746"/>
  </w:style>
  <w:style w:type="character" w:customStyle="1" w:styleId="FootnoteTextChar">
    <w:name w:val="Footnote Text Char"/>
    <w:aliases w:val="Geneva 9 Char,Font: Geneva 9 Char,Boston 10 Char,f Char,93 Char,single space Char,Footnote Text Rail EIS Char,ft Char,Char Char,footnote3 Char,Footnotes Char,Footnote ak Char,fn cafc Char,Footnotes Char Char Char,fn Char Char Char"/>
    <w:basedOn w:val="DefaultParagraphFont"/>
    <w:link w:val="FootnoteText"/>
    <w:rsid w:val="004C5746"/>
    <w:rPr>
      <w:sz w:val="20"/>
      <w:szCs w:val="20"/>
    </w:rPr>
  </w:style>
  <w:style w:type="character" w:styleId="FootnoteReference">
    <w:name w:val="footnote reference"/>
    <w:aliases w:val="16 Point,Superscript 6 Point,number,SUPERS,Footnote Reference Superscript,ftref,(Ref. de nota al pie)"/>
    <w:rsid w:val="004C5746"/>
    <w:rPr>
      <w:rFonts w:ascii="Times New Roman" w:hAnsi="Times New Roman"/>
      <w:color w:val="auto"/>
      <w:sz w:val="20"/>
      <w:szCs w:val="18"/>
      <w:vertAlign w:val="superscript"/>
    </w:rPr>
  </w:style>
  <w:style w:type="paragraph" w:customStyle="1" w:styleId="Normalnumber">
    <w:name w:val="Normal_number"/>
    <w:basedOn w:val="Normal"/>
    <w:link w:val="NormalnumberChar"/>
    <w:uiPriority w:val="99"/>
    <w:rsid w:val="004E3548"/>
    <w:pPr>
      <w:numPr>
        <w:numId w:val="2"/>
      </w:numPr>
      <w:tabs>
        <w:tab w:val="left" w:pos="624"/>
      </w:tabs>
      <w:spacing w:after="120"/>
      <w:ind w:left="1247" w:firstLine="0"/>
    </w:pPr>
    <w:rPr>
      <w:lang w:val="fr-CA"/>
    </w:rPr>
  </w:style>
  <w:style w:type="paragraph" w:customStyle="1" w:styleId="Normal-pool">
    <w:name w:val="Normal-pool"/>
    <w:rsid w:val="003F6B46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NormalnumberChar">
    <w:name w:val="Normal_number Char"/>
    <w:link w:val="Normalnumber"/>
    <w:uiPriority w:val="99"/>
    <w:rsid w:val="003F6B46"/>
    <w:rPr>
      <w:rFonts w:ascii="Times New Roman" w:eastAsia="Times New Roman" w:hAnsi="Times New Roman" w:cs="Times New Roman"/>
      <w:sz w:val="20"/>
      <w:szCs w:val="20"/>
      <w:lang w:val="fr-CA"/>
    </w:rPr>
  </w:style>
  <w:style w:type="character" w:customStyle="1" w:styleId="BBTitleChar">
    <w:name w:val="BB_Title Char"/>
    <w:link w:val="BBTitle"/>
    <w:rsid w:val="003F6B46"/>
    <w:rPr>
      <w:b/>
      <w:sz w:val="28"/>
      <w:szCs w:val="28"/>
      <w:lang w:val="fr-CA"/>
    </w:rPr>
  </w:style>
  <w:style w:type="paragraph" w:customStyle="1" w:styleId="BBTitle">
    <w:name w:val="BB_Title"/>
    <w:basedOn w:val="Normal"/>
    <w:link w:val="BBTitleChar"/>
    <w:rsid w:val="003F6B46"/>
    <w:pPr>
      <w:keepNext/>
      <w:keepLines/>
      <w:tabs>
        <w:tab w:val="left" w:pos="4082"/>
      </w:tabs>
      <w:suppressAutoHyphens/>
      <w:spacing w:before="320" w:after="240"/>
      <w:ind w:left="1247" w:right="567"/>
    </w:pPr>
    <w:rPr>
      <w:rFonts w:asciiTheme="minorHAnsi" w:eastAsiaTheme="minorHAnsi" w:hAnsiTheme="minorHAnsi" w:cstheme="minorBidi"/>
      <w:b/>
      <w:sz w:val="28"/>
      <w:szCs w:val="28"/>
      <w:lang w:val="fr-CA"/>
    </w:rPr>
  </w:style>
  <w:style w:type="paragraph" w:customStyle="1" w:styleId="NormalNonumber">
    <w:name w:val="Normal_No_number"/>
    <w:basedOn w:val="Normal"/>
    <w:rsid w:val="003F6B46"/>
    <w:pPr>
      <w:tabs>
        <w:tab w:val="left" w:pos="4082"/>
      </w:tabs>
      <w:spacing w:after="120"/>
      <w:ind w:left="1247"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>UNEP/BRS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7</cp:revision>
  <dcterms:created xsi:type="dcterms:W3CDTF">2017-02-17T08:43:00Z</dcterms:created>
  <dcterms:modified xsi:type="dcterms:W3CDTF">2017-02-17T08:49:00Z</dcterms:modified>
</cp:coreProperties>
</file>