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EE" w:rsidRPr="0035134D" w:rsidRDefault="004072EE" w:rsidP="004072EE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right="567"/>
        <w:rPr>
          <w:rFonts w:eastAsia="SimSun"/>
          <w:b/>
          <w:sz w:val="28"/>
          <w:szCs w:val="24"/>
          <w:lang w:val="ru-RU"/>
        </w:rPr>
      </w:pPr>
      <w:r w:rsidRPr="0035134D">
        <w:rPr>
          <w:b/>
          <w:sz w:val="28"/>
          <w:szCs w:val="24"/>
          <w:lang w:val="ru-RU"/>
        </w:rPr>
        <w:t>РГОС-11/</w:t>
      </w:r>
      <w:r>
        <w:rPr>
          <w:b/>
          <w:sz w:val="28"/>
          <w:szCs w:val="24"/>
          <w:lang w:val="ru-RU"/>
        </w:rPr>
        <w:t>11</w:t>
      </w:r>
      <w:r w:rsidRPr="0035134D">
        <w:rPr>
          <w:b/>
          <w:sz w:val="28"/>
          <w:szCs w:val="24"/>
          <w:lang w:val="ru-RU"/>
        </w:rPr>
        <w:t>: Проведение консультаций с Комитетом по управлению механизмом содействия осуществлению и соблюдению Базельской конвенции</w:t>
      </w:r>
    </w:p>
    <w:p w:rsidR="004072EE" w:rsidRPr="004072EE" w:rsidRDefault="004072EE" w:rsidP="004072EE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i/>
          <w:szCs w:val="24"/>
          <w:lang w:val="ru-RU"/>
        </w:rPr>
      </w:pPr>
      <w:r w:rsidRPr="0035134D">
        <w:rPr>
          <w:i/>
          <w:szCs w:val="24"/>
          <w:lang w:val="ru-RU"/>
        </w:rPr>
        <w:t>Рабочая группа открытого состава</w:t>
      </w:r>
      <w:r w:rsidRPr="004072EE">
        <w:rPr>
          <w:szCs w:val="24"/>
          <w:lang w:val="ru-RU"/>
        </w:rPr>
        <w:t>:</w:t>
      </w:r>
    </w:p>
    <w:p w:rsidR="004072EE" w:rsidRPr="00672395" w:rsidRDefault="004072EE" w:rsidP="004072EE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szCs w:val="24"/>
          <w:lang w:val="ru-RU"/>
        </w:rPr>
      </w:pPr>
      <w:r w:rsidRPr="0035134D">
        <w:rPr>
          <w:szCs w:val="24"/>
          <w:lang w:val="ru-RU"/>
        </w:rPr>
        <w:t>1.</w:t>
      </w:r>
      <w:r w:rsidRPr="0035134D">
        <w:rPr>
          <w:szCs w:val="24"/>
          <w:lang w:val="ru-RU"/>
        </w:rPr>
        <w:tab/>
      </w:r>
      <w:r w:rsidRPr="0035134D">
        <w:rPr>
          <w:i/>
          <w:szCs w:val="24"/>
          <w:lang w:val="ru-RU"/>
        </w:rPr>
        <w:t>приветствует</w:t>
      </w:r>
      <w:r w:rsidRPr="0035134D">
        <w:rPr>
          <w:szCs w:val="24"/>
          <w:lang w:val="ru-RU"/>
        </w:rPr>
        <w:t xml:space="preserve"> работу, проведенную Комитетом по управлению механизмом содействия осуществлению и соблюдению Базельской конвенции, и возможность проведения консультаций в контексте подготовки Комитетом окончательной редакции руководства по улучшению осуществления пункта 11 статьи 6 Конвенции</w:t>
      </w:r>
      <w:r w:rsidRPr="0035134D">
        <w:rPr>
          <w:rFonts w:eastAsia="Calibri"/>
          <w:szCs w:val="24"/>
          <w:vertAlign w:val="superscript"/>
        </w:rPr>
        <w:footnoteReference w:id="1"/>
      </w:r>
      <w:r w:rsidRPr="0035134D">
        <w:rPr>
          <w:szCs w:val="24"/>
          <w:lang w:val="ru-RU"/>
        </w:rPr>
        <w:t>, пересмотренной редакции подготовленного Комитетом руководства по совершенствованию национальной отчетности</w:t>
      </w:r>
      <w:r w:rsidRPr="0035134D">
        <w:rPr>
          <w:rFonts w:eastAsia="Calibri"/>
          <w:szCs w:val="24"/>
          <w:vertAlign w:val="superscript"/>
        </w:rPr>
        <w:footnoteReference w:id="2"/>
      </w:r>
      <w:r w:rsidRPr="0035134D">
        <w:rPr>
          <w:szCs w:val="24"/>
          <w:lang w:val="ru-RU"/>
        </w:rPr>
        <w:t>, руководства по разработке национальной нормативно-правовой базы для осуществления Базельской конвенции</w:t>
      </w:r>
      <w:r w:rsidRPr="0035134D">
        <w:rPr>
          <w:rFonts w:eastAsia="Calibri"/>
          <w:szCs w:val="24"/>
          <w:vertAlign w:val="superscript"/>
        </w:rPr>
        <w:footnoteReference w:id="3"/>
      </w:r>
      <w:r w:rsidRPr="0035134D">
        <w:rPr>
          <w:szCs w:val="24"/>
          <w:lang w:val="ru-RU"/>
        </w:rPr>
        <w:t>, разработки руководства по осуществлению пункта 4 статьи 6 Конвенции о транзитных трансграничных перевозках</w:t>
      </w:r>
      <w:r w:rsidRPr="0035134D">
        <w:rPr>
          <w:rFonts w:eastAsia="Calibri"/>
          <w:szCs w:val="24"/>
          <w:vertAlign w:val="superscript"/>
        </w:rPr>
        <w:footnoteReference w:id="4"/>
      </w:r>
      <w:r w:rsidRPr="0035134D">
        <w:rPr>
          <w:szCs w:val="24"/>
          <w:lang w:val="ru-RU"/>
        </w:rPr>
        <w:t>, а также разработки проекта программы работы Комитета на 2020-2021 годы</w:t>
      </w:r>
      <w:r w:rsidRPr="0035134D">
        <w:rPr>
          <w:rFonts w:eastAsia="Calibri"/>
          <w:szCs w:val="24"/>
          <w:vertAlign w:val="superscript"/>
        </w:rPr>
        <w:footnoteReference w:id="5"/>
      </w:r>
      <w:r w:rsidRPr="0035134D">
        <w:rPr>
          <w:szCs w:val="24"/>
          <w:lang w:val="ru-RU"/>
        </w:rPr>
        <w:t xml:space="preserve">; </w:t>
      </w:r>
    </w:p>
    <w:p w:rsidR="004072EE" w:rsidRPr="0035134D" w:rsidRDefault="004072EE" w:rsidP="004072EE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szCs w:val="24"/>
          <w:lang w:val="ru-RU"/>
        </w:rPr>
      </w:pPr>
      <w:r w:rsidRPr="0035134D">
        <w:rPr>
          <w:szCs w:val="24"/>
          <w:lang w:val="ru-RU"/>
        </w:rPr>
        <w:t>2.</w:t>
      </w:r>
      <w:r w:rsidRPr="0035134D">
        <w:rPr>
          <w:szCs w:val="24"/>
          <w:lang w:val="ru-RU"/>
        </w:rPr>
        <w:tab/>
      </w:r>
      <w:r w:rsidRPr="0035134D">
        <w:rPr>
          <w:i/>
          <w:szCs w:val="24"/>
          <w:lang w:val="ru-RU"/>
        </w:rPr>
        <w:t>предлагает</w:t>
      </w:r>
      <w:r w:rsidRPr="0035134D">
        <w:rPr>
          <w:szCs w:val="24"/>
          <w:lang w:val="ru-RU"/>
        </w:rPr>
        <w:t xml:space="preserve"> Комитету доработать руководящие указания, содержащиеся в документах </w:t>
      </w:r>
      <w:r w:rsidRPr="0035134D">
        <w:rPr>
          <w:szCs w:val="24"/>
        </w:rPr>
        <w:t>UNEP</w:t>
      </w:r>
      <w:r w:rsidRPr="0035134D">
        <w:rPr>
          <w:szCs w:val="24"/>
          <w:lang w:val="ru-RU"/>
        </w:rPr>
        <w:t>/</w:t>
      </w:r>
      <w:r w:rsidRPr="0035134D">
        <w:rPr>
          <w:szCs w:val="24"/>
        </w:rPr>
        <w:t>CHW</w:t>
      </w:r>
      <w:r w:rsidRPr="0035134D">
        <w:rPr>
          <w:szCs w:val="24"/>
          <w:lang w:val="ru-RU"/>
        </w:rPr>
        <w:t>/</w:t>
      </w:r>
      <w:r w:rsidRPr="0035134D">
        <w:rPr>
          <w:szCs w:val="24"/>
        </w:rPr>
        <w:t>OEWG</w:t>
      </w:r>
      <w:r w:rsidRPr="0035134D">
        <w:rPr>
          <w:szCs w:val="24"/>
          <w:lang w:val="ru-RU"/>
        </w:rPr>
        <w:t>.11/</w:t>
      </w:r>
      <w:r w:rsidRPr="0035134D">
        <w:rPr>
          <w:szCs w:val="24"/>
        </w:rPr>
        <w:t>INF</w:t>
      </w:r>
      <w:r w:rsidRPr="0035134D">
        <w:rPr>
          <w:szCs w:val="24"/>
          <w:lang w:val="ru-RU"/>
        </w:rPr>
        <w:t xml:space="preserve">/25, </w:t>
      </w:r>
      <w:r w:rsidRPr="0035134D">
        <w:rPr>
          <w:szCs w:val="24"/>
        </w:rPr>
        <w:t>UNEP</w:t>
      </w:r>
      <w:r w:rsidRPr="0035134D">
        <w:rPr>
          <w:szCs w:val="24"/>
          <w:lang w:val="ru-RU"/>
        </w:rPr>
        <w:t>/</w:t>
      </w:r>
      <w:r w:rsidRPr="0035134D">
        <w:rPr>
          <w:szCs w:val="24"/>
        </w:rPr>
        <w:t>CHW</w:t>
      </w:r>
      <w:r w:rsidRPr="0035134D">
        <w:rPr>
          <w:szCs w:val="24"/>
          <w:lang w:val="ru-RU"/>
        </w:rPr>
        <w:t>/</w:t>
      </w:r>
      <w:r w:rsidRPr="0035134D">
        <w:rPr>
          <w:szCs w:val="24"/>
        </w:rPr>
        <w:t>OEWG</w:t>
      </w:r>
      <w:r w:rsidRPr="0035134D">
        <w:rPr>
          <w:szCs w:val="24"/>
          <w:lang w:val="ru-RU"/>
        </w:rPr>
        <w:t>.11/</w:t>
      </w:r>
      <w:r w:rsidRPr="0035134D">
        <w:rPr>
          <w:szCs w:val="24"/>
        </w:rPr>
        <w:t>INF</w:t>
      </w:r>
      <w:r w:rsidRPr="0035134D">
        <w:rPr>
          <w:szCs w:val="24"/>
          <w:lang w:val="ru-RU"/>
        </w:rPr>
        <w:t xml:space="preserve">/26 и </w:t>
      </w:r>
      <w:r w:rsidRPr="0035134D">
        <w:rPr>
          <w:szCs w:val="24"/>
        </w:rPr>
        <w:t>UNEP</w:t>
      </w:r>
      <w:r w:rsidRPr="0035134D">
        <w:rPr>
          <w:szCs w:val="24"/>
          <w:lang w:val="ru-RU"/>
        </w:rPr>
        <w:t>/</w:t>
      </w:r>
      <w:r w:rsidRPr="0035134D">
        <w:rPr>
          <w:szCs w:val="24"/>
        </w:rPr>
        <w:t>CHW</w:t>
      </w:r>
      <w:r w:rsidRPr="0035134D">
        <w:rPr>
          <w:szCs w:val="24"/>
          <w:lang w:val="ru-RU"/>
        </w:rPr>
        <w:t>/</w:t>
      </w:r>
      <w:r w:rsidRPr="0035134D">
        <w:rPr>
          <w:szCs w:val="24"/>
        </w:rPr>
        <w:t>OEWG</w:t>
      </w:r>
      <w:r w:rsidRPr="0035134D">
        <w:rPr>
          <w:szCs w:val="24"/>
          <w:lang w:val="ru-RU"/>
        </w:rPr>
        <w:t>.11/</w:t>
      </w:r>
      <w:r w:rsidRPr="0035134D">
        <w:rPr>
          <w:szCs w:val="24"/>
        </w:rPr>
        <w:t>INF</w:t>
      </w:r>
      <w:r w:rsidRPr="0035134D">
        <w:rPr>
          <w:szCs w:val="24"/>
          <w:lang w:val="ru-RU"/>
        </w:rPr>
        <w:t>/27, до 31 октября 2018 года, принимая во внимание итоги консультаций с Рабочей группой открытого состава на ее одиннадцатом совещании, для рассмотрения и возможного принятия Конференцией Сторон на ее четырнадцатом совещании;</w:t>
      </w:r>
    </w:p>
    <w:p w:rsidR="004072EE" w:rsidRPr="0035134D" w:rsidRDefault="004072EE" w:rsidP="004072EE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szCs w:val="24"/>
          <w:lang w:val="ru-RU"/>
        </w:rPr>
      </w:pPr>
      <w:r w:rsidRPr="0035134D">
        <w:rPr>
          <w:szCs w:val="24"/>
          <w:lang w:val="ru-RU"/>
        </w:rPr>
        <w:t>3.</w:t>
      </w:r>
      <w:r w:rsidRPr="0035134D">
        <w:rPr>
          <w:szCs w:val="24"/>
          <w:lang w:val="ru-RU"/>
        </w:rPr>
        <w:tab/>
      </w:r>
      <w:r w:rsidRPr="0035134D">
        <w:rPr>
          <w:i/>
          <w:szCs w:val="24"/>
          <w:lang w:val="ru-RU"/>
        </w:rPr>
        <w:t>также предлагает</w:t>
      </w:r>
      <w:r w:rsidRPr="0035134D">
        <w:rPr>
          <w:szCs w:val="24"/>
          <w:lang w:val="ru-RU"/>
        </w:rPr>
        <w:t xml:space="preserve"> Комитету рассмотреть вопрос о подготовке пересмотренно</w:t>
      </w:r>
      <w:r>
        <w:rPr>
          <w:szCs w:val="24"/>
          <w:lang w:val="ru-RU"/>
        </w:rPr>
        <w:t>й редакции</w:t>
      </w:r>
      <w:r w:rsidRPr="0035134D">
        <w:rPr>
          <w:szCs w:val="24"/>
          <w:lang w:val="ru-RU"/>
        </w:rPr>
        <w:t xml:space="preserve"> проекта его программы работы на 2020-2021 годы, принимая во внимание замечания, полученные в ходе одиннадцатого совещания Рабочей группы открытого состава, предложив Сторонам и другим участникам представить дальнейшие замечания по этому вопросу, а также о завершении работы над своей программой работы на 2020-2021 годы с учетом полученных дальнейших замечаний, для его рассмотрения и возможного принятия Конференцией Сторон на ее четырнадцатом совещании;</w:t>
      </w:r>
    </w:p>
    <w:p w:rsidR="004072EE" w:rsidRPr="0035134D" w:rsidRDefault="004072EE" w:rsidP="004072EE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240"/>
        <w:ind w:left="1247" w:firstLine="624"/>
        <w:rPr>
          <w:szCs w:val="24"/>
          <w:lang w:val="ru-RU"/>
        </w:rPr>
      </w:pPr>
      <w:r w:rsidRPr="0035134D">
        <w:rPr>
          <w:szCs w:val="24"/>
          <w:lang w:val="ru-RU"/>
        </w:rPr>
        <w:t>4.</w:t>
      </w:r>
      <w:r w:rsidRPr="0035134D">
        <w:rPr>
          <w:szCs w:val="24"/>
          <w:lang w:val="ru-RU"/>
        </w:rPr>
        <w:tab/>
      </w:r>
      <w:r w:rsidRPr="0035134D">
        <w:rPr>
          <w:i/>
          <w:szCs w:val="24"/>
          <w:lang w:val="ru-RU"/>
        </w:rPr>
        <w:t>также предлагает</w:t>
      </w:r>
      <w:r w:rsidRPr="0035134D">
        <w:rPr>
          <w:szCs w:val="24"/>
          <w:lang w:val="ru-RU"/>
        </w:rPr>
        <w:t xml:space="preserve"> Комитету рассмотреть вопрос о подготовке пересмотренно</w:t>
      </w:r>
      <w:r>
        <w:rPr>
          <w:szCs w:val="24"/>
          <w:lang w:val="ru-RU"/>
        </w:rPr>
        <w:t>й редакции</w:t>
      </w:r>
      <w:r w:rsidRPr="0035134D">
        <w:rPr>
          <w:szCs w:val="24"/>
          <w:lang w:val="ru-RU"/>
        </w:rPr>
        <w:t xml:space="preserve"> проекта руководства по транзитным трансграничным перевозкам, принимая во внимание замечания, полученные в ходе одиннадцатого совещания Рабочей группы открытого состава, предложив Сторонам и другим участникам представить дальнейшие замечания по этому вопросу, а также о завершении работы над этим руководством с учетом полученных дальнейших замечаний, для его рассмотрения и возможного принятия Конференцией Сторон на ее четырнадцатом совещании.</w:t>
      </w:r>
    </w:p>
    <w:p w:rsidR="00CF7497" w:rsidRPr="004072EE" w:rsidRDefault="00CF7497">
      <w:pPr>
        <w:rPr>
          <w:lang w:val="ru-RU"/>
        </w:rPr>
      </w:pPr>
      <w:bookmarkStart w:id="0" w:name="_GoBack"/>
      <w:bookmarkEnd w:id="0"/>
    </w:p>
    <w:sectPr w:rsidR="00CF7497" w:rsidRPr="0040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4F" w:rsidRDefault="00A4064F" w:rsidP="004072EE">
      <w:r>
        <w:separator/>
      </w:r>
    </w:p>
  </w:endnote>
  <w:endnote w:type="continuationSeparator" w:id="0">
    <w:p w:rsidR="00A4064F" w:rsidRDefault="00A4064F" w:rsidP="0040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4F" w:rsidRDefault="00A4064F" w:rsidP="004072EE">
      <w:r>
        <w:separator/>
      </w:r>
    </w:p>
  </w:footnote>
  <w:footnote w:type="continuationSeparator" w:id="0">
    <w:p w:rsidR="00A4064F" w:rsidRDefault="00A4064F" w:rsidP="004072EE">
      <w:r>
        <w:continuationSeparator/>
      </w:r>
    </w:p>
  </w:footnote>
  <w:footnote w:id="1">
    <w:p w:rsidR="004072EE" w:rsidRPr="004072EE" w:rsidRDefault="004072EE" w:rsidP="004072EE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  <w:lang w:val="en-US"/>
        </w:rPr>
      </w:pPr>
      <w:r w:rsidRPr="00FA0AD4">
        <w:rPr>
          <w:rStyle w:val="FootnoteReference"/>
        </w:rPr>
        <w:footnoteRef/>
      </w:r>
      <w:r w:rsidRPr="00FA0AD4">
        <w:rPr>
          <w:szCs w:val="18"/>
          <w:lang w:val="en-CA"/>
        </w:rPr>
        <w:t xml:space="preserve"> </w:t>
      </w:r>
      <w:r w:rsidRPr="00FA0AD4">
        <w:rPr>
          <w:szCs w:val="18"/>
        </w:rPr>
        <w:tab/>
      </w:r>
      <w:r w:rsidRPr="00FA0AD4">
        <w:rPr>
          <w:szCs w:val="18"/>
          <w:lang w:val="en-CA"/>
        </w:rPr>
        <w:t>UNEP/CHW/OEWG.11/INF/2</w:t>
      </w:r>
      <w:r>
        <w:rPr>
          <w:szCs w:val="18"/>
          <w:lang w:val="en-CA"/>
        </w:rPr>
        <w:t>5</w:t>
      </w:r>
      <w:r w:rsidRPr="00FA0AD4">
        <w:rPr>
          <w:szCs w:val="18"/>
          <w:lang w:val="en-CA"/>
        </w:rPr>
        <w:t>.</w:t>
      </w:r>
    </w:p>
  </w:footnote>
  <w:footnote w:id="2">
    <w:p w:rsidR="004072EE" w:rsidRPr="00FA0AD4" w:rsidRDefault="004072EE" w:rsidP="004072EE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</w:rPr>
      </w:pPr>
      <w:r w:rsidRPr="00FA0AD4">
        <w:rPr>
          <w:rStyle w:val="FootnoteReference"/>
        </w:rPr>
        <w:footnoteRef/>
      </w:r>
      <w:r w:rsidRPr="00FA0AD4">
        <w:rPr>
          <w:szCs w:val="18"/>
        </w:rPr>
        <w:t xml:space="preserve"> </w:t>
      </w:r>
      <w:r w:rsidRPr="00FA0AD4">
        <w:rPr>
          <w:szCs w:val="18"/>
        </w:rPr>
        <w:tab/>
        <w:t>UNEP/CHW/OEWG.11/INF/26.</w:t>
      </w:r>
    </w:p>
  </w:footnote>
  <w:footnote w:id="3">
    <w:p w:rsidR="004072EE" w:rsidRPr="00FA0AD4" w:rsidRDefault="004072EE" w:rsidP="004072EE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</w:rPr>
      </w:pPr>
      <w:r w:rsidRPr="00FA0AD4">
        <w:rPr>
          <w:rStyle w:val="FootnoteReference"/>
        </w:rPr>
        <w:footnoteRef/>
      </w:r>
      <w:r w:rsidRPr="00FA0AD4">
        <w:rPr>
          <w:szCs w:val="18"/>
        </w:rPr>
        <w:t xml:space="preserve"> </w:t>
      </w:r>
      <w:r w:rsidRPr="00FA0AD4">
        <w:rPr>
          <w:szCs w:val="18"/>
        </w:rPr>
        <w:tab/>
        <w:t>UNEP/CHW/OEWG.11/INF/27.</w:t>
      </w:r>
    </w:p>
  </w:footnote>
  <w:footnote w:id="4">
    <w:p w:rsidR="004072EE" w:rsidRPr="00FA0AD4" w:rsidRDefault="004072EE" w:rsidP="004072EE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</w:rPr>
      </w:pPr>
      <w:r w:rsidRPr="00FA0AD4">
        <w:rPr>
          <w:rStyle w:val="FootnoteReference"/>
        </w:rPr>
        <w:footnoteRef/>
      </w:r>
      <w:r w:rsidRPr="00FA0AD4">
        <w:rPr>
          <w:szCs w:val="18"/>
        </w:rPr>
        <w:t xml:space="preserve"> </w:t>
      </w:r>
      <w:r w:rsidRPr="00FA0AD4">
        <w:rPr>
          <w:szCs w:val="18"/>
        </w:rPr>
        <w:tab/>
        <w:t>UNEP/CHW/OEWG.11/INF/28.</w:t>
      </w:r>
    </w:p>
  </w:footnote>
  <w:footnote w:id="5">
    <w:p w:rsidR="004072EE" w:rsidRPr="00FA0AD4" w:rsidRDefault="004072EE" w:rsidP="004072EE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</w:rPr>
      </w:pPr>
      <w:r w:rsidRPr="00FA0AD4">
        <w:rPr>
          <w:rStyle w:val="FootnoteReference"/>
        </w:rPr>
        <w:footnoteRef/>
      </w:r>
      <w:r w:rsidRPr="00FA0AD4">
        <w:rPr>
          <w:szCs w:val="18"/>
        </w:rPr>
        <w:t xml:space="preserve"> </w:t>
      </w:r>
      <w:r w:rsidRPr="00FA0AD4">
        <w:rPr>
          <w:szCs w:val="18"/>
        </w:rPr>
        <w:tab/>
        <w:t>UNEP/CHW/OEWG.11/INF/29.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EE"/>
    <w:rsid w:val="00304CF0"/>
    <w:rsid w:val="004072EE"/>
    <w:rsid w:val="00987DB3"/>
    <w:rsid w:val="009D258D"/>
    <w:rsid w:val="00A4064F"/>
    <w:rsid w:val="00C873CC"/>
    <w:rsid w:val="00C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B2EC6-E815-4C1D-AC46-23F60F6A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2EE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,Footnote Reference1"/>
    <w:rsid w:val="004072EE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,93"/>
    <w:basedOn w:val="Normal"/>
    <w:link w:val="FootnoteTextChar"/>
    <w:uiPriority w:val="99"/>
    <w:qFormat/>
    <w:rsid w:val="004072EE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uiPriority w:val="99"/>
    <w:rsid w:val="004072EE"/>
    <w:rPr>
      <w:rFonts w:ascii="Times New Roman" w:eastAsia="Times New Roman" w:hAnsi="Times New Roman" w:cs="Times New Roman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Gong</dc:creator>
  <cp:keywords/>
  <dc:description/>
  <cp:lastModifiedBy>Le Gong</cp:lastModifiedBy>
  <cp:revision>1</cp:revision>
  <dcterms:created xsi:type="dcterms:W3CDTF">2018-12-21T14:00:00Z</dcterms:created>
  <dcterms:modified xsi:type="dcterms:W3CDTF">2018-12-21T14:00:00Z</dcterms:modified>
</cp:coreProperties>
</file>