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7F" w:rsidRPr="00AA0ED4" w:rsidRDefault="00185E7F" w:rsidP="00185E7F">
      <w:pPr>
        <w:tabs>
          <w:tab w:val="left" w:pos="2267"/>
        </w:tabs>
        <w:spacing w:after="120" w:line="400" w:lineRule="exact"/>
        <w:ind w:left="1134" w:hanging="1"/>
        <w:jc w:val="both"/>
        <w:textDirection w:val="tbRlV"/>
        <w:rPr>
          <w:rFonts w:ascii="Traditional Arabic" w:hAnsi="Traditional Arabic" w:cs="Traditional Arabic"/>
          <w:bCs/>
          <w:sz w:val="32"/>
          <w:szCs w:val="32"/>
          <w:rtl/>
          <w:lang w:val="en-GB" w:eastAsia="zh-TW"/>
        </w:rPr>
      </w:pPr>
      <w:r w:rsidRPr="00647665">
        <w:rPr>
          <w:rFonts w:ascii="Traditional Arabic" w:hAnsi="Traditional Arabic" w:cs="Traditional Arabic"/>
          <w:bCs/>
          <w:sz w:val="32"/>
          <w:szCs w:val="32"/>
          <w:rtl/>
          <w:lang w:val="en-GB" w:eastAsia="zh-TW"/>
        </w:rPr>
        <w:t>مقرر الفريق العامل المفتوح العضوية -11/3: المبادئ التوجيهية التقنية للإدارة السليمة بيئياً للنفايات المكونة من الملوثات العضوية الثابتة أو المحتوية عليها أو الملوثة بها</w:t>
      </w:r>
    </w:p>
    <w:p w:rsidR="00185E7F" w:rsidRPr="00DF3961"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i/>
          <w:iCs/>
          <w:sz w:val="30"/>
          <w:szCs w:val="30"/>
          <w:rtl/>
          <w:lang w:val="en-GB" w:eastAsia="zh-TW"/>
        </w:rPr>
        <w:t>إن الفريق العامل المفتوح العضوية،</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bCs/>
          <w:sz w:val="30"/>
          <w:szCs w:val="30"/>
          <w:rtl/>
          <w:lang w:val="en-GB" w:eastAsia="zh-TW"/>
        </w:rPr>
      </w:pPr>
      <w:r w:rsidRPr="0092309E">
        <w:rPr>
          <w:rFonts w:ascii="Traditional Arabic" w:hAnsi="Traditional Arabic" w:cs="Traditional Arabic" w:hint="cs"/>
          <w:sz w:val="30"/>
          <w:szCs w:val="30"/>
          <w:rtl/>
          <w:lang w:val="en-GB" w:eastAsia="zh-TW"/>
        </w:rPr>
        <w:t>١-</w:t>
      </w:r>
      <w:r w:rsidRPr="0092309E">
        <w:rPr>
          <w:rFonts w:ascii="Traditional Arabic" w:hAnsi="Traditional Arabic" w:cs="Traditional Arabic"/>
          <w:sz w:val="30"/>
          <w:szCs w:val="30"/>
          <w:lang w:val="en-GB" w:eastAsia="zh-TW"/>
        </w:rPr>
        <w:tab/>
      </w:r>
      <w:r w:rsidRPr="0092309E">
        <w:rPr>
          <w:rFonts w:ascii="Traditional Arabic" w:hAnsi="Traditional Arabic" w:cs="Traditional Arabic" w:hint="cs"/>
          <w:i/>
          <w:iCs/>
          <w:sz w:val="30"/>
          <w:szCs w:val="30"/>
          <w:rtl/>
          <w:lang w:val="en-GB" w:eastAsia="zh-TW"/>
        </w:rPr>
        <w:t>يرحب مع التقدير</w:t>
      </w:r>
      <w:r w:rsidRPr="0092309E">
        <w:rPr>
          <w:rFonts w:ascii="Traditional Arabic" w:hAnsi="Traditional Arabic" w:cs="Traditional Arabic" w:hint="cs"/>
          <w:sz w:val="30"/>
          <w:szCs w:val="30"/>
          <w:rtl/>
          <w:lang w:val="en-GB" w:eastAsia="zh-TW"/>
        </w:rPr>
        <w:t xml:space="preserve"> بالمساهمة التي قدمتها النرويج بتولي دور البلد الرائد في تحديث المبادئ التوجيهية للإدارة السليمة بيئياً للنفايات المكونة من الإيثر الثنائي الفينيل السداسي البروم، والإيثر الثنائي الفينيل السباعي البروم، والإيثر الثنائي الفينيل الرباعي البروم، والإيثر الثنائي الفينيل الخماسي البروم، أو المحتوية على تلك المواد أو الملوثة بها، بما في ذلك الإيثر الثنائي الفينيل العشاري البروم؛</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bCs/>
          <w:sz w:val="30"/>
          <w:szCs w:val="30"/>
          <w:rtl/>
          <w:lang w:val="en-GB" w:eastAsia="zh-TW"/>
        </w:rPr>
      </w:pPr>
      <w:r w:rsidRPr="0092309E">
        <w:rPr>
          <w:rFonts w:ascii="Traditional Arabic" w:hAnsi="Traditional Arabic" w:cs="Traditional Arabic" w:hint="cs"/>
          <w:sz w:val="30"/>
          <w:szCs w:val="30"/>
          <w:rtl/>
          <w:lang w:val="en-GB" w:eastAsia="zh-TW"/>
        </w:rPr>
        <w:t>٢-</w:t>
      </w:r>
      <w:r w:rsidRPr="0092309E">
        <w:rPr>
          <w:rFonts w:ascii="Traditional Arabic" w:hAnsi="Traditional Arabic" w:cs="Traditional Arabic"/>
          <w:sz w:val="30"/>
          <w:szCs w:val="30"/>
          <w:lang w:val="en-GB" w:eastAsia="zh-TW"/>
        </w:rPr>
        <w:tab/>
      </w:r>
      <w:r w:rsidRPr="0092309E">
        <w:rPr>
          <w:rFonts w:ascii="Traditional Arabic" w:hAnsi="Traditional Arabic" w:cs="Traditional Arabic" w:hint="cs"/>
          <w:i/>
          <w:iCs/>
          <w:sz w:val="30"/>
          <w:szCs w:val="30"/>
          <w:rtl/>
          <w:lang w:val="en-GB" w:eastAsia="zh-TW"/>
        </w:rPr>
        <w:t>يحيط علماً</w:t>
      </w:r>
      <w:r w:rsidRPr="0092309E">
        <w:rPr>
          <w:rFonts w:ascii="Traditional Arabic" w:hAnsi="Traditional Arabic" w:cs="Traditional Arabic" w:hint="cs"/>
          <w:sz w:val="30"/>
          <w:szCs w:val="30"/>
          <w:rtl/>
          <w:lang w:val="en-GB" w:eastAsia="zh-TW"/>
        </w:rPr>
        <w:t xml:space="preserve"> بالمبادئ التوجيهية التقنية التالية:</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sz w:val="30"/>
          <w:szCs w:val="30"/>
          <w:rtl/>
          <w:lang w:val="en-GB" w:eastAsia="zh-TW"/>
        </w:rPr>
        <w:t>(أ)</w:t>
      </w:r>
      <w:r w:rsidRPr="0092309E">
        <w:rPr>
          <w:rFonts w:ascii="Traditional Arabic" w:hAnsi="Traditional Arabic" w:cs="Traditional Arabic" w:hint="cs"/>
          <w:sz w:val="30"/>
          <w:szCs w:val="30"/>
          <w:rtl/>
          <w:lang w:val="en-GB" w:eastAsia="zh-TW"/>
        </w:rPr>
        <w:tab/>
        <w:t>مشروع المبادئ التوجيهية التقنية العامة المستكملة للإدارة السليمة بيئياً للنفايات المكونة من ملوثات عضوية ثابتة أو المحتوية عليها أو الملوثة بها</w:t>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sz w:val="30"/>
          <w:szCs w:val="30"/>
          <w:vertAlign w:val="superscript"/>
          <w:rtl/>
          <w:lang w:val="en-GB" w:eastAsia="zh-TW"/>
        </w:rPr>
        <w:footnoteReference w:id="1"/>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hint="cs"/>
          <w:sz w:val="30"/>
          <w:szCs w:val="30"/>
          <w:rtl/>
          <w:lang w:val="en-GB" w:eastAsia="zh-TW"/>
        </w:rPr>
        <w:t>؛</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sz w:val="30"/>
          <w:szCs w:val="30"/>
          <w:rtl/>
          <w:lang w:val="en-GB" w:eastAsia="zh-TW"/>
        </w:rPr>
        <w:t>(ب)</w:t>
      </w:r>
      <w:r w:rsidRPr="0092309E">
        <w:rPr>
          <w:rFonts w:ascii="Traditional Arabic" w:hAnsi="Traditional Arabic" w:cs="Traditional Arabic" w:hint="cs"/>
          <w:sz w:val="30"/>
          <w:szCs w:val="30"/>
          <w:rtl/>
          <w:lang w:val="en-GB" w:eastAsia="zh-TW"/>
        </w:rPr>
        <w:tab/>
        <w:t>مشروع المبادئ التوجيهية التقنية للإدارة السليمة بيئياً للنفايات المكونة من البارافينات المكلورة القصيرة السلسلة أو المحتوية عليها أو الملوثة بها</w:t>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sz w:val="30"/>
          <w:szCs w:val="30"/>
          <w:vertAlign w:val="superscript"/>
          <w:rtl/>
          <w:lang w:val="en-GB" w:eastAsia="zh-TW"/>
        </w:rPr>
        <w:footnoteReference w:id="2"/>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hint="cs"/>
          <w:sz w:val="30"/>
          <w:szCs w:val="30"/>
          <w:rtl/>
          <w:lang w:val="en-GB" w:eastAsia="zh-TW"/>
        </w:rPr>
        <w:t>؛</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sz w:val="30"/>
          <w:szCs w:val="30"/>
          <w:rtl/>
          <w:lang w:val="en-GB" w:eastAsia="zh-TW"/>
        </w:rPr>
        <w:t>(ج)</w:t>
      </w:r>
      <w:r w:rsidRPr="0092309E">
        <w:rPr>
          <w:rFonts w:ascii="Traditional Arabic" w:hAnsi="Traditional Arabic" w:cs="Traditional Arabic" w:hint="cs"/>
          <w:sz w:val="30"/>
          <w:szCs w:val="30"/>
          <w:rtl/>
          <w:lang w:val="en-GB" w:eastAsia="zh-TW"/>
        </w:rPr>
        <w:tab/>
        <w:t>مشروع المبادئ التوجيهية التقنية المستكملة للإدارة السليمة بيئياً للنفايات المكونة من الإيثر الثنائي الفينيل السداسي البروم، والإيثر الثنائي الفينيل السباعي البروم، والإيثر الثنائي الفينيل الرباعي البروم، والإيثر الثنائي الفينيل الخماسي البروم، أو المحتوية على تلك المواد أو الملوثة بها</w:t>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sz w:val="30"/>
          <w:szCs w:val="30"/>
          <w:vertAlign w:val="superscript"/>
          <w:rtl/>
          <w:lang w:val="en-GB" w:eastAsia="zh-TW"/>
        </w:rPr>
        <w:footnoteReference w:id="3"/>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hint="cs"/>
          <w:sz w:val="30"/>
          <w:szCs w:val="30"/>
          <w:rtl/>
          <w:lang w:val="en-GB" w:eastAsia="zh-TW"/>
        </w:rPr>
        <w:t>؛</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sz w:val="30"/>
          <w:szCs w:val="30"/>
          <w:rtl/>
          <w:lang w:val="en-GB" w:eastAsia="zh-TW"/>
        </w:rPr>
        <w:t>(د)</w:t>
      </w:r>
      <w:r w:rsidRPr="0092309E">
        <w:rPr>
          <w:rFonts w:ascii="Traditional Arabic" w:hAnsi="Traditional Arabic" w:cs="Traditional Arabic" w:hint="cs"/>
          <w:sz w:val="30"/>
          <w:szCs w:val="30"/>
          <w:rtl/>
          <w:lang w:val="en-GB" w:eastAsia="zh-TW"/>
        </w:rPr>
        <w:tab/>
        <w:t>مشروع المبادئ التوجيهية التقنية المستكملة للإدارة السليمة بيئياً للنفايات المحتوية على الديوكسينات الثنائية البنزين المتعددة الكلور، أو الفيورانات الثنائية البنزين المتعددة الكلور، أو البنزين السداسي الكلور، أو المركبات الثنائية الفينيل المتعددة الكلور، أو البنزين الخماسي الكلور، أو النفثالينات المتعددة الكلور، المنتجة بشكل عرضي، أو المحتوية على تلك المواد أو الملوثة بها، بما يشمل البيوتادايين السداسي الكلور</w:t>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sz w:val="30"/>
          <w:szCs w:val="30"/>
          <w:vertAlign w:val="superscript"/>
          <w:rtl/>
          <w:lang w:val="en-GB" w:eastAsia="zh-TW"/>
        </w:rPr>
        <w:footnoteReference w:id="4"/>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hint="cs"/>
          <w:sz w:val="30"/>
          <w:szCs w:val="30"/>
          <w:rtl/>
          <w:lang w:val="en-GB" w:eastAsia="zh-TW"/>
        </w:rPr>
        <w:t>؛</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sz w:val="30"/>
          <w:szCs w:val="30"/>
          <w:rtl/>
          <w:lang w:val="en-GB" w:eastAsia="zh-TW"/>
        </w:rPr>
        <w:t>(هـ)</w:t>
      </w:r>
      <w:r w:rsidRPr="0092309E">
        <w:rPr>
          <w:rFonts w:ascii="Traditional Arabic" w:hAnsi="Traditional Arabic" w:cs="Traditional Arabic" w:hint="cs"/>
          <w:sz w:val="30"/>
          <w:szCs w:val="30"/>
          <w:rtl/>
          <w:lang w:val="en-GB" w:eastAsia="zh-TW"/>
        </w:rPr>
        <w:tab/>
        <w:t>مشروع المبادئ التوجيهية التقنية المستكملة للإدارة السليمة بيئياً للنفايات المكونة من البيوتادايين السداسي الكلور أو المحتوية عليه أو الملوثة به</w:t>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sz w:val="30"/>
          <w:szCs w:val="30"/>
          <w:vertAlign w:val="superscript"/>
          <w:rtl/>
          <w:lang w:val="en-GB" w:eastAsia="zh-TW"/>
        </w:rPr>
        <w:footnoteReference w:id="5"/>
      </w:r>
      <w:r w:rsidRPr="0092309E">
        <w:rPr>
          <w:rFonts w:ascii="Traditional Arabic" w:hAnsi="Traditional Arabic" w:cs="Traditional Arabic" w:hint="cs"/>
          <w:sz w:val="30"/>
          <w:szCs w:val="30"/>
          <w:vertAlign w:val="superscript"/>
          <w:rtl/>
          <w:lang w:val="en-GB" w:eastAsia="zh-TW"/>
        </w:rPr>
        <w:t>)</w:t>
      </w:r>
      <w:r w:rsidRPr="0092309E">
        <w:rPr>
          <w:rFonts w:ascii="Traditional Arabic" w:hAnsi="Traditional Arabic" w:cs="Traditional Arabic" w:hint="cs"/>
          <w:sz w:val="30"/>
          <w:szCs w:val="30"/>
          <w:rtl/>
          <w:lang w:val="en-GB" w:eastAsia="zh-TW"/>
        </w:rPr>
        <w:t>؛</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bCs/>
          <w:i/>
          <w:sz w:val="30"/>
          <w:szCs w:val="30"/>
          <w:rtl/>
          <w:lang w:val="en-GB" w:eastAsia="zh-TW"/>
        </w:rPr>
      </w:pPr>
      <w:r w:rsidRPr="0092309E">
        <w:rPr>
          <w:rFonts w:ascii="Traditional Arabic" w:hAnsi="Traditional Arabic" w:cs="Traditional Arabic" w:hint="cs"/>
          <w:sz w:val="30"/>
          <w:szCs w:val="30"/>
          <w:rtl/>
          <w:lang w:val="en-GB" w:eastAsia="zh-TW"/>
        </w:rPr>
        <w:t>٣-</w:t>
      </w:r>
      <w:r w:rsidRPr="0092309E">
        <w:rPr>
          <w:rFonts w:ascii="Traditional Arabic" w:hAnsi="Traditional Arabic" w:cs="Traditional Arabic"/>
          <w:sz w:val="30"/>
          <w:szCs w:val="30"/>
          <w:lang w:val="en-GB" w:eastAsia="zh-TW"/>
        </w:rPr>
        <w:tab/>
      </w:r>
      <w:r w:rsidRPr="0092309E">
        <w:rPr>
          <w:rFonts w:ascii="Traditional Arabic" w:hAnsi="Traditional Arabic" w:cs="Traditional Arabic" w:hint="cs"/>
          <w:i/>
          <w:iCs/>
          <w:sz w:val="30"/>
          <w:szCs w:val="30"/>
          <w:rtl/>
          <w:lang w:val="en-GB" w:eastAsia="zh-TW"/>
        </w:rPr>
        <w:t>يرحب</w:t>
      </w:r>
      <w:r w:rsidRPr="0092309E">
        <w:rPr>
          <w:rFonts w:ascii="Traditional Arabic" w:hAnsi="Traditional Arabic" w:cs="Traditional Arabic" w:hint="cs"/>
          <w:sz w:val="30"/>
          <w:szCs w:val="30"/>
          <w:rtl/>
          <w:lang w:val="en-GB" w:eastAsia="zh-TW"/>
        </w:rPr>
        <w:t xml:space="preserve"> بكون اجتماع الفريق العامل المصغر لما بين الدورات سيُعقد وجها لوجه يومي ٤ و٥ تشرين الأول/أكتوبر ٢٠١٨؛</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sz w:val="30"/>
          <w:szCs w:val="30"/>
          <w:rtl/>
          <w:lang w:val="en-GB" w:eastAsia="zh-TW"/>
        </w:rPr>
      </w:pPr>
      <w:r w:rsidRPr="0092309E">
        <w:rPr>
          <w:rFonts w:ascii="Traditional Arabic" w:hAnsi="Traditional Arabic" w:cs="Traditional Arabic" w:hint="cs"/>
          <w:sz w:val="30"/>
          <w:szCs w:val="30"/>
          <w:rtl/>
          <w:lang w:val="en-GB" w:eastAsia="zh-TW"/>
        </w:rPr>
        <w:lastRenderedPageBreak/>
        <w:t>٤-</w:t>
      </w:r>
      <w:r w:rsidRPr="0092309E">
        <w:rPr>
          <w:rFonts w:ascii="Traditional Arabic" w:hAnsi="Traditional Arabic" w:cs="Traditional Arabic"/>
          <w:sz w:val="30"/>
          <w:szCs w:val="30"/>
          <w:lang w:val="en-GB" w:eastAsia="zh-TW"/>
        </w:rPr>
        <w:tab/>
      </w:r>
      <w:r w:rsidRPr="0092309E">
        <w:rPr>
          <w:rFonts w:ascii="Traditional Arabic" w:hAnsi="Traditional Arabic" w:cs="Traditional Arabic" w:hint="cs"/>
          <w:i/>
          <w:iCs/>
          <w:sz w:val="30"/>
          <w:szCs w:val="30"/>
          <w:rtl/>
          <w:lang w:val="en-GB" w:eastAsia="zh-TW"/>
        </w:rPr>
        <w:t>يطلب</w:t>
      </w:r>
      <w:r w:rsidRPr="0092309E">
        <w:rPr>
          <w:rFonts w:ascii="Traditional Arabic" w:hAnsi="Traditional Arabic" w:cs="Traditional Arabic" w:hint="cs"/>
          <w:sz w:val="30"/>
          <w:szCs w:val="30"/>
          <w:rtl/>
          <w:lang w:val="en-GB" w:eastAsia="zh-TW"/>
        </w:rPr>
        <w:t xml:space="preserve"> إلى النرويج والأمانة، حسب مقتضيات الأحوال، أن تقوما، بحلول 31 تشرين الأول/أكتوبر ٢٠١٨، بتنقيح مشاريع المبادئ التوجيهية التقنية العامة والخاصة، الجديدة منها أو المستكملة، بالتشاور مع الفريق المصغر العامل بين الدورات، مع مراعاة المناقشات التي تدور ضمن الفريق العامل المفتوح العضوية خلال اجتماعه الحادي عشر، لكي ينظر مؤتمر الأطراف في هذه المبادئ مع احتمال اعتمادها خلال اجتماعه الرابع عشر؛</w:t>
      </w:r>
    </w:p>
    <w:p w:rsidR="00185E7F" w:rsidRPr="0092309E" w:rsidRDefault="00185E7F" w:rsidP="00185E7F">
      <w:pPr>
        <w:tabs>
          <w:tab w:val="left" w:pos="2409"/>
        </w:tabs>
        <w:spacing w:after="120" w:line="400" w:lineRule="exact"/>
        <w:ind w:left="1134" w:firstLine="708"/>
        <w:jc w:val="both"/>
        <w:rPr>
          <w:rFonts w:ascii="Traditional Arabic" w:hAnsi="Traditional Arabic" w:cs="Traditional Arabic"/>
          <w:b/>
          <w:sz w:val="30"/>
          <w:szCs w:val="30"/>
          <w:rtl/>
          <w:lang w:val="en-GB" w:eastAsia="zh-TW"/>
        </w:rPr>
      </w:pPr>
      <w:r w:rsidRPr="0092309E">
        <w:rPr>
          <w:rFonts w:ascii="Traditional Arabic" w:hAnsi="Traditional Arabic" w:cs="Traditional Arabic" w:hint="cs"/>
          <w:sz w:val="30"/>
          <w:szCs w:val="30"/>
          <w:rtl/>
          <w:lang w:val="en-GB" w:eastAsia="zh-TW"/>
        </w:rPr>
        <w:t>٥-</w:t>
      </w:r>
      <w:r w:rsidRPr="0092309E">
        <w:rPr>
          <w:rFonts w:ascii="Traditional Arabic" w:hAnsi="Traditional Arabic" w:cs="Traditional Arabic"/>
          <w:sz w:val="30"/>
          <w:szCs w:val="30"/>
          <w:rtl/>
          <w:lang w:val="en-GB" w:eastAsia="zh-TW"/>
        </w:rPr>
        <w:tab/>
      </w:r>
      <w:r w:rsidRPr="0092309E">
        <w:rPr>
          <w:rFonts w:ascii="Traditional Arabic" w:hAnsi="Traditional Arabic" w:cs="Traditional Arabic" w:hint="cs"/>
          <w:i/>
          <w:iCs/>
          <w:sz w:val="30"/>
          <w:szCs w:val="30"/>
          <w:rtl/>
          <w:lang w:val="en-GB" w:eastAsia="zh-TW"/>
        </w:rPr>
        <w:t>يدعو</w:t>
      </w:r>
      <w:r w:rsidRPr="0092309E">
        <w:rPr>
          <w:rFonts w:ascii="Traditional Arabic" w:hAnsi="Traditional Arabic" w:cs="Traditional Arabic" w:hint="cs"/>
          <w:sz w:val="30"/>
          <w:szCs w:val="30"/>
          <w:rtl/>
          <w:lang w:val="en-GB" w:eastAsia="zh-TW"/>
        </w:rPr>
        <w:t xml:space="preserve"> الأطراف والجهات المراقبة إلى أن تقدم إلى الأمانة تعليقات على مشروع المبادئ التوجيهية المعدة وفقا ًللفقرة 4 أعلاه، في موعد أقصاه 15 شباط/فبراير 2019؛</w:t>
      </w:r>
    </w:p>
    <w:p w:rsidR="00185E7F" w:rsidRDefault="00185E7F" w:rsidP="00185E7F">
      <w:pPr>
        <w:tabs>
          <w:tab w:val="left" w:pos="2409"/>
        </w:tabs>
        <w:spacing w:after="240" w:line="400" w:lineRule="exact"/>
        <w:ind w:left="1134" w:firstLine="708"/>
        <w:jc w:val="both"/>
        <w:rPr>
          <w:rFonts w:ascii="Traditional Arabic" w:hAnsi="Traditional Arabic" w:cs="Traditional Arabic"/>
          <w:sz w:val="30"/>
          <w:szCs w:val="30"/>
          <w:lang w:val="en-GB" w:eastAsia="zh-TW"/>
        </w:rPr>
      </w:pPr>
      <w:r w:rsidRPr="0092309E">
        <w:rPr>
          <w:rFonts w:ascii="Traditional Arabic" w:hAnsi="Traditional Arabic" w:cs="Traditional Arabic" w:hint="cs"/>
          <w:sz w:val="30"/>
          <w:szCs w:val="30"/>
          <w:rtl/>
          <w:lang w:val="en-GB" w:eastAsia="zh-TW"/>
        </w:rPr>
        <w:t>٦-</w:t>
      </w:r>
      <w:r w:rsidRPr="0092309E">
        <w:rPr>
          <w:rFonts w:ascii="Traditional Arabic" w:hAnsi="Traditional Arabic" w:cs="Traditional Arabic"/>
          <w:sz w:val="30"/>
          <w:szCs w:val="30"/>
          <w:rtl/>
          <w:lang w:val="en-GB" w:eastAsia="zh-TW"/>
        </w:rPr>
        <w:tab/>
      </w:r>
      <w:r w:rsidRPr="0092309E">
        <w:rPr>
          <w:rFonts w:ascii="Traditional Arabic" w:hAnsi="Traditional Arabic" w:cs="Traditional Arabic" w:hint="cs"/>
          <w:i/>
          <w:iCs/>
          <w:sz w:val="30"/>
          <w:szCs w:val="30"/>
          <w:rtl/>
          <w:lang w:val="en-GB" w:eastAsia="zh-TW"/>
        </w:rPr>
        <w:t>يطلب</w:t>
      </w:r>
      <w:r w:rsidRPr="0092309E">
        <w:rPr>
          <w:rFonts w:ascii="Traditional Arabic" w:hAnsi="Traditional Arabic" w:cs="Traditional Arabic" w:hint="cs"/>
          <w:sz w:val="30"/>
          <w:szCs w:val="30"/>
          <w:rtl/>
          <w:lang w:val="en-GB" w:eastAsia="zh-TW"/>
        </w:rPr>
        <w:t xml:space="preserve"> إلى الأمانة أن تعد تصنيفاً للتعليقات الواردة وفقاً للفقرة 5 أعلاه لكي ينظر فيها مؤتمر الأطراف في اجتماعه الرابع عشر.</w:t>
      </w:r>
    </w:p>
    <w:p w:rsidR="00CF7497" w:rsidRPr="00185E7F" w:rsidRDefault="00CF7497">
      <w:pPr>
        <w:rPr>
          <w:lang w:val="en-GB"/>
        </w:rPr>
      </w:pPr>
      <w:bookmarkStart w:id="0" w:name="_GoBack"/>
      <w:bookmarkEnd w:id="0"/>
    </w:p>
    <w:sectPr w:rsidR="00CF7497" w:rsidRPr="00185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0DF" w:rsidRDefault="007150DF" w:rsidP="00185E7F">
      <w:r>
        <w:separator/>
      </w:r>
    </w:p>
  </w:endnote>
  <w:endnote w:type="continuationSeparator" w:id="0">
    <w:p w:rsidR="007150DF" w:rsidRDefault="007150DF" w:rsidP="0018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0DF" w:rsidRDefault="007150DF" w:rsidP="00185E7F">
      <w:r>
        <w:separator/>
      </w:r>
    </w:p>
  </w:footnote>
  <w:footnote w:type="continuationSeparator" w:id="0">
    <w:p w:rsidR="007150DF" w:rsidRDefault="007150DF" w:rsidP="00185E7F">
      <w:r>
        <w:continuationSeparator/>
      </w:r>
    </w:p>
  </w:footnote>
  <w:footnote w:id="1">
    <w:p w:rsidR="00185E7F" w:rsidRPr="00B3482D" w:rsidRDefault="00185E7F" w:rsidP="00185E7F">
      <w:pPr>
        <w:pStyle w:val="Normal-pool"/>
        <w:tabs>
          <w:tab w:val="left" w:pos="624"/>
        </w:tabs>
        <w:spacing w:after="40" w:line="300" w:lineRule="exact"/>
        <w:ind w:left="1134"/>
        <w:jc w:val="both"/>
        <w:rPr>
          <w:rFonts w:ascii="Times New Roman" w:hAnsi="Times New Roman" w:cs="Traditional Arabic"/>
          <w:sz w:val="18"/>
          <w:szCs w:val="26"/>
          <w:lang w:eastAsia="zh-TW"/>
        </w:rPr>
      </w:pPr>
      <w:r w:rsidRPr="00B3482D">
        <w:rPr>
          <w:rFonts w:ascii="Times New Roman" w:hAnsi="Times New Roman" w:cs="Traditional Arabic" w:hint="cs"/>
          <w:sz w:val="18"/>
          <w:szCs w:val="26"/>
          <w:lang w:eastAsia="zh-TW"/>
        </w:rPr>
        <w:t>(</w:t>
      </w:r>
      <w:r w:rsidRPr="00B3482D">
        <w:rPr>
          <w:rStyle w:val="FootnoteReference"/>
          <w:rFonts w:ascii="Times New Roman" w:hAnsi="Times New Roman" w:cs="Traditional Arabic" w:hint="cs"/>
          <w:sz w:val="18"/>
          <w:szCs w:val="26"/>
          <w:lang w:eastAsia="zh-TW"/>
        </w:rPr>
        <w:footnoteRef/>
      </w:r>
      <w:r w:rsidRPr="00B3482D">
        <w:rPr>
          <w:rFonts w:ascii="Times New Roman" w:hAnsi="Times New Roman" w:cs="Traditional Arabic" w:hint="cs"/>
          <w:sz w:val="18"/>
          <w:szCs w:val="26"/>
          <w:lang w:eastAsia="zh-TW"/>
        </w:rPr>
        <w:t xml:space="preserve">)  </w:t>
      </w:r>
      <w:r w:rsidRPr="00B3482D">
        <w:rPr>
          <w:rFonts w:ascii="Times New Roman" w:eastAsia="Times New Roman" w:hAnsi="Times New Roman" w:cs="Traditional Arabic"/>
          <w:sz w:val="18"/>
          <w:szCs w:val="26"/>
          <w:lang w:val="en-US"/>
        </w:rPr>
        <w:t>UNEP/CHW/OEWG.11/INF/9</w:t>
      </w:r>
      <w:r w:rsidRPr="00B3482D">
        <w:rPr>
          <w:rFonts w:ascii="Times New Roman" w:hAnsi="Times New Roman" w:cs="Traditional Arabic" w:hint="cs"/>
          <w:sz w:val="18"/>
          <w:szCs w:val="26"/>
          <w:lang w:eastAsia="zh-TW"/>
        </w:rPr>
        <w:t>.</w:t>
      </w:r>
    </w:p>
  </w:footnote>
  <w:footnote w:id="2">
    <w:p w:rsidR="00185E7F" w:rsidRPr="00B3482D" w:rsidRDefault="00185E7F" w:rsidP="00185E7F">
      <w:pPr>
        <w:pStyle w:val="Normal-pool"/>
        <w:tabs>
          <w:tab w:val="left" w:pos="624"/>
        </w:tabs>
        <w:spacing w:after="40" w:line="300" w:lineRule="exact"/>
        <w:ind w:left="1134"/>
        <w:jc w:val="both"/>
        <w:rPr>
          <w:rFonts w:ascii="Times New Roman" w:hAnsi="Times New Roman" w:cs="Traditional Arabic"/>
          <w:sz w:val="18"/>
          <w:szCs w:val="26"/>
          <w:rtl/>
          <w:lang w:eastAsia="zh-TW"/>
        </w:rPr>
      </w:pPr>
      <w:r w:rsidRPr="00B3482D">
        <w:rPr>
          <w:rFonts w:ascii="Times New Roman" w:hAnsi="Times New Roman" w:cs="Traditional Arabic" w:hint="cs"/>
          <w:sz w:val="18"/>
          <w:szCs w:val="26"/>
          <w:lang w:eastAsia="zh-TW"/>
        </w:rPr>
        <w:t>(</w:t>
      </w:r>
      <w:r w:rsidRPr="00B3482D">
        <w:rPr>
          <w:rStyle w:val="FootnoteReference"/>
          <w:rFonts w:ascii="Times New Roman" w:hAnsi="Times New Roman" w:cs="Traditional Arabic" w:hint="cs"/>
          <w:sz w:val="18"/>
          <w:szCs w:val="26"/>
          <w:lang w:eastAsia="zh-TW"/>
        </w:rPr>
        <w:footnoteRef/>
      </w:r>
      <w:r w:rsidRPr="00B3482D">
        <w:rPr>
          <w:rFonts w:ascii="Times New Roman" w:hAnsi="Times New Roman" w:cs="Traditional Arabic" w:hint="cs"/>
          <w:sz w:val="18"/>
          <w:szCs w:val="26"/>
          <w:lang w:eastAsia="zh-TW"/>
        </w:rPr>
        <w:t xml:space="preserve">)  </w:t>
      </w:r>
      <w:r w:rsidRPr="00B3482D">
        <w:rPr>
          <w:rFonts w:ascii="Times New Roman" w:hAnsi="Times New Roman" w:cs="Traditional Arabic"/>
          <w:sz w:val="18"/>
          <w:szCs w:val="26"/>
          <w:lang w:eastAsia="zh-TW"/>
        </w:rPr>
        <w:t>UNEP/CHW/OEWG.11/INF/10</w:t>
      </w:r>
      <w:r w:rsidRPr="00B3482D">
        <w:rPr>
          <w:rFonts w:ascii="Times New Roman" w:hAnsi="Times New Roman" w:cs="Traditional Arabic" w:hint="cs"/>
          <w:sz w:val="18"/>
          <w:szCs w:val="26"/>
          <w:lang w:eastAsia="zh-TW"/>
        </w:rPr>
        <w:t>.</w:t>
      </w:r>
    </w:p>
  </w:footnote>
  <w:footnote w:id="3">
    <w:p w:rsidR="00185E7F" w:rsidRPr="00B3482D" w:rsidRDefault="00185E7F" w:rsidP="00185E7F">
      <w:pPr>
        <w:pStyle w:val="Normal-pool"/>
        <w:tabs>
          <w:tab w:val="left" w:pos="624"/>
        </w:tabs>
        <w:spacing w:after="40" w:line="300" w:lineRule="exact"/>
        <w:ind w:left="1134"/>
        <w:jc w:val="both"/>
        <w:rPr>
          <w:rFonts w:ascii="Times New Roman" w:hAnsi="Times New Roman" w:cs="Traditional Arabic"/>
          <w:sz w:val="18"/>
          <w:szCs w:val="26"/>
          <w:rtl/>
          <w:lang w:eastAsia="zh-TW"/>
        </w:rPr>
      </w:pPr>
      <w:r w:rsidRPr="00B3482D">
        <w:rPr>
          <w:rFonts w:ascii="Times New Roman" w:hAnsi="Times New Roman" w:cs="Traditional Arabic" w:hint="cs"/>
          <w:sz w:val="18"/>
          <w:szCs w:val="26"/>
          <w:lang w:eastAsia="zh-TW"/>
        </w:rPr>
        <w:t>(</w:t>
      </w:r>
      <w:r w:rsidRPr="00B3482D">
        <w:rPr>
          <w:rStyle w:val="FootnoteReference"/>
          <w:rFonts w:ascii="Times New Roman" w:hAnsi="Times New Roman" w:cs="Traditional Arabic" w:hint="cs"/>
          <w:sz w:val="18"/>
          <w:szCs w:val="26"/>
          <w:lang w:eastAsia="zh-TW"/>
        </w:rPr>
        <w:footnoteRef/>
      </w:r>
      <w:r w:rsidRPr="00B3482D">
        <w:rPr>
          <w:rFonts w:ascii="Times New Roman" w:hAnsi="Times New Roman" w:cs="Traditional Arabic" w:hint="cs"/>
          <w:sz w:val="18"/>
          <w:szCs w:val="26"/>
          <w:lang w:eastAsia="zh-TW"/>
        </w:rPr>
        <w:t xml:space="preserve">)  </w:t>
      </w:r>
      <w:r w:rsidRPr="00B3482D">
        <w:rPr>
          <w:rFonts w:ascii="Times New Roman" w:hAnsi="Times New Roman" w:cs="Traditional Arabic"/>
          <w:sz w:val="18"/>
          <w:szCs w:val="26"/>
          <w:lang w:eastAsia="zh-TW"/>
        </w:rPr>
        <w:t>UNEP/CHW/OEWG.11/INF/11</w:t>
      </w:r>
      <w:r w:rsidRPr="00B3482D">
        <w:rPr>
          <w:rFonts w:ascii="Times New Roman" w:hAnsi="Times New Roman" w:cs="Traditional Arabic" w:hint="cs"/>
          <w:sz w:val="18"/>
          <w:szCs w:val="26"/>
          <w:lang w:eastAsia="zh-TW"/>
        </w:rPr>
        <w:t>.</w:t>
      </w:r>
    </w:p>
  </w:footnote>
  <w:footnote w:id="4">
    <w:p w:rsidR="00185E7F" w:rsidRPr="00B3482D" w:rsidRDefault="00185E7F" w:rsidP="00185E7F">
      <w:pPr>
        <w:pStyle w:val="Normal-pool"/>
        <w:tabs>
          <w:tab w:val="left" w:pos="624"/>
        </w:tabs>
        <w:spacing w:after="40" w:line="300" w:lineRule="exact"/>
        <w:ind w:left="1134"/>
        <w:jc w:val="both"/>
        <w:rPr>
          <w:rFonts w:ascii="Times New Roman" w:hAnsi="Times New Roman" w:cs="Traditional Arabic"/>
          <w:b/>
          <w:sz w:val="18"/>
          <w:szCs w:val="26"/>
          <w:rtl/>
          <w:lang w:eastAsia="zh-TW"/>
        </w:rPr>
      </w:pPr>
      <w:r w:rsidRPr="00B3482D">
        <w:rPr>
          <w:rFonts w:ascii="Times New Roman" w:hAnsi="Times New Roman" w:cs="Traditional Arabic" w:hint="cs"/>
          <w:sz w:val="18"/>
          <w:szCs w:val="26"/>
          <w:lang w:eastAsia="zh-TW"/>
        </w:rPr>
        <w:t>(</w:t>
      </w:r>
      <w:r w:rsidRPr="00B3482D">
        <w:rPr>
          <w:rStyle w:val="FootnoteReference"/>
          <w:rFonts w:ascii="Times New Roman" w:hAnsi="Times New Roman" w:cs="Traditional Arabic" w:hint="cs"/>
          <w:sz w:val="18"/>
          <w:szCs w:val="26"/>
          <w:lang w:eastAsia="zh-TW"/>
        </w:rPr>
        <w:footnoteRef/>
      </w:r>
      <w:r w:rsidRPr="00B3482D">
        <w:rPr>
          <w:rFonts w:ascii="Times New Roman" w:hAnsi="Times New Roman" w:cs="Traditional Arabic" w:hint="cs"/>
          <w:sz w:val="18"/>
          <w:szCs w:val="26"/>
          <w:lang w:eastAsia="zh-TW"/>
        </w:rPr>
        <w:t xml:space="preserve">)  </w:t>
      </w:r>
      <w:r w:rsidRPr="00B3482D">
        <w:rPr>
          <w:rFonts w:ascii="Times New Roman" w:hAnsi="Times New Roman" w:cs="Traditional Arabic"/>
          <w:sz w:val="18"/>
          <w:szCs w:val="26"/>
          <w:lang w:eastAsia="zh-TW"/>
        </w:rPr>
        <w:t>UNEP/CHW/OEWG.11/INF/12</w:t>
      </w:r>
      <w:r w:rsidRPr="00B3482D">
        <w:rPr>
          <w:rFonts w:ascii="Times New Roman" w:hAnsi="Times New Roman" w:cs="Traditional Arabic" w:hint="cs"/>
          <w:sz w:val="18"/>
          <w:szCs w:val="26"/>
          <w:lang w:eastAsia="zh-TW"/>
        </w:rPr>
        <w:t>.</w:t>
      </w:r>
    </w:p>
  </w:footnote>
  <w:footnote w:id="5">
    <w:p w:rsidR="00185E7F" w:rsidRPr="00B3482D" w:rsidRDefault="00185E7F" w:rsidP="00185E7F">
      <w:pPr>
        <w:pStyle w:val="Normal-pool"/>
        <w:tabs>
          <w:tab w:val="left" w:pos="624"/>
        </w:tabs>
        <w:spacing w:after="40" w:line="300" w:lineRule="exact"/>
        <w:ind w:left="1134"/>
        <w:jc w:val="both"/>
        <w:rPr>
          <w:rFonts w:ascii="Times New Roman" w:hAnsi="Times New Roman" w:cs="Traditional Arabic"/>
          <w:sz w:val="18"/>
          <w:szCs w:val="26"/>
          <w:lang w:eastAsia="zh-TW"/>
        </w:rPr>
      </w:pPr>
      <w:r w:rsidRPr="00B3482D">
        <w:rPr>
          <w:rFonts w:ascii="Times New Roman" w:hAnsi="Times New Roman" w:cs="Traditional Arabic" w:hint="cs"/>
          <w:sz w:val="18"/>
          <w:szCs w:val="26"/>
          <w:lang w:eastAsia="zh-TW"/>
        </w:rPr>
        <w:t>(</w:t>
      </w:r>
      <w:r w:rsidRPr="00B3482D">
        <w:rPr>
          <w:rStyle w:val="FootnoteReference"/>
          <w:rFonts w:ascii="Times New Roman" w:hAnsi="Times New Roman" w:cs="Traditional Arabic" w:hint="cs"/>
          <w:sz w:val="18"/>
          <w:szCs w:val="26"/>
          <w:lang w:eastAsia="zh-TW"/>
        </w:rPr>
        <w:footnoteRef/>
      </w:r>
      <w:r w:rsidRPr="00B3482D">
        <w:rPr>
          <w:rFonts w:ascii="Times New Roman" w:hAnsi="Times New Roman" w:cs="Traditional Arabic" w:hint="cs"/>
          <w:sz w:val="18"/>
          <w:szCs w:val="26"/>
          <w:lang w:eastAsia="zh-TW"/>
        </w:rPr>
        <w:t xml:space="preserve">)  </w:t>
      </w:r>
      <w:r w:rsidRPr="00B3482D">
        <w:rPr>
          <w:rFonts w:ascii="Times New Roman" w:hAnsi="Times New Roman" w:cs="Traditional Arabic"/>
          <w:sz w:val="18"/>
          <w:szCs w:val="26"/>
          <w:lang w:eastAsia="zh-TW"/>
        </w:rPr>
        <w:t>UNEP/CHW/OEWG.11/INF/13</w:t>
      </w:r>
      <w:r w:rsidRPr="00B3482D">
        <w:rPr>
          <w:rFonts w:ascii="Times New Roman" w:hAnsi="Times New Roman" w:cs="Traditional Arabic" w:hint="cs"/>
          <w:sz w:val="18"/>
          <w:szCs w:val="26"/>
          <w:lang w:eastAsia="zh-TW"/>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7F"/>
    <w:rsid w:val="00185E7F"/>
    <w:rsid w:val="00304CF0"/>
    <w:rsid w:val="007150DF"/>
    <w:rsid w:val="00987DB3"/>
    <w:rsid w:val="009D258D"/>
    <w:rsid w:val="00C873CC"/>
    <w:rsid w:val="00C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ED254-02FD-4FEB-AA07-3065F8A5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5E7F"/>
    <w:pPr>
      <w:bidi/>
      <w:spacing w:after="0" w:line="240" w:lineRule="auto"/>
    </w:pPr>
    <w:rPr>
      <w:rFonts w:ascii="Times New Roman" w:eastAsia="Times New Roman" w:hAnsi="Times New Roman" w:cs="Simplified Arabic"/>
      <w:sz w:val="24"/>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Ref,de nota al pie,註腳內容,de nota al pie + (Asian) MS Mincho,11 pt,Ref. de nota de rodapé1,Footnote Reference1,stylish,fr"/>
    <w:link w:val="BVIfnrCharCharCharChar"/>
    <w:qFormat/>
    <w:rsid w:val="00185E7F"/>
    <w:rPr>
      <w:vertAlign w:val="superscript"/>
    </w:rPr>
  </w:style>
  <w:style w:type="paragraph" w:customStyle="1" w:styleId="Normal-pool">
    <w:name w:val="Normal-pool"/>
    <w:link w:val="Normal-poolChar"/>
    <w:rsid w:val="00185E7F"/>
    <w:pPr>
      <w:tabs>
        <w:tab w:val="left" w:pos="1247"/>
        <w:tab w:val="left" w:pos="1814"/>
        <w:tab w:val="left" w:pos="2381"/>
        <w:tab w:val="left" w:pos="2948"/>
        <w:tab w:val="left" w:pos="3515"/>
      </w:tabs>
      <w:bidi/>
      <w:spacing w:after="0" w:line="240" w:lineRule="auto"/>
    </w:pPr>
    <w:rPr>
      <w:rFonts w:ascii="Arial" w:eastAsia="Arial" w:hAnsi="Arial" w:cs="Arial"/>
      <w:sz w:val="20"/>
      <w:szCs w:val="20"/>
      <w:lang w:val="en-GB" w:eastAsia="en-US"/>
    </w:rPr>
  </w:style>
  <w:style w:type="character" w:customStyle="1" w:styleId="Normal-poolChar">
    <w:name w:val="Normal-pool Char"/>
    <w:link w:val="Normal-pool"/>
    <w:locked/>
    <w:rsid w:val="00185E7F"/>
    <w:rPr>
      <w:rFonts w:ascii="Arial" w:eastAsia="Arial" w:hAnsi="Arial" w:cs="Arial"/>
      <w:sz w:val="20"/>
      <w:szCs w:val="20"/>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w:basedOn w:val="Normal"/>
    <w:link w:val="FootnoteReference"/>
    <w:rsid w:val="00185E7F"/>
    <w:pPr>
      <w:bidi w:val="0"/>
      <w:spacing w:before="120" w:after="160" w:line="240" w:lineRule="exact"/>
    </w:pPr>
    <w:rPr>
      <w:rFonts w:asciiTheme="minorHAnsi" w:eastAsiaTheme="minorEastAsia" w:hAnsiTheme="minorHAnsi" w:cstheme="minorBidi"/>
      <w:sz w:val="22"/>
      <w:szCs w:val="22"/>
      <w:vertAlign w:val="superscript"/>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2018-12-21T14:14:00Z</dcterms:created>
  <dcterms:modified xsi:type="dcterms:W3CDTF">2018-12-21T14:15:00Z</dcterms:modified>
</cp:coreProperties>
</file>