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4EA2" w:rsidRPr="000045BE" w:rsidRDefault="00054EA2" w:rsidP="00054EA2">
      <w:pPr>
        <w:tabs>
          <w:tab w:val="left" w:pos="624"/>
          <w:tab w:val="left" w:pos="1872"/>
          <w:tab w:val="left" w:pos="2496"/>
          <w:tab w:val="left" w:pos="3120"/>
          <w:tab w:val="left" w:pos="3744"/>
          <w:tab w:val="left" w:pos="4368"/>
          <w:tab w:val="left" w:pos="4992"/>
          <w:tab w:val="left" w:pos="5616"/>
          <w:tab w:val="left" w:pos="6240"/>
          <w:tab w:val="left" w:pos="6864"/>
          <w:tab w:val="left" w:pos="7488"/>
          <w:tab w:val="left" w:pos="8112"/>
          <w:tab w:val="left" w:pos="8736"/>
          <w:tab w:val="left" w:pos="9360"/>
        </w:tabs>
        <w:spacing w:before="240" w:after="120"/>
        <w:ind w:left="1276"/>
        <w:rPr>
          <w:b/>
        </w:rPr>
      </w:pPr>
      <w:r w:rsidRPr="000045BE">
        <w:rPr>
          <w:b/>
        </w:rPr>
        <w:t>CC-13/3: Submission by Central African Republic</w:t>
      </w:r>
    </w:p>
    <w:p w:rsidR="00054EA2" w:rsidRPr="000045BE" w:rsidRDefault="00054EA2" w:rsidP="00054EA2">
      <w:pPr>
        <w:tabs>
          <w:tab w:val="left" w:pos="624"/>
          <w:tab w:val="left" w:pos="2496"/>
          <w:tab w:val="left" w:pos="3120"/>
          <w:tab w:val="left" w:pos="3744"/>
          <w:tab w:val="left" w:pos="4368"/>
          <w:tab w:val="left" w:pos="4992"/>
          <w:tab w:val="left" w:pos="5616"/>
          <w:tab w:val="left" w:pos="6240"/>
          <w:tab w:val="left" w:pos="6864"/>
          <w:tab w:val="left" w:pos="7488"/>
          <w:tab w:val="left" w:pos="8112"/>
          <w:tab w:val="left" w:pos="8736"/>
          <w:tab w:val="left" w:pos="9360"/>
        </w:tabs>
        <w:spacing w:after="120"/>
        <w:ind w:left="1276" w:firstLine="567"/>
        <w:rPr>
          <w:i/>
          <w:iCs/>
        </w:rPr>
      </w:pPr>
      <w:r w:rsidRPr="000045BE">
        <w:rPr>
          <w:i/>
          <w:iCs/>
        </w:rPr>
        <w:t>The Committee,</w:t>
      </w:r>
    </w:p>
    <w:p w:rsidR="00054EA2" w:rsidRPr="000045BE" w:rsidRDefault="00054EA2" w:rsidP="00054EA2">
      <w:pPr>
        <w:tabs>
          <w:tab w:val="left" w:pos="624"/>
          <w:tab w:val="left" w:pos="2496"/>
          <w:tab w:val="left" w:pos="3120"/>
          <w:tab w:val="left" w:pos="3744"/>
          <w:tab w:val="left" w:pos="4368"/>
          <w:tab w:val="left" w:pos="4992"/>
          <w:tab w:val="left" w:pos="5616"/>
          <w:tab w:val="left" w:pos="6240"/>
          <w:tab w:val="left" w:pos="6864"/>
          <w:tab w:val="left" w:pos="7488"/>
          <w:tab w:val="left" w:pos="8112"/>
          <w:tab w:val="left" w:pos="8736"/>
          <w:tab w:val="left" w:pos="9360"/>
        </w:tabs>
        <w:spacing w:after="120"/>
        <w:ind w:left="1276" w:firstLine="567"/>
      </w:pPr>
      <w:r w:rsidRPr="000045BE">
        <w:rPr>
          <w:i/>
        </w:rPr>
        <w:t>Noting</w:t>
      </w:r>
      <w:r w:rsidRPr="000045BE">
        <w:t xml:space="preserve"> that paragraph 4 of Article 4 of the Convention requires each Party to take appropriate legal, administrative and other measures to implement and enforce the provisions of the Basel Convention, including measures to prevent and punish conduct in contravention of the Convention,</w:t>
      </w:r>
    </w:p>
    <w:p w:rsidR="00054EA2" w:rsidRPr="000045BE" w:rsidRDefault="00054EA2" w:rsidP="00054EA2">
      <w:pPr>
        <w:tabs>
          <w:tab w:val="left" w:pos="624"/>
          <w:tab w:val="left" w:pos="2496"/>
          <w:tab w:val="left" w:pos="3120"/>
          <w:tab w:val="left" w:pos="3744"/>
          <w:tab w:val="left" w:pos="4368"/>
          <w:tab w:val="left" w:pos="4992"/>
          <w:tab w:val="left" w:pos="5616"/>
          <w:tab w:val="left" w:pos="6240"/>
          <w:tab w:val="left" w:pos="6864"/>
          <w:tab w:val="left" w:pos="7488"/>
          <w:tab w:val="left" w:pos="8112"/>
          <w:tab w:val="left" w:pos="8736"/>
          <w:tab w:val="left" w:pos="9360"/>
        </w:tabs>
        <w:spacing w:after="120"/>
        <w:ind w:left="1276" w:firstLine="567"/>
      </w:pPr>
      <w:r w:rsidRPr="000045BE">
        <w:rPr>
          <w:i/>
        </w:rPr>
        <w:t>Noting</w:t>
      </w:r>
      <w:r w:rsidRPr="000045BE">
        <w:t xml:space="preserve"> also that paragraph 5 of Article 9 of the Convention requires each Party to introduce appropriate national/domestic legislation to prevent and punish illegal traffic,</w:t>
      </w:r>
    </w:p>
    <w:p w:rsidR="00054EA2" w:rsidRPr="000045BE" w:rsidRDefault="00054EA2" w:rsidP="00054EA2">
      <w:pPr>
        <w:tabs>
          <w:tab w:val="left" w:pos="624"/>
          <w:tab w:val="left" w:pos="2496"/>
          <w:tab w:val="left" w:pos="3120"/>
          <w:tab w:val="left" w:pos="3744"/>
          <w:tab w:val="left" w:pos="4368"/>
          <w:tab w:val="left" w:pos="4992"/>
          <w:tab w:val="left" w:pos="5616"/>
          <w:tab w:val="left" w:pos="6240"/>
          <w:tab w:val="left" w:pos="6864"/>
          <w:tab w:val="left" w:pos="7488"/>
          <w:tab w:val="left" w:pos="8112"/>
          <w:tab w:val="left" w:pos="8736"/>
          <w:tab w:val="left" w:pos="9360"/>
        </w:tabs>
        <w:spacing w:after="120"/>
        <w:ind w:left="1276" w:firstLine="567"/>
      </w:pPr>
      <w:r w:rsidRPr="000045BE">
        <w:rPr>
          <w:i/>
          <w:lang w:val="en-US" w:eastAsia="zh-TW"/>
        </w:rPr>
        <w:t>Welcoming</w:t>
      </w:r>
      <w:r w:rsidRPr="000045BE">
        <w:rPr>
          <w:lang w:val="en-US" w:eastAsia="zh-TW"/>
        </w:rPr>
        <w:t xml:space="preserve"> the submission by </w:t>
      </w:r>
      <w:r w:rsidRPr="000045BE">
        <w:t>Central African Republic</w:t>
      </w:r>
      <w:r w:rsidRPr="000045BE">
        <w:rPr>
          <w:lang w:val="en-US" w:eastAsia="zh-TW"/>
        </w:rPr>
        <w:t xml:space="preserve"> to the Committee in which it concludes that, despite its best efforts, it is unable to fully implement or comply with its obligations under </w:t>
      </w:r>
      <w:r w:rsidRPr="000045BE">
        <w:t>paragraph 4 of Article 4 and paragraph 5 of Article 9 of the Convention (CHW/CC/9a/2017/1),</w:t>
      </w:r>
      <w:r w:rsidRPr="000045BE">
        <w:rPr>
          <w:rStyle w:val="FootnoteReference"/>
        </w:rPr>
        <w:footnoteReference w:id="1"/>
      </w:r>
    </w:p>
    <w:p w:rsidR="00054EA2" w:rsidRPr="000045BE" w:rsidRDefault="00054EA2" w:rsidP="00054EA2">
      <w:pPr>
        <w:tabs>
          <w:tab w:val="left" w:pos="624"/>
          <w:tab w:val="left" w:pos="2496"/>
          <w:tab w:val="left" w:pos="3120"/>
          <w:tab w:val="left" w:pos="3744"/>
          <w:tab w:val="left" w:pos="4368"/>
          <w:tab w:val="left" w:pos="4992"/>
          <w:tab w:val="left" w:pos="5616"/>
          <w:tab w:val="left" w:pos="6240"/>
          <w:tab w:val="left" w:pos="6864"/>
          <w:tab w:val="left" w:pos="7488"/>
          <w:tab w:val="left" w:pos="8112"/>
          <w:tab w:val="left" w:pos="8736"/>
          <w:tab w:val="left" w:pos="9360"/>
        </w:tabs>
        <w:spacing w:after="120"/>
        <w:ind w:left="1276" w:firstLine="567"/>
      </w:pPr>
      <w:r w:rsidRPr="000045BE">
        <w:t>Without prejudice to future decisions by the Committee related to this or other specific submissions,</w:t>
      </w:r>
    </w:p>
    <w:p w:rsidR="00054EA2" w:rsidRPr="000045BE" w:rsidRDefault="00054EA2" w:rsidP="00054EA2">
      <w:pPr>
        <w:pStyle w:val="ListParagraph"/>
        <w:numPr>
          <w:ilvl w:val="3"/>
          <w:numId w:val="2"/>
        </w:numPr>
        <w:tabs>
          <w:tab w:val="clear" w:pos="360"/>
          <w:tab w:val="num" w:pos="2410"/>
        </w:tabs>
        <w:autoSpaceDE w:val="0"/>
        <w:autoSpaceDN w:val="0"/>
        <w:adjustRightInd w:val="0"/>
        <w:spacing w:after="120"/>
        <w:ind w:left="1276" w:firstLine="567"/>
        <w:contextualSpacing w:val="0"/>
        <w:rPr>
          <w:sz w:val="20"/>
          <w:szCs w:val="20"/>
          <w:lang w:eastAsia="zh-TW"/>
        </w:rPr>
      </w:pPr>
      <w:r w:rsidRPr="000045BE">
        <w:rPr>
          <w:i/>
          <w:iCs/>
          <w:sz w:val="20"/>
          <w:szCs w:val="20"/>
        </w:rPr>
        <w:t xml:space="preserve">Expresses </w:t>
      </w:r>
      <w:r w:rsidRPr="000045BE">
        <w:rPr>
          <w:iCs/>
          <w:sz w:val="20"/>
          <w:szCs w:val="20"/>
        </w:rPr>
        <w:t xml:space="preserve">its appreciation </w:t>
      </w:r>
      <w:r w:rsidRPr="000045BE">
        <w:rPr>
          <w:sz w:val="20"/>
          <w:szCs w:val="20"/>
        </w:rPr>
        <w:t xml:space="preserve">for the cooperation of Central African Republic </w:t>
      </w:r>
      <w:r w:rsidRPr="000045BE">
        <w:rPr>
          <w:sz w:val="20"/>
          <w:szCs w:val="20"/>
          <w:lang w:eastAsia="zh-TW"/>
        </w:rPr>
        <w:t>with the Committee during the thirteenth meeting of the Committee;</w:t>
      </w:r>
      <w:r w:rsidRPr="000045BE">
        <w:rPr>
          <w:sz w:val="20"/>
          <w:szCs w:val="20"/>
        </w:rPr>
        <w:t xml:space="preserve"> </w:t>
      </w:r>
    </w:p>
    <w:p w:rsidR="00054EA2" w:rsidRPr="000045BE" w:rsidRDefault="00054EA2" w:rsidP="00054EA2">
      <w:pPr>
        <w:pStyle w:val="ListParagraph"/>
        <w:numPr>
          <w:ilvl w:val="3"/>
          <w:numId w:val="2"/>
        </w:numPr>
        <w:tabs>
          <w:tab w:val="clear" w:pos="360"/>
          <w:tab w:val="num" w:pos="2410"/>
        </w:tabs>
        <w:autoSpaceDE w:val="0"/>
        <w:autoSpaceDN w:val="0"/>
        <w:adjustRightInd w:val="0"/>
        <w:spacing w:after="120"/>
        <w:ind w:left="1276" w:firstLine="567"/>
        <w:contextualSpacing w:val="0"/>
        <w:rPr>
          <w:sz w:val="20"/>
          <w:szCs w:val="20"/>
        </w:rPr>
      </w:pPr>
      <w:r w:rsidRPr="000045BE">
        <w:rPr>
          <w:i/>
          <w:iCs/>
          <w:sz w:val="20"/>
          <w:szCs w:val="20"/>
          <w:lang w:eastAsia="zh-TW"/>
        </w:rPr>
        <w:t xml:space="preserve">Welcomes </w:t>
      </w:r>
      <w:r w:rsidRPr="000045BE">
        <w:rPr>
          <w:sz w:val="20"/>
          <w:szCs w:val="20"/>
          <w:lang w:eastAsia="zh-TW"/>
        </w:rPr>
        <w:t xml:space="preserve">the transmission by Central African Republic of a draft compliance action plan </w:t>
      </w:r>
      <w:r w:rsidRPr="000045BE">
        <w:rPr>
          <w:sz w:val="20"/>
          <w:szCs w:val="20"/>
        </w:rPr>
        <w:t xml:space="preserve">to assist in resolving its implementation and compliance difficulties </w:t>
      </w:r>
      <w:r w:rsidRPr="000045BE">
        <w:rPr>
          <w:sz w:val="20"/>
          <w:szCs w:val="20"/>
          <w:lang w:eastAsia="zh-TW"/>
        </w:rPr>
        <w:t xml:space="preserve">with its obligations under </w:t>
      </w:r>
      <w:r w:rsidRPr="000045BE">
        <w:rPr>
          <w:sz w:val="20"/>
          <w:szCs w:val="20"/>
        </w:rPr>
        <w:t>paragraph 4 of Article 4 and paragraph 5 of Article 9 of the Basel Convention;</w:t>
      </w:r>
      <w:r w:rsidRPr="000045BE">
        <w:rPr>
          <w:rStyle w:val="FootnoteReference"/>
          <w:szCs w:val="20"/>
        </w:rPr>
        <w:footnoteReference w:id="2"/>
      </w:r>
    </w:p>
    <w:p w:rsidR="00054EA2" w:rsidRPr="000045BE" w:rsidRDefault="00054EA2" w:rsidP="00054EA2">
      <w:pPr>
        <w:pStyle w:val="ListParagraph"/>
        <w:numPr>
          <w:ilvl w:val="3"/>
          <w:numId w:val="2"/>
        </w:numPr>
        <w:tabs>
          <w:tab w:val="clear" w:pos="360"/>
          <w:tab w:val="num" w:pos="2410"/>
        </w:tabs>
        <w:autoSpaceDE w:val="0"/>
        <w:autoSpaceDN w:val="0"/>
        <w:adjustRightInd w:val="0"/>
        <w:spacing w:after="120"/>
        <w:ind w:left="1276" w:firstLine="567"/>
        <w:contextualSpacing w:val="0"/>
        <w:rPr>
          <w:sz w:val="20"/>
          <w:szCs w:val="20"/>
        </w:rPr>
      </w:pPr>
      <w:r w:rsidRPr="000045BE">
        <w:rPr>
          <w:i/>
          <w:sz w:val="20"/>
          <w:szCs w:val="20"/>
        </w:rPr>
        <w:t>Recalls</w:t>
      </w:r>
      <w:r w:rsidRPr="000045BE">
        <w:rPr>
          <w:sz w:val="20"/>
          <w:szCs w:val="20"/>
        </w:rPr>
        <w:t xml:space="preserve"> decision BC-13/9 whereby the Conference of the Parties decided that the Committee shall make recommendations to the Executive Secretary on the allocation of the available resources from the implementation fund during the period between the thirteenth and fourteenth meetings of the Conference of the Parties to assist Parties in the context of the facilitation procedure set out in paragraphs 19 and 20 of the terms of reference of the Mechanism for Promoting Implementation and Compliance of the Convention, and that  the resources are intended to fund activities listed in the compliance action plans presented by Parties in relation to specific submissions and approved by the Committee; </w:t>
      </w:r>
    </w:p>
    <w:p w:rsidR="00054EA2" w:rsidRPr="000045BE" w:rsidRDefault="00054EA2" w:rsidP="00054EA2">
      <w:pPr>
        <w:pStyle w:val="ListParagraph"/>
        <w:numPr>
          <w:ilvl w:val="3"/>
          <w:numId w:val="2"/>
        </w:numPr>
        <w:tabs>
          <w:tab w:val="clear" w:pos="360"/>
          <w:tab w:val="num" w:pos="2410"/>
        </w:tabs>
        <w:autoSpaceDE w:val="0"/>
        <w:autoSpaceDN w:val="0"/>
        <w:adjustRightInd w:val="0"/>
        <w:spacing w:after="120"/>
        <w:ind w:left="1276" w:firstLine="567"/>
        <w:contextualSpacing w:val="0"/>
        <w:rPr>
          <w:sz w:val="20"/>
          <w:szCs w:val="20"/>
        </w:rPr>
      </w:pPr>
      <w:r w:rsidRPr="000045BE">
        <w:rPr>
          <w:i/>
          <w:iCs/>
          <w:sz w:val="20"/>
          <w:szCs w:val="20"/>
          <w:lang w:eastAsia="zh-TW"/>
        </w:rPr>
        <w:t xml:space="preserve">Approves </w:t>
      </w:r>
      <w:r w:rsidRPr="000045BE">
        <w:rPr>
          <w:sz w:val="20"/>
          <w:szCs w:val="20"/>
          <w:lang w:eastAsia="zh-TW"/>
        </w:rPr>
        <w:t xml:space="preserve">the elements of the compliance action plan set out in the annex to the present decision and </w:t>
      </w:r>
      <w:r w:rsidRPr="000045BE">
        <w:rPr>
          <w:i/>
          <w:iCs/>
          <w:sz w:val="20"/>
          <w:szCs w:val="20"/>
          <w:lang w:eastAsia="zh-TW"/>
        </w:rPr>
        <w:t xml:space="preserve">recommends </w:t>
      </w:r>
      <w:r w:rsidRPr="000045BE">
        <w:rPr>
          <w:sz w:val="20"/>
          <w:szCs w:val="20"/>
          <w:lang w:eastAsia="zh-TW"/>
        </w:rPr>
        <w:t xml:space="preserve">that the Executive Secretary use, subject to their availability, resources in the implementation fund of up to USD 20,000 </w:t>
      </w:r>
      <w:proofErr w:type="gramStart"/>
      <w:r w:rsidRPr="000045BE">
        <w:rPr>
          <w:sz w:val="20"/>
          <w:szCs w:val="20"/>
          <w:lang w:eastAsia="zh-TW"/>
        </w:rPr>
        <w:t>for the purpose of</w:t>
      </w:r>
      <w:proofErr w:type="gramEnd"/>
      <w:r w:rsidRPr="000045BE">
        <w:rPr>
          <w:sz w:val="20"/>
          <w:szCs w:val="20"/>
          <w:lang w:eastAsia="zh-TW"/>
        </w:rPr>
        <w:t xml:space="preserve"> covering costs associated with the implementation of the activities listed therein;</w:t>
      </w:r>
      <w:r w:rsidRPr="000045BE">
        <w:rPr>
          <w:sz w:val="20"/>
          <w:szCs w:val="20"/>
        </w:rPr>
        <w:t xml:space="preserve"> </w:t>
      </w:r>
    </w:p>
    <w:p w:rsidR="00054EA2" w:rsidRPr="000045BE" w:rsidRDefault="00054EA2" w:rsidP="00054EA2">
      <w:pPr>
        <w:pStyle w:val="ListParagraph"/>
        <w:numPr>
          <w:ilvl w:val="3"/>
          <w:numId w:val="2"/>
        </w:numPr>
        <w:tabs>
          <w:tab w:val="clear" w:pos="360"/>
          <w:tab w:val="num" w:pos="2410"/>
        </w:tabs>
        <w:autoSpaceDE w:val="0"/>
        <w:autoSpaceDN w:val="0"/>
        <w:adjustRightInd w:val="0"/>
        <w:spacing w:after="120"/>
        <w:ind w:left="1276" w:firstLine="567"/>
        <w:contextualSpacing w:val="0"/>
        <w:rPr>
          <w:sz w:val="20"/>
          <w:szCs w:val="20"/>
        </w:rPr>
      </w:pPr>
      <w:r w:rsidRPr="000045BE">
        <w:rPr>
          <w:i/>
          <w:sz w:val="20"/>
          <w:szCs w:val="20"/>
        </w:rPr>
        <w:t>Requests</w:t>
      </w:r>
      <w:r w:rsidRPr="000045BE">
        <w:rPr>
          <w:sz w:val="20"/>
          <w:szCs w:val="20"/>
        </w:rPr>
        <w:t xml:space="preserve"> the Secretariat to communicate this decision to the Basel Convention Regional Centre for French</w:t>
      </w:r>
      <w:r w:rsidRPr="000045BE">
        <w:rPr>
          <w:sz w:val="20"/>
          <w:szCs w:val="20"/>
          <w:lang w:eastAsia="zh-TW"/>
        </w:rPr>
        <w:t xml:space="preserve">-speaking countries in Africa; </w:t>
      </w:r>
    </w:p>
    <w:p w:rsidR="00054EA2" w:rsidRPr="000045BE" w:rsidRDefault="00054EA2" w:rsidP="00054EA2">
      <w:pPr>
        <w:pStyle w:val="ListParagraph"/>
        <w:numPr>
          <w:ilvl w:val="3"/>
          <w:numId w:val="2"/>
        </w:numPr>
        <w:tabs>
          <w:tab w:val="clear" w:pos="360"/>
          <w:tab w:val="num" w:pos="2410"/>
        </w:tabs>
        <w:autoSpaceDE w:val="0"/>
        <w:autoSpaceDN w:val="0"/>
        <w:adjustRightInd w:val="0"/>
        <w:spacing w:after="120"/>
        <w:ind w:left="1276" w:firstLine="567"/>
        <w:contextualSpacing w:val="0"/>
        <w:rPr>
          <w:sz w:val="20"/>
          <w:szCs w:val="20"/>
        </w:rPr>
      </w:pPr>
      <w:r w:rsidRPr="000045BE">
        <w:rPr>
          <w:i/>
          <w:sz w:val="20"/>
          <w:szCs w:val="20"/>
        </w:rPr>
        <w:t>Requests</w:t>
      </w:r>
      <w:r w:rsidRPr="000045BE">
        <w:rPr>
          <w:sz w:val="20"/>
          <w:szCs w:val="20"/>
        </w:rPr>
        <w:t xml:space="preserve"> also the Secretariat to continue its communications with and support to Central African Republic and to report to the Committee as appropriate;</w:t>
      </w:r>
    </w:p>
    <w:p w:rsidR="00054EA2" w:rsidRPr="000045BE" w:rsidRDefault="00054EA2" w:rsidP="00054EA2">
      <w:pPr>
        <w:pStyle w:val="ListParagraph"/>
        <w:numPr>
          <w:ilvl w:val="3"/>
          <w:numId w:val="2"/>
        </w:numPr>
        <w:tabs>
          <w:tab w:val="clear" w:pos="360"/>
          <w:tab w:val="num" w:pos="2410"/>
        </w:tabs>
        <w:autoSpaceDE w:val="0"/>
        <w:autoSpaceDN w:val="0"/>
        <w:adjustRightInd w:val="0"/>
        <w:spacing w:after="120"/>
        <w:ind w:left="1276" w:firstLine="567"/>
        <w:contextualSpacing w:val="0"/>
        <w:rPr>
          <w:sz w:val="20"/>
          <w:szCs w:val="20"/>
        </w:rPr>
      </w:pPr>
      <w:r w:rsidRPr="000045BE">
        <w:rPr>
          <w:i/>
          <w:sz w:val="20"/>
          <w:szCs w:val="20"/>
        </w:rPr>
        <w:t>Decides</w:t>
      </w:r>
      <w:r w:rsidRPr="000045BE">
        <w:rPr>
          <w:sz w:val="20"/>
          <w:szCs w:val="20"/>
        </w:rPr>
        <w:t xml:space="preserve"> to keep the matter relevant to the submission CHW/CC/9a/2017/1 under review. </w:t>
      </w:r>
    </w:p>
    <w:p w:rsidR="00054EA2" w:rsidRPr="000045BE" w:rsidRDefault="00054EA2" w:rsidP="00054EA2">
      <w:pPr>
        <w:spacing w:after="200" w:line="276" w:lineRule="auto"/>
      </w:pPr>
      <w:r w:rsidRPr="000045BE">
        <w:br w:type="page"/>
      </w:r>
    </w:p>
    <w:p w:rsidR="00054EA2" w:rsidRPr="000045BE" w:rsidRDefault="00054EA2" w:rsidP="00054EA2">
      <w:pPr>
        <w:sectPr w:rsidR="00054EA2" w:rsidRPr="000045BE" w:rsidSect="00054EA2">
          <w:headerReference w:type="even" r:id="rId7"/>
          <w:footerReference w:type="even" r:id="rId8"/>
          <w:footerReference w:type="default" r:id="rId9"/>
          <w:headerReference w:type="first" r:id="rId10"/>
          <w:footnotePr>
            <w:numRestart w:val="eachSect"/>
          </w:footnotePr>
          <w:pgSz w:w="11900" w:h="16840" w:code="9"/>
          <w:pgMar w:top="907" w:right="992" w:bottom="1418" w:left="1418" w:header="539" w:footer="975" w:gutter="0"/>
          <w:cols w:space="720"/>
          <w:docGrid w:linePitch="326"/>
        </w:sectPr>
      </w:pPr>
    </w:p>
    <w:p w:rsidR="00054EA2" w:rsidRPr="000045BE" w:rsidRDefault="00054EA2" w:rsidP="00054EA2">
      <w:pPr>
        <w:tabs>
          <w:tab w:val="clear" w:pos="1247"/>
          <w:tab w:val="left" w:pos="624"/>
          <w:tab w:val="left" w:pos="1248"/>
          <w:tab w:val="left" w:pos="1872"/>
          <w:tab w:val="left" w:pos="2496"/>
          <w:tab w:val="left" w:pos="3120"/>
          <w:tab w:val="left" w:pos="3744"/>
          <w:tab w:val="left" w:pos="4368"/>
          <w:tab w:val="left" w:pos="4992"/>
          <w:tab w:val="left" w:pos="5616"/>
          <w:tab w:val="left" w:pos="6240"/>
          <w:tab w:val="left" w:pos="6864"/>
          <w:tab w:val="left" w:pos="7488"/>
          <w:tab w:val="left" w:pos="8112"/>
          <w:tab w:val="left" w:pos="8736"/>
          <w:tab w:val="left" w:pos="9360"/>
        </w:tabs>
        <w:spacing w:before="120" w:after="120"/>
        <w:jc w:val="both"/>
        <w:rPr>
          <w:b/>
          <w:bCs/>
        </w:rPr>
      </w:pPr>
      <w:r w:rsidRPr="000045BE">
        <w:rPr>
          <w:b/>
          <w:bCs/>
        </w:rPr>
        <w:lastRenderedPageBreak/>
        <w:t xml:space="preserve">Annex to decision CC-13/3: Submission by Central African Republic </w:t>
      </w:r>
    </w:p>
    <w:p w:rsidR="00054EA2" w:rsidRPr="000045BE" w:rsidRDefault="00054EA2" w:rsidP="00054EA2">
      <w:pPr>
        <w:jc w:val="center"/>
        <w:rPr>
          <w:b/>
          <w:lang w:val="en-US"/>
        </w:rPr>
      </w:pPr>
      <w:r w:rsidRPr="000045BE">
        <w:rPr>
          <w:b/>
          <w:lang w:val="en-US"/>
        </w:rPr>
        <w:t xml:space="preserve">Voluntary compliance action plan </w:t>
      </w:r>
    </w:p>
    <w:p w:rsidR="00054EA2" w:rsidRPr="000045BE" w:rsidRDefault="00054EA2" w:rsidP="00054EA2">
      <w:pPr>
        <w:tabs>
          <w:tab w:val="left" w:pos="2410"/>
        </w:tabs>
        <w:autoSpaceDE w:val="0"/>
        <w:autoSpaceDN w:val="0"/>
        <w:adjustRightInd w:val="0"/>
      </w:pPr>
    </w:p>
    <w:p w:rsidR="00054EA2" w:rsidRPr="000045BE" w:rsidRDefault="00054EA2" w:rsidP="00054EA2">
      <w:pPr>
        <w:rPr>
          <w:rFonts w:eastAsia="SimSun"/>
          <w:b/>
          <w:iCs/>
          <w:lang w:eastAsia="zh-CN"/>
        </w:rPr>
      </w:pPr>
      <w:r w:rsidRPr="000045BE">
        <w:rPr>
          <w:rFonts w:eastAsia="SimSun"/>
          <w:b/>
          <w:iCs/>
          <w:lang w:eastAsia="zh-CN"/>
        </w:rPr>
        <w:t xml:space="preserve">Objective: </w:t>
      </w:r>
    </w:p>
    <w:p w:rsidR="00054EA2" w:rsidRPr="000045BE" w:rsidRDefault="00054EA2" w:rsidP="00054EA2">
      <w:pPr>
        <w:numPr>
          <w:ilvl w:val="0"/>
          <w:numId w:val="1"/>
        </w:numPr>
        <w:tabs>
          <w:tab w:val="clear" w:pos="1247"/>
          <w:tab w:val="clear" w:pos="1814"/>
          <w:tab w:val="clear" w:pos="2381"/>
          <w:tab w:val="clear" w:pos="2948"/>
          <w:tab w:val="clear" w:pos="3515"/>
        </w:tabs>
        <w:contextualSpacing/>
        <w:rPr>
          <w:rFonts w:eastAsia="SimSun"/>
          <w:iCs/>
          <w:lang w:eastAsia="zh-CN"/>
        </w:rPr>
      </w:pPr>
      <w:r w:rsidRPr="000045BE">
        <w:rPr>
          <w:rFonts w:eastAsia="SimSun"/>
          <w:iCs/>
          <w:lang w:eastAsia="zh-CN"/>
        </w:rPr>
        <w:t>Restore Central African Republic’s compliance with its obligations under paragraph 4 of Article 4 and paragraph 5 of Article 9 of the Basel Convention.</w:t>
      </w:r>
    </w:p>
    <w:p w:rsidR="00054EA2" w:rsidRPr="000045BE" w:rsidRDefault="00054EA2" w:rsidP="00054EA2">
      <w:pPr>
        <w:spacing w:before="120"/>
        <w:ind w:left="720" w:hanging="720"/>
        <w:rPr>
          <w:rFonts w:eastAsia="SimSun"/>
          <w:iCs/>
          <w:lang w:eastAsia="zh-CN"/>
        </w:rPr>
      </w:pPr>
      <w:r w:rsidRPr="000045BE">
        <w:rPr>
          <w:rFonts w:eastAsia="SimSun"/>
          <w:b/>
          <w:iCs/>
          <w:lang w:eastAsia="zh-CN"/>
        </w:rPr>
        <w:t>Specific objectives:</w:t>
      </w:r>
      <w:r w:rsidRPr="000045BE">
        <w:rPr>
          <w:rFonts w:eastAsia="SimSun"/>
          <w:iCs/>
          <w:lang w:eastAsia="zh-CN"/>
        </w:rPr>
        <w:t xml:space="preserve"> </w:t>
      </w:r>
    </w:p>
    <w:p w:rsidR="00054EA2" w:rsidRPr="000045BE" w:rsidRDefault="00054EA2" w:rsidP="00054EA2">
      <w:pPr>
        <w:numPr>
          <w:ilvl w:val="0"/>
          <w:numId w:val="1"/>
        </w:numPr>
        <w:tabs>
          <w:tab w:val="clear" w:pos="1247"/>
          <w:tab w:val="clear" w:pos="1814"/>
          <w:tab w:val="clear" w:pos="2381"/>
          <w:tab w:val="clear" w:pos="2948"/>
          <w:tab w:val="clear" w:pos="3515"/>
        </w:tabs>
        <w:ind w:right="1389"/>
        <w:contextualSpacing/>
        <w:rPr>
          <w:rFonts w:eastAsia="SimSun"/>
          <w:iCs/>
          <w:lang w:eastAsia="zh-CN"/>
        </w:rPr>
      </w:pPr>
      <w:r w:rsidRPr="000045BE">
        <w:rPr>
          <w:color w:val="000000" w:themeColor="text1"/>
        </w:rPr>
        <w:t>T</w:t>
      </w:r>
      <w:proofErr w:type="spellStart"/>
      <w:r w:rsidRPr="000045BE">
        <w:rPr>
          <w:color w:val="000000" w:themeColor="text1"/>
          <w:lang w:val="en-US"/>
        </w:rPr>
        <w:t>ake</w:t>
      </w:r>
      <w:proofErr w:type="spellEnd"/>
      <w:r w:rsidRPr="000045BE">
        <w:rPr>
          <w:color w:val="000000" w:themeColor="text1"/>
          <w:lang w:val="en-US"/>
        </w:rPr>
        <w:t xml:space="preserve"> the appropriate </w:t>
      </w:r>
      <w:r w:rsidRPr="000045BE">
        <w:rPr>
          <w:lang w:val="en-US"/>
        </w:rPr>
        <w:t>legal, administrative and other measures to implement and enforce the provisions of the Basel Convention, including measures to prevent and punish conduct in contravention of the Convention as well as develop appropriate national/domestic legislation to prevent and punish illegal traffic</w:t>
      </w:r>
    </w:p>
    <w:p w:rsidR="00054EA2" w:rsidRPr="000045BE" w:rsidRDefault="00054EA2" w:rsidP="00054EA2">
      <w:pPr>
        <w:contextualSpacing/>
        <w:rPr>
          <w:rFonts w:eastAsia="SimSun"/>
          <w:iCs/>
          <w:lang w:eastAsia="zh-CN"/>
        </w:rPr>
      </w:pPr>
    </w:p>
    <w:tbl>
      <w:tblPr>
        <w:tblW w:w="1360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44"/>
        <w:gridCol w:w="1899"/>
        <w:gridCol w:w="2080"/>
        <w:gridCol w:w="2155"/>
        <w:gridCol w:w="2930"/>
      </w:tblGrid>
      <w:tr w:rsidR="00054EA2" w:rsidRPr="000045BE" w:rsidTr="00FF5E8F">
        <w:trPr>
          <w:trHeight w:val="685"/>
          <w:tblHeader/>
        </w:trPr>
        <w:tc>
          <w:tcPr>
            <w:tcW w:w="4544" w:type="dxa"/>
          </w:tcPr>
          <w:p w:rsidR="00054EA2" w:rsidRPr="000045BE" w:rsidRDefault="00054EA2" w:rsidP="00FF5E8F">
            <w:pPr>
              <w:rPr>
                <w:rFonts w:eastAsia="SimSun"/>
                <w:b/>
                <w:lang w:val="en-US" w:eastAsia="zh-CN"/>
              </w:rPr>
            </w:pPr>
            <w:r w:rsidRPr="000045BE">
              <w:rPr>
                <w:rFonts w:eastAsia="SimSun"/>
                <w:b/>
                <w:lang w:val="en-US" w:eastAsia="zh-CN"/>
              </w:rPr>
              <w:t>Actions</w:t>
            </w:r>
          </w:p>
        </w:tc>
        <w:tc>
          <w:tcPr>
            <w:tcW w:w="1899" w:type="dxa"/>
          </w:tcPr>
          <w:p w:rsidR="00054EA2" w:rsidRPr="000045BE" w:rsidRDefault="00054EA2" w:rsidP="00FF5E8F">
            <w:pPr>
              <w:rPr>
                <w:rFonts w:eastAsia="SimSun"/>
                <w:b/>
                <w:lang w:val="en-US" w:eastAsia="zh-CN"/>
              </w:rPr>
            </w:pPr>
            <w:r w:rsidRPr="000045BE">
              <w:rPr>
                <w:rFonts w:eastAsia="SimSun"/>
                <w:b/>
                <w:lang w:val="en-US" w:eastAsia="zh-CN"/>
              </w:rPr>
              <w:t>Responsible authority</w:t>
            </w:r>
          </w:p>
        </w:tc>
        <w:tc>
          <w:tcPr>
            <w:tcW w:w="2080" w:type="dxa"/>
          </w:tcPr>
          <w:p w:rsidR="00054EA2" w:rsidRPr="000045BE" w:rsidRDefault="00054EA2" w:rsidP="00FF5E8F">
            <w:pPr>
              <w:rPr>
                <w:rFonts w:eastAsia="SimSun"/>
                <w:b/>
                <w:lang w:val="en-US" w:eastAsia="zh-CN"/>
              </w:rPr>
            </w:pPr>
            <w:r w:rsidRPr="000045BE">
              <w:rPr>
                <w:rFonts w:eastAsia="SimSun"/>
                <w:b/>
                <w:lang w:val="en-US" w:eastAsia="zh-CN"/>
              </w:rPr>
              <w:t>Indicative timeline for implementation of the actions</w:t>
            </w:r>
          </w:p>
        </w:tc>
        <w:tc>
          <w:tcPr>
            <w:tcW w:w="2155" w:type="dxa"/>
          </w:tcPr>
          <w:p w:rsidR="00054EA2" w:rsidRPr="000045BE" w:rsidRDefault="00054EA2" w:rsidP="00FF5E8F">
            <w:pPr>
              <w:rPr>
                <w:rFonts w:eastAsia="SimSun"/>
                <w:b/>
                <w:lang w:val="en-US" w:eastAsia="zh-CN"/>
              </w:rPr>
            </w:pPr>
            <w:r w:rsidRPr="000045BE">
              <w:rPr>
                <w:rFonts w:eastAsia="SimSun"/>
                <w:b/>
                <w:lang w:val="en-US" w:eastAsia="zh-CN"/>
              </w:rPr>
              <w:t>Indicator of achievement</w:t>
            </w:r>
          </w:p>
        </w:tc>
        <w:tc>
          <w:tcPr>
            <w:tcW w:w="2930" w:type="dxa"/>
          </w:tcPr>
          <w:p w:rsidR="00054EA2" w:rsidRPr="000045BE" w:rsidRDefault="00054EA2" w:rsidP="00FF5E8F">
            <w:pPr>
              <w:rPr>
                <w:rFonts w:eastAsia="SimSun"/>
                <w:b/>
                <w:lang w:val="en-US" w:eastAsia="zh-CN"/>
              </w:rPr>
            </w:pPr>
            <w:r w:rsidRPr="000045BE">
              <w:rPr>
                <w:rFonts w:eastAsia="SimSun"/>
                <w:b/>
                <w:lang w:val="en-US" w:eastAsia="zh-CN"/>
              </w:rPr>
              <w:t>Comments</w:t>
            </w:r>
          </w:p>
        </w:tc>
      </w:tr>
      <w:tr w:rsidR="00054EA2" w:rsidRPr="000045BE" w:rsidTr="00FF5E8F">
        <w:trPr>
          <w:trHeight w:val="460"/>
        </w:trPr>
        <w:tc>
          <w:tcPr>
            <w:tcW w:w="13608" w:type="dxa"/>
            <w:gridSpan w:val="5"/>
          </w:tcPr>
          <w:p w:rsidR="00054EA2" w:rsidRPr="000045BE" w:rsidRDefault="00054EA2" w:rsidP="00FF5E8F">
            <w:pPr>
              <w:spacing w:before="120" w:after="120"/>
              <w:rPr>
                <w:rFonts w:eastAsia="SimSun"/>
                <w:lang w:val="en-US" w:eastAsia="zh-CN"/>
              </w:rPr>
            </w:pPr>
            <w:r w:rsidRPr="000045BE">
              <w:rPr>
                <w:rFonts w:eastAsia="SimSun"/>
                <w:b/>
                <w:lang w:val="en-US" w:eastAsia="zh-CN"/>
              </w:rPr>
              <w:t xml:space="preserve">Area of intervention 1: Legal and administrative measures </w:t>
            </w:r>
          </w:p>
        </w:tc>
      </w:tr>
      <w:tr w:rsidR="00054EA2" w:rsidRPr="000045BE" w:rsidTr="00FF5E8F">
        <w:trPr>
          <w:trHeight w:val="2442"/>
        </w:trPr>
        <w:tc>
          <w:tcPr>
            <w:tcW w:w="4544" w:type="dxa"/>
          </w:tcPr>
          <w:p w:rsidR="00054EA2" w:rsidRPr="000045BE" w:rsidRDefault="00054EA2" w:rsidP="00FF5E8F">
            <w:pPr>
              <w:spacing w:before="120" w:after="120"/>
              <w:rPr>
                <w:lang w:val="en-US"/>
              </w:rPr>
            </w:pPr>
            <w:r w:rsidRPr="000045BE">
              <w:rPr>
                <w:rFonts w:eastAsia="SimSun"/>
                <w:lang w:eastAsia="zh-CN"/>
              </w:rPr>
              <w:t xml:space="preserve">Organize a national endorsement meeting with key stakeholders to review and validate the draft law implementing the Basel Convention which had been developed during Central African Republic’s first compliance action plan;  </w:t>
            </w:r>
          </w:p>
        </w:tc>
        <w:tc>
          <w:tcPr>
            <w:tcW w:w="1899" w:type="dxa"/>
          </w:tcPr>
          <w:p w:rsidR="00054EA2" w:rsidRPr="000045BE" w:rsidRDefault="00054EA2" w:rsidP="00FF5E8F">
            <w:pPr>
              <w:spacing w:before="120" w:after="120"/>
              <w:rPr>
                <w:rFonts w:eastAsia="SimSun"/>
                <w:lang w:eastAsia="zh-CN"/>
              </w:rPr>
            </w:pPr>
            <w:r w:rsidRPr="000045BE">
              <w:rPr>
                <w:rFonts w:eastAsia="SimSun"/>
                <w:lang w:eastAsia="zh-CN"/>
              </w:rPr>
              <w:t xml:space="preserve">Ministry of Environment, Sustainable Development, Water, Forest; Hunting and Fishing </w:t>
            </w:r>
          </w:p>
        </w:tc>
        <w:tc>
          <w:tcPr>
            <w:tcW w:w="2080" w:type="dxa"/>
          </w:tcPr>
          <w:p w:rsidR="00054EA2" w:rsidRPr="000045BE" w:rsidRDefault="00054EA2" w:rsidP="00FF5E8F">
            <w:pPr>
              <w:spacing w:before="120" w:after="120"/>
              <w:rPr>
                <w:rFonts w:eastAsia="SimSun"/>
                <w:lang w:val="en-US" w:eastAsia="zh-CN"/>
              </w:rPr>
            </w:pPr>
            <w:r w:rsidRPr="000045BE">
              <w:rPr>
                <w:rFonts w:eastAsia="SimSun"/>
                <w:lang w:val="en-US" w:eastAsia="zh-CN"/>
              </w:rPr>
              <w:t>6 months</w:t>
            </w:r>
          </w:p>
        </w:tc>
        <w:tc>
          <w:tcPr>
            <w:tcW w:w="2155" w:type="dxa"/>
          </w:tcPr>
          <w:p w:rsidR="00054EA2" w:rsidRPr="000045BE" w:rsidRDefault="00054EA2" w:rsidP="00FF5E8F">
            <w:pPr>
              <w:spacing w:after="40"/>
              <w:rPr>
                <w:rFonts w:eastAsia="SimSun"/>
                <w:lang w:val="en-US" w:eastAsia="zh-CN"/>
              </w:rPr>
            </w:pPr>
            <w:r w:rsidRPr="000045BE">
              <w:rPr>
                <w:rFonts w:eastAsia="SimSun"/>
                <w:lang w:val="en-US" w:eastAsia="zh-CN"/>
              </w:rPr>
              <w:t xml:space="preserve">The draft law implementing the Basel Convention is reviewed by key stakeholders, in a view of incorporating their inputs in the final draft law  </w:t>
            </w:r>
          </w:p>
          <w:p w:rsidR="00054EA2" w:rsidRPr="000045BE" w:rsidRDefault="00054EA2" w:rsidP="00FF5E8F">
            <w:pPr>
              <w:spacing w:after="40"/>
              <w:rPr>
                <w:rFonts w:eastAsia="SimSun"/>
                <w:lang w:val="en-US" w:eastAsia="zh-CN"/>
              </w:rPr>
            </w:pPr>
            <w:r w:rsidRPr="000045BE">
              <w:rPr>
                <w:rFonts w:eastAsia="SimSun"/>
                <w:lang w:val="en-US" w:eastAsia="zh-CN"/>
              </w:rPr>
              <w:t xml:space="preserve"> </w:t>
            </w:r>
          </w:p>
          <w:p w:rsidR="00054EA2" w:rsidRPr="000045BE" w:rsidRDefault="00054EA2" w:rsidP="00FF5E8F">
            <w:pPr>
              <w:spacing w:after="40"/>
              <w:rPr>
                <w:rFonts w:eastAsia="SimSun"/>
                <w:lang w:val="en-US" w:eastAsia="zh-CN"/>
              </w:rPr>
            </w:pPr>
          </w:p>
          <w:p w:rsidR="00054EA2" w:rsidRPr="000045BE" w:rsidRDefault="00054EA2" w:rsidP="00FF5E8F">
            <w:pPr>
              <w:spacing w:after="40"/>
              <w:rPr>
                <w:rFonts w:eastAsia="SimSun"/>
                <w:lang w:val="en-US" w:eastAsia="zh-CN"/>
              </w:rPr>
            </w:pPr>
            <w:r w:rsidRPr="000045BE">
              <w:rPr>
                <w:rFonts w:eastAsia="SimSun"/>
                <w:lang w:val="en-US" w:eastAsia="zh-CN"/>
              </w:rPr>
              <w:t xml:space="preserve"> </w:t>
            </w:r>
          </w:p>
        </w:tc>
        <w:tc>
          <w:tcPr>
            <w:tcW w:w="2930" w:type="dxa"/>
          </w:tcPr>
          <w:p w:rsidR="00054EA2" w:rsidRPr="000045BE" w:rsidRDefault="00054EA2" w:rsidP="00FF5E8F">
            <w:pPr>
              <w:rPr>
                <w:rFonts w:eastAsia="SimSun"/>
                <w:lang w:val="en-US" w:eastAsia="zh-CN"/>
              </w:rPr>
            </w:pPr>
            <w:r w:rsidRPr="000045BE">
              <w:rPr>
                <w:rFonts w:eastAsia="SimSun"/>
                <w:lang w:val="en-US" w:eastAsia="zh-CN"/>
              </w:rPr>
              <w:t>Activity 1 listed in the 22 February 2018 letter setting out supplementary information on the submission of the Central African Republic</w:t>
            </w:r>
            <w:r w:rsidRPr="000045BE">
              <w:rPr>
                <w:rStyle w:val="FootnoteReference"/>
                <w:rFonts w:eastAsia="SimSun"/>
                <w:lang w:val="en-US" w:eastAsia="zh-CN"/>
              </w:rPr>
              <w:footnoteReference w:customMarkFollows="1" w:id="3"/>
              <w:t>7</w:t>
            </w:r>
          </w:p>
        </w:tc>
      </w:tr>
      <w:tr w:rsidR="00054EA2" w:rsidRPr="000045BE" w:rsidTr="00FF5E8F">
        <w:trPr>
          <w:trHeight w:val="1832"/>
        </w:trPr>
        <w:tc>
          <w:tcPr>
            <w:tcW w:w="4544" w:type="dxa"/>
          </w:tcPr>
          <w:p w:rsidR="00054EA2" w:rsidRPr="000045BE" w:rsidRDefault="00054EA2" w:rsidP="00FF5E8F">
            <w:pPr>
              <w:spacing w:before="120" w:after="120"/>
              <w:rPr>
                <w:rFonts w:eastAsia="SimSun"/>
                <w:lang w:eastAsia="zh-CN"/>
              </w:rPr>
            </w:pPr>
            <w:r w:rsidRPr="000045BE">
              <w:rPr>
                <w:rFonts w:eastAsia="SimSun"/>
                <w:lang w:eastAsia="zh-CN"/>
              </w:rPr>
              <w:t xml:space="preserve">Organize a national workshop with the members of the steering committee to review the amendments suggested during the national endorsement meeting </w:t>
            </w:r>
            <w:proofErr w:type="gramStart"/>
            <w:r w:rsidRPr="000045BE">
              <w:rPr>
                <w:rFonts w:eastAsia="SimSun"/>
                <w:lang w:eastAsia="zh-CN"/>
              </w:rPr>
              <w:t>so as to</w:t>
            </w:r>
            <w:proofErr w:type="gramEnd"/>
            <w:r w:rsidRPr="000045BE">
              <w:rPr>
                <w:rFonts w:eastAsia="SimSun"/>
                <w:lang w:eastAsia="zh-CN"/>
              </w:rPr>
              <w:t xml:space="preserve"> finalize the draft law</w:t>
            </w:r>
          </w:p>
        </w:tc>
        <w:tc>
          <w:tcPr>
            <w:tcW w:w="1899" w:type="dxa"/>
          </w:tcPr>
          <w:p w:rsidR="00054EA2" w:rsidRPr="000045BE" w:rsidRDefault="00054EA2" w:rsidP="00FF5E8F">
            <w:pPr>
              <w:spacing w:before="120" w:after="120"/>
              <w:rPr>
                <w:rFonts w:eastAsia="SimSun"/>
                <w:lang w:eastAsia="zh-CN"/>
              </w:rPr>
            </w:pPr>
            <w:r w:rsidRPr="000045BE">
              <w:rPr>
                <w:rFonts w:eastAsia="SimSun"/>
                <w:lang w:eastAsia="zh-CN"/>
              </w:rPr>
              <w:t>Ministry of Environment, Sustainable Development, Water, Forest; Hunting and Fishing</w:t>
            </w:r>
          </w:p>
        </w:tc>
        <w:tc>
          <w:tcPr>
            <w:tcW w:w="2080" w:type="dxa"/>
          </w:tcPr>
          <w:p w:rsidR="00054EA2" w:rsidRPr="000045BE" w:rsidRDefault="00054EA2" w:rsidP="00FF5E8F">
            <w:pPr>
              <w:spacing w:before="120" w:after="120"/>
              <w:rPr>
                <w:rFonts w:eastAsia="SimSun"/>
                <w:lang w:val="en-US" w:eastAsia="zh-CN"/>
              </w:rPr>
            </w:pPr>
            <w:r w:rsidRPr="000045BE">
              <w:rPr>
                <w:rFonts w:eastAsia="SimSun"/>
                <w:lang w:val="en-US" w:eastAsia="zh-CN"/>
              </w:rPr>
              <w:t xml:space="preserve">1 month </w:t>
            </w:r>
          </w:p>
        </w:tc>
        <w:tc>
          <w:tcPr>
            <w:tcW w:w="2155" w:type="dxa"/>
          </w:tcPr>
          <w:p w:rsidR="00054EA2" w:rsidRPr="000045BE" w:rsidRDefault="00054EA2" w:rsidP="00FF5E8F">
            <w:pPr>
              <w:spacing w:after="40"/>
              <w:rPr>
                <w:rFonts w:eastAsia="SimSun"/>
                <w:lang w:val="en-US" w:eastAsia="zh-CN"/>
              </w:rPr>
            </w:pPr>
            <w:r w:rsidRPr="000045BE">
              <w:rPr>
                <w:rFonts w:eastAsia="SimSun"/>
                <w:lang w:val="en-US" w:eastAsia="zh-CN"/>
              </w:rPr>
              <w:t>The law implementing the Basel Convention is finalized for submission to relevant entities for adoption</w:t>
            </w:r>
          </w:p>
        </w:tc>
        <w:tc>
          <w:tcPr>
            <w:tcW w:w="2930" w:type="dxa"/>
          </w:tcPr>
          <w:p w:rsidR="00054EA2" w:rsidRPr="000045BE" w:rsidRDefault="00054EA2" w:rsidP="00FF5E8F">
            <w:pPr>
              <w:rPr>
                <w:rFonts w:eastAsia="SimSun"/>
                <w:lang w:val="en-US" w:eastAsia="zh-CN"/>
              </w:rPr>
            </w:pPr>
            <w:r w:rsidRPr="000045BE">
              <w:rPr>
                <w:rFonts w:eastAsia="SimSun"/>
                <w:lang w:val="en-US" w:eastAsia="zh-CN"/>
              </w:rPr>
              <w:t>Activity 2 listed in the 22 February 2018 letter setting out supplementary information on the submission of the Central African Republic</w:t>
            </w:r>
            <w:r w:rsidRPr="000045BE">
              <w:rPr>
                <w:rStyle w:val="FootnoteReference"/>
                <w:rFonts w:eastAsia="SimSun"/>
                <w:lang w:val="en-US" w:eastAsia="zh-CN"/>
              </w:rPr>
              <w:footnoteReference w:customMarkFollows="1" w:id="4"/>
              <w:t>8</w:t>
            </w:r>
          </w:p>
        </w:tc>
      </w:tr>
      <w:tr w:rsidR="00054EA2" w:rsidRPr="000045BE" w:rsidTr="00FF5E8F">
        <w:trPr>
          <w:trHeight w:val="2056"/>
        </w:trPr>
        <w:tc>
          <w:tcPr>
            <w:tcW w:w="4544" w:type="dxa"/>
          </w:tcPr>
          <w:p w:rsidR="00054EA2" w:rsidRPr="000045BE" w:rsidRDefault="00054EA2" w:rsidP="00FF5E8F">
            <w:pPr>
              <w:spacing w:before="120" w:after="120"/>
              <w:rPr>
                <w:rFonts w:eastAsia="SimSun"/>
                <w:lang w:eastAsia="zh-CN"/>
              </w:rPr>
            </w:pPr>
            <w:r w:rsidRPr="000045BE">
              <w:rPr>
                <w:rFonts w:eastAsia="SimSun"/>
                <w:lang w:eastAsia="zh-CN"/>
              </w:rPr>
              <w:lastRenderedPageBreak/>
              <w:t xml:space="preserve">Assist the work of key experts from ministries and non-governmental organizations as well as commissioners of the commission of official texts in their review of the draft law implementing the Basel Convention </w:t>
            </w:r>
          </w:p>
        </w:tc>
        <w:tc>
          <w:tcPr>
            <w:tcW w:w="1899" w:type="dxa"/>
          </w:tcPr>
          <w:p w:rsidR="00054EA2" w:rsidRPr="000045BE" w:rsidRDefault="00054EA2" w:rsidP="00FF5E8F">
            <w:pPr>
              <w:spacing w:before="120" w:after="120"/>
              <w:rPr>
                <w:rFonts w:eastAsia="SimSun"/>
                <w:lang w:eastAsia="zh-CN"/>
              </w:rPr>
            </w:pPr>
            <w:r w:rsidRPr="000045BE">
              <w:rPr>
                <w:rFonts w:eastAsia="SimSun"/>
                <w:lang w:eastAsia="zh-CN"/>
              </w:rPr>
              <w:t xml:space="preserve">Ministries of Environment, other relevant ministries, Commission of official text, non-governmental organizations </w:t>
            </w:r>
          </w:p>
        </w:tc>
        <w:tc>
          <w:tcPr>
            <w:tcW w:w="2080" w:type="dxa"/>
          </w:tcPr>
          <w:p w:rsidR="00054EA2" w:rsidRPr="000045BE" w:rsidRDefault="00054EA2" w:rsidP="00FF5E8F">
            <w:pPr>
              <w:spacing w:before="120" w:after="120"/>
              <w:rPr>
                <w:rFonts w:eastAsia="SimSun"/>
                <w:lang w:val="en-US" w:eastAsia="zh-CN"/>
              </w:rPr>
            </w:pPr>
            <w:r w:rsidRPr="000045BE">
              <w:rPr>
                <w:rFonts w:eastAsia="SimSun"/>
                <w:lang w:val="en-US" w:eastAsia="zh-CN"/>
              </w:rPr>
              <w:t>3 months</w:t>
            </w:r>
          </w:p>
        </w:tc>
        <w:tc>
          <w:tcPr>
            <w:tcW w:w="2155" w:type="dxa"/>
          </w:tcPr>
          <w:p w:rsidR="00054EA2" w:rsidRPr="000045BE" w:rsidRDefault="00054EA2" w:rsidP="00FF5E8F">
            <w:pPr>
              <w:spacing w:after="40"/>
              <w:rPr>
                <w:rFonts w:eastAsia="SimSun"/>
                <w:lang w:val="en-US" w:eastAsia="zh-CN"/>
              </w:rPr>
            </w:pPr>
            <w:r w:rsidRPr="000045BE">
              <w:rPr>
                <w:rFonts w:eastAsia="SimSun"/>
                <w:lang w:val="en-US" w:eastAsia="zh-CN"/>
              </w:rPr>
              <w:t xml:space="preserve">The law implementing the Basel Convention is adopted and published in the official journal </w:t>
            </w:r>
          </w:p>
        </w:tc>
        <w:tc>
          <w:tcPr>
            <w:tcW w:w="2930" w:type="dxa"/>
          </w:tcPr>
          <w:p w:rsidR="00054EA2" w:rsidRPr="000045BE" w:rsidRDefault="00054EA2" w:rsidP="00FF5E8F">
            <w:pPr>
              <w:rPr>
                <w:rFonts w:eastAsia="SimSun"/>
                <w:lang w:val="en-US" w:eastAsia="zh-CN"/>
              </w:rPr>
            </w:pPr>
            <w:r w:rsidRPr="000045BE">
              <w:rPr>
                <w:rFonts w:eastAsia="SimSun"/>
                <w:lang w:val="en-US" w:eastAsia="zh-CN"/>
              </w:rPr>
              <w:t>Activities 3 and 4 listed in the 22 February 2018 letter setting out supplementary information on the submission of the Central African Republic</w:t>
            </w:r>
            <w:r w:rsidRPr="000045BE">
              <w:rPr>
                <w:rStyle w:val="FootnoteReference"/>
                <w:rFonts w:eastAsia="SimSun"/>
                <w:lang w:val="en-US" w:eastAsia="zh-CN"/>
              </w:rPr>
              <w:footnoteReference w:customMarkFollows="1" w:id="5"/>
              <w:t>9</w:t>
            </w:r>
          </w:p>
        </w:tc>
      </w:tr>
      <w:tr w:rsidR="00054EA2" w:rsidRPr="000045BE" w:rsidTr="00FF5E8F">
        <w:trPr>
          <w:trHeight w:val="685"/>
        </w:trPr>
        <w:tc>
          <w:tcPr>
            <w:tcW w:w="13608" w:type="dxa"/>
            <w:gridSpan w:val="5"/>
          </w:tcPr>
          <w:p w:rsidR="00054EA2" w:rsidRPr="000045BE" w:rsidRDefault="00054EA2" w:rsidP="00FF5E8F">
            <w:pPr>
              <w:rPr>
                <w:rFonts w:eastAsia="SimSun"/>
                <w:b/>
                <w:lang w:val="en-US" w:eastAsia="zh-CN"/>
              </w:rPr>
            </w:pPr>
          </w:p>
          <w:p w:rsidR="00054EA2" w:rsidRPr="000045BE" w:rsidRDefault="00054EA2" w:rsidP="00FF5E8F">
            <w:pPr>
              <w:rPr>
                <w:rFonts w:eastAsia="SimSun"/>
                <w:b/>
                <w:lang w:val="en-US" w:eastAsia="zh-CN"/>
              </w:rPr>
            </w:pPr>
            <w:r w:rsidRPr="000045BE">
              <w:rPr>
                <w:rFonts w:eastAsia="SimSun"/>
                <w:b/>
                <w:lang w:val="en-US" w:eastAsia="zh-CN"/>
              </w:rPr>
              <w:t xml:space="preserve">Area of intervention 2: Awareness-raising, </w:t>
            </w:r>
            <w:r w:rsidRPr="000045BE">
              <w:rPr>
                <w:rFonts w:eastAsia="SimSun"/>
                <w:b/>
                <w:lang w:eastAsia="zh-CN"/>
              </w:rPr>
              <w:t>training</w:t>
            </w:r>
            <w:r w:rsidRPr="000045BE">
              <w:rPr>
                <w:rFonts w:eastAsia="SimSun"/>
                <w:b/>
                <w:lang w:val="en-US" w:eastAsia="zh-CN"/>
              </w:rPr>
              <w:t xml:space="preserve"> and information exchange </w:t>
            </w:r>
          </w:p>
          <w:p w:rsidR="00054EA2" w:rsidRPr="000045BE" w:rsidRDefault="00054EA2" w:rsidP="00FF5E8F">
            <w:pPr>
              <w:rPr>
                <w:rFonts w:eastAsia="SimSun"/>
                <w:lang w:val="en-US" w:eastAsia="zh-CN"/>
              </w:rPr>
            </w:pPr>
          </w:p>
        </w:tc>
      </w:tr>
      <w:tr w:rsidR="00054EA2" w:rsidRPr="000045BE" w:rsidTr="00FF5E8F">
        <w:trPr>
          <w:trHeight w:val="2566"/>
        </w:trPr>
        <w:tc>
          <w:tcPr>
            <w:tcW w:w="4544" w:type="dxa"/>
          </w:tcPr>
          <w:p w:rsidR="00054EA2" w:rsidRPr="000045BE" w:rsidRDefault="00054EA2" w:rsidP="00FF5E8F">
            <w:pPr>
              <w:spacing w:before="120" w:after="120"/>
              <w:rPr>
                <w:rFonts w:eastAsia="SimSun"/>
                <w:lang w:eastAsia="zh-CN"/>
              </w:rPr>
            </w:pPr>
            <w:r w:rsidRPr="000045BE">
              <w:rPr>
                <w:rFonts w:eastAsia="SimSun"/>
                <w:lang w:eastAsia="zh-CN"/>
              </w:rPr>
              <w:t xml:space="preserve">Conduct </w:t>
            </w:r>
            <w:r w:rsidRPr="000045BE">
              <w:rPr>
                <w:rFonts w:eastAsia="SimSun"/>
                <w:lang w:val="en-US" w:eastAsia="zh-CN"/>
              </w:rPr>
              <w:t>awareness</w:t>
            </w:r>
            <w:r w:rsidRPr="000045BE">
              <w:rPr>
                <w:rFonts w:eastAsia="SimSun"/>
                <w:lang w:eastAsia="zh-CN"/>
              </w:rPr>
              <w:t>-raising and training activities on the national legal, administrative and other mechanisms/measures adopted to implement and enforce the provisions of the Basel Convention</w:t>
            </w:r>
            <w:r w:rsidRPr="000045BE">
              <w:rPr>
                <w:lang w:val="en-US"/>
              </w:rPr>
              <w:t xml:space="preserve"> Convention.</w:t>
            </w:r>
          </w:p>
          <w:p w:rsidR="00054EA2" w:rsidRPr="000045BE" w:rsidRDefault="00054EA2" w:rsidP="00FF5E8F">
            <w:pPr>
              <w:spacing w:before="120" w:after="120"/>
              <w:rPr>
                <w:rFonts w:eastAsia="SimSun"/>
                <w:lang w:eastAsia="zh-CN"/>
              </w:rPr>
            </w:pPr>
            <w:r w:rsidRPr="000045BE">
              <w:rPr>
                <w:rFonts w:eastAsia="SimSun"/>
                <w:lang w:eastAsia="zh-CN"/>
              </w:rPr>
              <w:t xml:space="preserve"> </w:t>
            </w:r>
          </w:p>
        </w:tc>
        <w:tc>
          <w:tcPr>
            <w:tcW w:w="1899" w:type="dxa"/>
          </w:tcPr>
          <w:p w:rsidR="00054EA2" w:rsidRPr="000045BE" w:rsidRDefault="00054EA2" w:rsidP="00FF5E8F">
            <w:pPr>
              <w:spacing w:before="120" w:after="120"/>
              <w:rPr>
                <w:rFonts w:eastAsia="SimSun"/>
                <w:lang w:eastAsia="zh-CN"/>
              </w:rPr>
            </w:pPr>
            <w:r w:rsidRPr="000045BE">
              <w:rPr>
                <w:rFonts w:eastAsia="SimSun"/>
                <w:lang w:eastAsia="zh-CN"/>
              </w:rPr>
              <w:t>Ministry of Environment, Sustainable Development, Water, Forest; Hunting and Fishing</w:t>
            </w:r>
          </w:p>
        </w:tc>
        <w:tc>
          <w:tcPr>
            <w:tcW w:w="2080" w:type="dxa"/>
          </w:tcPr>
          <w:p w:rsidR="00054EA2" w:rsidRPr="000045BE" w:rsidRDefault="00054EA2" w:rsidP="00FF5E8F">
            <w:pPr>
              <w:spacing w:before="120" w:after="120"/>
              <w:rPr>
                <w:rFonts w:eastAsia="SimSun"/>
                <w:lang w:val="en-US" w:eastAsia="zh-CN"/>
              </w:rPr>
            </w:pPr>
            <w:r w:rsidRPr="000045BE">
              <w:rPr>
                <w:rFonts w:eastAsia="SimSun"/>
                <w:lang w:val="en-US" w:eastAsia="zh-CN"/>
              </w:rPr>
              <w:t>6 months</w:t>
            </w:r>
          </w:p>
        </w:tc>
        <w:tc>
          <w:tcPr>
            <w:tcW w:w="2155" w:type="dxa"/>
          </w:tcPr>
          <w:p w:rsidR="00054EA2" w:rsidRPr="000045BE" w:rsidRDefault="00054EA2" w:rsidP="00FF5E8F">
            <w:pPr>
              <w:spacing w:before="120" w:after="120"/>
              <w:rPr>
                <w:rFonts w:eastAsia="SimSun"/>
                <w:lang w:eastAsia="zh-CN"/>
              </w:rPr>
            </w:pPr>
            <w:r w:rsidRPr="000045BE">
              <w:rPr>
                <w:rFonts w:eastAsia="SimSun"/>
                <w:lang w:val="en-US" w:eastAsia="zh-CN"/>
              </w:rPr>
              <w:t>Awareness and training activities on the national</w:t>
            </w:r>
            <w:r w:rsidRPr="000045BE">
              <w:rPr>
                <w:rFonts w:eastAsia="SimSun"/>
                <w:lang w:eastAsia="zh-CN"/>
              </w:rPr>
              <w:t xml:space="preserve"> legal, administrative and other mechanisms/measures adopted to implement and enforce the provisions of the Basel Convention</w:t>
            </w:r>
            <w:r w:rsidRPr="000045BE">
              <w:rPr>
                <w:lang w:val="en-US"/>
              </w:rPr>
              <w:t>.</w:t>
            </w:r>
          </w:p>
        </w:tc>
        <w:tc>
          <w:tcPr>
            <w:tcW w:w="2930" w:type="dxa"/>
          </w:tcPr>
          <w:p w:rsidR="00054EA2" w:rsidRPr="000045BE" w:rsidRDefault="00054EA2" w:rsidP="00FF5E8F">
            <w:pPr>
              <w:spacing w:after="40"/>
              <w:rPr>
                <w:rFonts w:eastAsia="SimSun"/>
                <w:lang w:val="en-US" w:eastAsia="zh-CN"/>
              </w:rPr>
            </w:pPr>
            <w:r w:rsidRPr="000045BE">
              <w:rPr>
                <w:rFonts w:eastAsia="SimSun"/>
                <w:lang w:val="en-US" w:eastAsia="zh-CN"/>
              </w:rPr>
              <w:t xml:space="preserve"> </w:t>
            </w:r>
          </w:p>
        </w:tc>
      </w:tr>
    </w:tbl>
    <w:p w:rsidR="00054EA2" w:rsidRPr="000045BE" w:rsidRDefault="00054EA2" w:rsidP="00054EA2">
      <w:pPr>
        <w:tabs>
          <w:tab w:val="clear" w:pos="1247"/>
          <w:tab w:val="left" w:pos="624"/>
          <w:tab w:val="left" w:pos="1248"/>
          <w:tab w:val="left" w:pos="1872"/>
          <w:tab w:val="left" w:pos="2496"/>
          <w:tab w:val="left" w:pos="3120"/>
          <w:tab w:val="left" w:pos="3744"/>
          <w:tab w:val="left" w:pos="4368"/>
          <w:tab w:val="left" w:pos="4992"/>
          <w:tab w:val="left" w:pos="5616"/>
          <w:tab w:val="left" w:pos="6240"/>
          <w:tab w:val="left" w:pos="6864"/>
          <w:tab w:val="left" w:pos="7488"/>
          <w:tab w:val="left" w:pos="8112"/>
          <w:tab w:val="left" w:pos="8736"/>
          <w:tab w:val="left" w:pos="9360"/>
        </w:tabs>
        <w:spacing w:before="120" w:after="120"/>
        <w:ind w:left="1321"/>
        <w:rPr>
          <w:b/>
          <w:bCs/>
          <w:lang w:val="en-US"/>
        </w:rPr>
        <w:sectPr w:rsidR="00054EA2" w:rsidRPr="000045BE" w:rsidSect="003278E0">
          <w:headerReference w:type="default" r:id="rId11"/>
          <w:footerReference w:type="even" r:id="rId12"/>
          <w:footerReference w:type="default" r:id="rId13"/>
          <w:headerReference w:type="first" r:id="rId14"/>
          <w:pgSz w:w="16840" w:h="11900" w:orient="landscape" w:code="9"/>
          <w:pgMar w:top="907" w:right="992" w:bottom="1418" w:left="1440" w:header="539" w:footer="975" w:gutter="0"/>
          <w:cols w:space="720"/>
        </w:sectPr>
      </w:pPr>
    </w:p>
    <w:p w:rsidR="00CF7497" w:rsidRPr="00054EA2" w:rsidRDefault="00CF7497">
      <w:pPr>
        <w:rPr>
          <w:lang w:val="en-US"/>
        </w:rPr>
      </w:pPr>
      <w:bookmarkStart w:id="0" w:name="_GoBack"/>
      <w:bookmarkEnd w:id="0"/>
    </w:p>
    <w:sectPr w:rsidR="00CF7497" w:rsidRPr="00054E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3FEC" w:rsidRDefault="00813FEC" w:rsidP="00054EA2">
      <w:r>
        <w:separator/>
      </w:r>
    </w:p>
  </w:endnote>
  <w:endnote w:type="continuationSeparator" w:id="0">
    <w:p w:rsidR="00813FEC" w:rsidRDefault="00813FEC" w:rsidP="00054E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1291213"/>
      <w:docPartObj>
        <w:docPartGallery w:val="Page Numbers (Bottom of Page)"/>
        <w:docPartUnique/>
      </w:docPartObj>
    </w:sdtPr>
    <w:sdtEndPr>
      <w:rPr>
        <w:b/>
        <w:noProof/>
        <w:szCs w:val="18"/>
      </w:rPr>
    </w:sdtEndPr>
    <w:sdtContent>
      <w:p w:rsidR="00054EA2" w:rsidRPr="003E0C74" w:rsidRDefault="00054EA2">
        <w:pPr>
          <w:pStyle w:val="Footer"/>
          <w:rPr>
            <w:b/>
            <w:szCs w:val="18"/>
          </w:rPr>
        </w:pPr>
        <w:r w:rsidRPr="003E0C74">
          <w:rPr>
            <w:b/>
            <w:szCs w:val="18"/>
          </w:rPr>
          <w:fldChar w:fldCharType="begin"/>
        </w:r>
        <w:r w:rsidRPr="00342B7D">
          <w:rPr>
            <w:b/>
            <w:szCs w:val="18"/>
          </w:rPr>
          <w:instrText xml:space="preserve"> PAGE   \* MERGEFORMAT </w:instrText>
        </w:r>
        <w:r w:rsidRPr="003E0C74">
          <w:rPr>
            <w:b/>
            <w:szCs w:val="18"/>
          </w:rPr>
          <w:fldChar w:fldCharType="separate"/>
        </w:r>
        <w:r>
          <w:rPr>
            <w:b/>
            <w:noProof/>
            <w:szCs w:val="18"/>
          </w:rPr>
          <w:t>18</w:t>
        </w:r>
        <w:r w:rsidRPr="003E0C74">
          <w:rPr>
            <w:b/>
            <w:noProof/>
            <w:szCs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9194018"/>
      <w:docPartObj>
        <w:docPartGallery w:val="Page Numbers (Bottom of Page)"/>
        <w:docPartUnique/>
      </w:docPartObj>
    </w:sdtPr>
    <w:sdtEndPr>
      <w:rPr>
        <w:b/>
        <w:noProof/>
        <w:szCs w:val="18"/>
      </w:rPr>
    </w:sdtEndPr>
    <w:sdtContent>
      <w:p w:rsidR="00054EA2" w:rsidRPr="003E0C74" w:rsidRDefault="00054EA2" w:rsidP="003278E0">
        <w:pPr>
          <w:pStyle w:val="Footer"/>
          <w:jc w:val="right"/>
          <w:rPr>
            <w:b/>
            <w:szCs w:val="18"/>
          </w:rPr>
        </w:pPr>
        <w:r w:rsidRPr="003E0C74">
          <w:rPr>
            <w:b/>
            <w:szCs w:val="18"/>
          </w:rPr>
          <w:fldChar w:fldCharType="begin"/>
        </w:r>
        <w:r w:rsidRPr="00342B7D">
          <w:rPr>
            <w:b/>
            <w:szCs w:val="18"/>
          </w:rPr>
          <w:instrText xml:space="preserve"> PAGE   \* MERGEFORMAT </w:instrText>
        </w:r>
        <w:r w:rsidRPr="003E0C74">
          <w:rPr>
            <w:b/>
            <w:szCs w:val="18"/>
          </w:rPr>
          <w:fldChar w:fldCharType="separate"/>
        </w:r>
        <w:r>
          <w:rPr>
            <w:b/>
            <w:noProof/>
            <w:szCs w:val="18"/>
          </w:rPr>
          <w:t>17</w:t>
        </w:r>
        <w:r w:rsidRPr="003E0C74">
          <w:rPr>
            <w:b/>
            <w:noProof/>
            <w:szCs w:val="1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3532573"/>
      <w:docPartObj>
        <w:docPartGallery w:val="Page Numbers (Bottom of Page)"/>
        <w:docPartUnique/>
      </w:docPartObj>
    </w:sdtPr>
    <w:sdtEndPr>
      <w:rPr>
        <w:b/>
        <w:bCs/>
        <w:noProof/>
      </w:rPr>
    </w:sdtEndPr>
    <w:sdtContent>
      <w:p w:rsidR="00054EA2" w:rsidRPr="000A7486" w:rsidRDefault="00054EA2" w:rsidP="000A7486">
        <w:pPr>
          <w:pStyle w:val="Footer"/>
          <w:rPr>
            <w:b/>
            <w:bCs/>
          </w:rPr>
        </w:pPr>
        <w:r w:rsidRPr="000A7486">
          <w:rPr>
            <w:b/>
            <w:bCs/>
          </w:rPr>
          <w:fldChar w:fldCharType="begin"/>
        </w:r>
        <w:r w:rsidRPr="000A7486">
          <w:rPr>
            <w:b/>
            <w:bCs/>
          </w:rPr>
          <w:instrText xml:space="preserve"> PAGE   \* MERGEFORMAT </w:instrText>
        </w:r>
        <w:r w:rsidRPr="000A7486">
          <w:rPr>
            <w:b/>
            <w:bCs/>
          </w:rPr>
          <w:fldChar w:fldCharType="separate"/>
        </w:r>
        <w:r w:rsidRPr="000A7486">
          <w:rPr>
            <w:b/>
            <w:bCs/>
            <w:noProof/>
          </w:rPr>
          <w:t>2</w:t>
        </w:r>
        <w:r w:rsidRPr="000A7486">
          <w:rPr>
            <w:b/>
            <w:bCs/>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4EA2" w:rsidRDefault="00054EA2" w:rsidP="003278E0">
    <w:pPr>
      <w:pStyle w:val="Footer"/>
      <w:ind w:right="253"/>
      <w:jc w:val="right"/>
      <w:rPr>
        <w:lang w:val="en-US"/>
      </w:rPr>
    </w:pPr>
    <w:r w:rsidRPr="00207D75">
      <w:rPr>
        <w:b/>
        <w:szCs w:val="18"/>
      </w:rPr>
      <w:fldChar w:fldCharType="begin"/>
    </w:r>
    <w:r w:rsidRPr="00207D75">
      <w:rPr>
        <w:b/>
        <w:szCs w:val="18"/>
      </w:rPr>
      <w:instrText xml:space="preserve"> PAGE   </w:instrText>
    </w:r>
    <w:r>
      <w:rPr>
        <w:b/>
        <w:szCs w:val="18"/>
      </w:rPr>
      <w:instrText>\</w:instrText>
    </w:r>
    <w:r w:rsidRPr="00207D75">
      <w:rPr>
        <w:b/>
        <w:szCs w:val="18"/>
      </w:rPr>
      <w:instrText xml:space="preserve">* MERGEFORMAT </w:instrText>
    </w:r>
    <w:r w:rsidRPr="00207D75">
      <w:rPr>
        <w:b/>
        <w:szCs w:val="18"/>
      </w:rPr>
      <w:fldChar w:fldCharType="separate"/>
    </w:r>
    <w:r>
      <w:rPr>
        <w:b/>
        <w:noProof/>
        <w:szCs w:val="18"/>
      </w:rPr>
      <w:t>19</w:t>
    </w:r>
    <w:r w:rsidRPr="00207D75">
      <w:rPr>
        <w:b/>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3FEC" w:rsidRDefault="00813FEC" w:rsidP="00054EA2">
      <w:r>
        <w:separator/>
      </w:r>
    </w:p>
  </w:footnote>
  <w:footnote w:type="continuationSeparator" w:id="0">
    <w:p w:rsidR="00813FEC" w:rsidRDefault="00813FEC" w:rsidP="00054EA2">
      <w:r>
        <w:continuationSeparator/>
      </w:r>
    </w:p>
  </w:footnote>
  <w:footnote w:id="1">
    <w:p w:rsidR="00054EA2" w:rsidRPr="00622BA9" w:rsidRDefault="00054EA2" w:rsidP="00054EA2">
      <w:pPr>
        <w:pStyle w:val="FootnoteText"/>
        <w:ind w:left="1276"/>
        <w:rPr>
          <w:szCs w:val="18"/>
        </w:rPr>
      </w:pPr>
      <w:r w:rsidRPr="00622BA9">
        <w:rPr>
          <w:rStyle w:val="FootnoteReference"/>
        </w:rPr>
        <w:footnoteRef/>
      </w:r>
      <w:r w:rsidRPr="00622BA9">
        <w:rPr>
          <w:szCs w:val="18"/>
        </w:rPr>
        <w:t xml:space="preserve"> </w:t>
      </w:r>
      <w:r w:rsidRPr="00622BA9">
        <w:rPr>
          <w:szCs w:val="18"/>
          <w:lang w:val="en-US"/>
        </w:rPr>
        <w:t>UNEP/CHW/CC.13/2/Add.3.</w:t>
      </w:r>
    </w:p>
  </w:footnote>
  <w:footnote w:id="2">
    <w:p w:rsidR="00054EA2" w:rsidRPr="00622BA9" w:rsidRDefault="00054EA2" w:rsidP="00054EA2">
      <w:pPr>
        <w:pStyle w:val="FootnoteText"/>
        <w:ind w:left="1276"/>
        <w:rPr>
          <w:szCs w:val="18"/>
        </w:rPr>
      </w:pPr>
      <w:r w:rsidRPr="00622BA9">
        <w:rPr>
          <w:rStyle w:val="FootnoteReference"/>
        </w:rPr>
        <w:footnoteRef/>
      </w:r>
      <w:r w:rsidRPr="00622BA9">
        <w:rPr>
          <w:szCs w:val="18"/>
        </w:rPr>
        <w:t xml:space="preserve"> </w:t>
      </w:r>
      <w:r w:rsidRPr="00622BA9">
        <w:rPr>
          <w:i/>
          <w:szCs w:val="18"/>
        </w:rPr>
        <w:t>Idem.</w:t>
      </w:r>
    </w:p>
  </w:footnote>
  <w:footnote w:id="3">
    <w:p w:rsidR="00054EA2" w:rsidRPr="00EC4C9C" w:rsidRDefault="00054EA2" w:rsidP="00054EA2">
      <w:pPr>
        <w:pStyle w:val="FootnoteText"/>
        <w:ind w:left="1276"/>
        <w:rPr>
          <w:lang w:val="en-US"/>
        </w:rPr>
      </w:pPr>
      <w:r>
        <w:rPr>
          <w:rStyle w:val="FootnoteReference"/>
        </w:rPr>
        <w:t>7</w:t>
      </w:r>
      <w:r>
        <w:t xml:space="preserve"> </w:t>
      </w:r>
      <w:r w:rsidRPr="00EC4C9C">
        <w:rPr>
          <w:szCs w:val="18"/>
          <w:lang w:val="en-US"/>
        </w:rPr>
        <w:t>UNEP</w:t>
      </w:r>
      <w:r w:rsidRPr="00622BA9">
        <w:rPr>
          <w:szCs w:val="18"/>
        </w:rPr>
        <w:t>/CHW/CC.13/INF/4.</w:t>
      </w:r>
    </w:p>
  </w:footnote>
  <w:footnote w:id="4">
    <w:p w:rsidR="00054EA2" w:rsidRPr="00EC4C9C" w:rsidRDefault="00054EA2" w:rsidP="00054EA2">
      <w:pPr>
        <w:pStyle w:val="FootnoteText"/>
        <w:ind w:left="1276"/>
        <w:rPr>
          <w:lang w:val="en-US"/>
        </w:rPr>
      </w:pPr>
      <w:r>
        <w:rPr>
          <w:rStyle w:val="FootnoteReference"/>
        </w:rPr>
        <w:t>8</w:t>
      </w:r>
      <w:r>
        <w:t xml:space="preserve"> </w:t>
      </w:r>
      <w:r w:rsidRPr="00622BA9">
        <w:rPr>
          <w:szCs w:val="18"/>
        </w:rPr>
        <w:t>UNEP/CHW/CC.13/INF/4.</w:t>
      </w:r>
    </w:p>
  </w:footnote>
  <w:footnote w:id="5">
    <w:p w:rsidR="00054EA2" w:rsidRPr="00EC4C9C" w:rsidRDefault="00054EA2" w:rsidP="00054EA2">
      <w:pPr>
        <w:pStyle w:val="FootnoteText"/>
        <w:ind w:left="1276"/>
        <w:rPr>
          <w:lang w:val="en-US"/>
        </w:rPr>
      </w:pPr>
      <w:r>
        <w:rPr>
          <w:rStyle w:val="FootnoteReference"/>
        </w:rPr>
        <w:t>9</w:t>
      </w:r>
      <w:r>
        <w:t xml:space="preserve"> </w:t>
      </w:r>
      <w:r w:rsidRPr="00622BA9">
        <w:rPr>
          <w:szCs w:val="18"/>
        </w:rPr>
        <w:t>UNEP/CHW/CC.13/INF/4.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4EA2" w:rsidRPr="000A7486" w:rsidRDefault="00054EA2">
    <w:pPr>
      <w:pStyle w:val="Header"/>
      <w:rPr>
        <w:b w:val="0"/>
        <w:szCs w:val="18"/>
      </w:rPr>
    </w:pPr>
    <w:r w:rsidRPr="00F82D6B">
      <w:rPr>
        <w:szCs w:val="18"/>
      </w:rPr>
      <w:t>UNEP/CHW/CC</w:t>
    </w:r>
    <w:r>
      <w:rPr>
        <w:szCs w:val="18"/>
      </w:rPr>
      <w:t>.13/11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4EA2" w:rsidRDefault="00054E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4EA2" w:rsidRPr="003426D6" w:rsidRDefault="00054EA2" w:rsidP="003426D6">
    <w:pPr>
      <w:pStyle w:val="Header"/>
      <w:jc w:val="right"/>
      <w:rPr>
        <w:b w:val="0"/>
        <w:szCs w:val="18"/>
      </w:rPr>
    </w:pPr>
    <w:r w:rsidRPr="00F82D6B">
      <w:rPr>
        <w:szCs w:val="18"/>
      </w:rPr>
      <w:t>UNEP/CHW/CC</w:t>
    </w:r>
    <w:r>
      <w:rPr>
        <w:szCs w:val="18"/>
      </w:rPr>
      <w:t>.13/11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4EA2" w:rsidRDefault="00054E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35D19"/>
    <w:multiLevelType w:val="multilevel"/>
    <w:tmpl w:val="6902C8F2"/>
    <w:lvl w:ilvl="0">
      <w:start w:val="1"/>
      <w:numFmt w:val="decimal"/>
      <w:isLgl/>
      <w:lvlText w:val="%1."/>
      <w:lvlJc w:val="left"/>
      <w:pPr>
        <w:tabs>
          <w:tab w:val="num" w:pos="3"/>
        </w:tabs>
        <w:ind w:left="3" w:firstLine="1350"/>
      </w:pPr>
      <w:rPr>
        <w:rFonts w:cs="Times New Roman" w:hint="default"/>
        <w:color w:val="000000"/>
        <w:position w:val="0"/>
        <w:sz w:val="20"/>
        <w:szCs w:val="20"/>
      </w:rPr>
    </w:lvl>
    <w:lvl w:ilvl="1">
      <w:start w:val="1"/>
      <w:numFmt w:val="lowerLetter"/>
      <w:lvlText w:val="%2."/>
      <w:lvlJc w:val="left"/>
      <w:pPr>
        <w:tabs>
          <w:tab w:val="num" w:pos="360"/>
        </w:tabs>
        <w:ind w:left="360" w:firstLine="2607"/>
      </w:pPr>
      <w:rPr>
        <w:rFonts w:cs="Times New Roman" w:hint="default"/>
        <w:color w:val="000000"/>
        <w:position w:val="0"/>
        <w:sz w:val="24"/>
      </w:rPr>
    </w:lvl>
    <w:lvl w:ilvl="2">
      <w:start w:val="1"/>
      <w:numFmt w:val="lowerRoman"/>
      <w:lvlText w:val="%3."/>
      <w:lvlJc w:val="left"/>
      <w:pPr>
        <w:tabs>
          <w:tab w:val="num" w:pos="360"/>
        </w:tabs>
        <w:ind w:left="360" w:firstLine="3327"/>
      </w:pPr>
      <w:rPr>
        <w:rFonts w:cs="Times New Roman" w:hint="default"/>
        <w:color w:val="000000"/>
        <w:position w:val="0"/>
        <w:sz w:val="24"/>
      </w:rPr>
    </w:lvl>
    <w:lvl w:ilvl="3">
      <w:start w:val="1"/>
      <w:numFmt w:val="decimal"/>
      <w:lvlText w:val="%4."/>
      <w:lvlJc w:val="left"/>
      <w:pPr>
        <w:tabs>
          <w:tab w:val="num" w:pos="360"/>
        </w:tabs>
        <w:ind w:left="360" w:firstLine="4047"/>
      </w:pPr>
      <w:rPr>
        <w:rFonts w:hint="default"/>
        <w:b w:val="0"/>
        <w:color w:val="000000"/>
        <w:position w:val="0"/>
        <w:sz w:val="20"/>
        <w:szCs w:val="20"/>
      </w:rPr>
    </w:lvl>
    <w:lvl w:ilvl="4">
      <w:start w:val="1"/>
      <w:numFmt w:val="lowerLetter"/>
      <w:lvlText w:val="(%5)"/>
      <w:lvlJc w:val="left"/>
      <w:pPr>
        <w:tabs>
          <w:tab w:val="num" w:pos="360"/>
        </w:tabs>
        <w:ind w:left="360" w:firstLine="4767"/>
      </w:pPr>
      <w:rPr>
        <w:rFonts w:hint="default"/>
        <w:i/>
        <w:color w:val="000000"/>
        <w:position w:val="0"/>
        <w:sz w:val="24"/>
      </w:rPr>
    </w:lvl>
    <w:lvl w:ilvl="5">
      <w:start w:val="1"/>
      <w:numFmt w:val="lowerRoman"/>
      <w:lvlText w:val="%6."/>
      <w:lvlJc w:val="left"/>
      <w:pPr>
        <w:tabs>
          <w:tab w:val="num" w:pos="360"/>
        </w:tabs>
        <w:ind w:left="360" w:firstLine="5487"/>
      </w:pPr>
      <w:rPr>
        <w:rFonts w:cs="Times New Roman" w:hint="default"/>
        <w:color w:val="000000"/>
        <w:position w:val="0"/>
        <w:sz w:val="24"/>
      </w:rPr>
    </w:lvl>
    <w:lvl w:ilvl="6">
      <w:start w:val="1"/>
      <w:numFmt w:val="decimal"/>
      <w:isLgl/>
      <w:lvlText w:val="%7."/>
      <w:lvlJc w:val="left"/>
      <w:pPr>
        <w:tabs>
          <w:tab w:val="num" w:pos="360"/>
        </w:tabs>
        <w:ind w:left="360" w:firstLine="6207"/>
      </w:pPr>
      <w:rPr>
        <w:rFonts w:cs="Times New Roman" w:hint="default"/>
        <w:color w:val="000000"/>
        <w:position w:val="0"/>
        <w:sz w:val="20"/>
        <w:szCs w:val="20"/>
      </w:rPr>
    </w:lvl>
    <w:lvl w:ilvl="7">
      <w:start w:val="1"/>
      <w:numFmt w:val="lowerLetter"/>
      <w:lvlText w:val="%8."/>
      <w:lvlJc w:val="left"/>
      <w:pPr>
        <w:tabs>
          <w:tab w:val="num" w:pos="360"/>
        </w:tabs>
        <w:ind w:left="360" w:firstLine="6927"/>
      </w:pPr>
      <w:rPr>
        <w:rFonts w:cs="Times New Roman" w:hint="default"/>
        <w:color w:val="000000"/>
        <w:position w:val="0"/>
        <w:sz w:val="24"/>
      </w:rPr>
    </w:lvl>
    <w:lvl w:ilvl="8">
      <w:start w:val="1"/>
      <w:numFmt w:val="lowerRoman"/>
      <w:lvlText w:val="%9."/>
      <w:lvlJc w:val="left"/>
      <w:pPr>
        <w:tabs>
          <w:tab w:val="num" w:pos="360"/>
        </w:tabs>
        <w:ind w:left="360" w:firstLine="7647"/>
      </w:pPr>
      <w:rPr>
        <w:rFonts w:cs="Times New Roman" w:hint="default"/>
        <w:color w:val="000000"/>
        <w:position w:val="0"/>
        <w:sz w:val="24"/>
      </w:rPr>
    </w:lvl>
  </w:abstractNum>
  <w:abstractNum w:abstractNumId="1" w15:restartNumberingAfterBreak="0">
    <w:nsid w:val="68AC6C4B"/>
    <w:multiLevelType w:val="hybridMultilevel"/>
    <w:tmpl w:val="72F0CB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EA2"/>
    <w:rsid w:val="00054EA2"/>
    <w:rsid w:val="00304CF0"/>
    <w:rsid w:val="00813FEC"/>
    <w:rsid w:val="00987DB3"/>
    <w:rsid w:val="009D258D"/>
    <w:rsid w:val="00C873CC"/>
    <w:rsid w:val="00CF74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43D28E-0844-4900-B97A-1CF191D25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4EA2"/>
    <w:pPr>
      <w:tabs>
        <w:tab w:val="left" w:pos="1247"/>
        <w:tab w:val="left" w:pos="1814"/>
        <w:tab w:val="left" w:pos="2381"/>
        <w:tab w:val="left" w:pos="2948"/>
        <w:tab w:val="left" w:pos="3515"/>
      </w:tabs>
      <w:spacing w:after="0" w:line="240" w:lineRule="auto"/>
    </w:pPr>
    <w:rPr>
      <w:rFonts w:ascii="Times New Roman" w:eastAsia="Times New Roman" w:hAnsi="Times New Roman" w:cs="Times New Roman"/>
      <w:sz w:val="20"/>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EA2"/>
    <w:pPr>
      <w:tabs>
        <w:tab w:val="clear" w:pos="1247"/>
        <w:tab w:val="clear" w:pos="1814"/>
        <w:tab w:val="clear" w:pos="2381"/>
        <w:tab w:val="clear" w:pos="2948"/>
        <w:tab w:val="clear" w:pos="3515"/>
      </w:tabs>
      <w:ind w:left="720"/>
      <w:contextualSpacing/>
    </w:pPr>
    <w:rPr>
      <w:rFonts w:eastAsia="SimSun"/>
      <w:sz w:val="24"/>
      <w:szCs w:val="24"/>
    </w:rPr>
  </w:style>
  <w:style w:type="character" w:styleId="FootnoteReference">
    <w:name w:val="footnote reference"/>
    <w:aliases w:val="16 Point,Superscript 6 Point,ftref,(Ref. de nota al pie),number,SUPERS,Footnote Reference Superscript,Ref,de nota al pie,註腳內容,de nota al pie + (Asian) MS Mincho,11 pt,Ref. de nota de rodapé1,stylish"/>
    <w:uiPriority w:val="99"/>
    <w:rsid w:val="00054EA2"/>
    <w:rPr>
      <w:rFonts w:ascii="Times New Roman" w:hAnsi="Times New Roman"/>
      <w:color w:val="auto"/>
      <w:sz w:val="20"/>
      <w:szCs w:val="18"/>
      <w:vertAlign w:val="superscript"/>
    </w:rPr>
  </w:style>
  <w:style w:type="paragraph" w:styleId="FootnoteText">
    <w:name w:val="footnote text"/>
    <w:aliases w:val="Geneva 9,Font: Geneva 9,Boston 10,f,DNV-FT,footnote3,text,Geneva,92,Font:,Boston,10,FOOTNOTES,fn,single space,Footnote Text Rail EIS,ft,Footnotes,Footnote ak,fn cafc,Footnotes Char Char,Footnote Text Char Char,fn Char Char,footnote text,93"/>
    <w:basedOn w:val="Normal"/>
    <w:link w:val="FootnoteTextChar"/>
    <w:rsid w:val="00054EA2"/>
    <w:pPr>
      <w:spacing w:before="20" w:after="40"/>
      <w:ind w:left="1247"/>
    </w:pPr>
    <w:rPr>
      <w:sz w:val="18"/>
    </w:rPr>
  </w:style>
  <w:style w:type="character" w:customStyle="1" w:styleId="FootnoteTextChar">
    <w:name w:val="Footnote Text Char"/>
    <w:aliases w:val="Geneva 9 Char,Font: Geneva 9 Char,Boston 10 Char,f Char,DNV-FT Char,footnote3 Char,text Char,Geneva Char,92 Char,Font: Char,Boston Char,10 Char,FOOTNOTES Char,fn Char,single space Char,Footnote Text Rail EIS Char,ft Char,fn cafc Char"/>
    <w:basedOn w:val="DefaultParagraphFont"/>
    <w:link w:val="FootnoteText"/>
    <w:rsid w:val="00054EA2"/>
    <w:rPr>
      <w:rFonts w:ascii="Times New Roman" w:eastAsia="Times New Roman" w:hAnsi="Times New Roman" w:cs="Times New Roman"/>
      <w:sz w:val="18"/>
      <w:szCs w:val="20"/>
      <w:lang w:val="en-GB" w:eastAsia="en-US"/>
    </w:rPr>
  </w:style>
  <w:style w:type="paragraph" w:styleId="Footer">
    <w:name w:val="footer"/>
    <w:basedOn w:val="Normal"/>
    <w:link w:val="FooterChar"/>
    <w:uiPriority w:val="99"/>
    <w:rsid w:val="00054EA2"/>
    <w:pPr>
      <w:tabs>
        <w:tab w:val="center" w:pos="4320"/>
        <w:tab w:val="right" w:pos="8640"/>
      </w:tabs>
      <w:spacing w:before="60" w:after="120"/>
    </w:pPr>
    <w:rPr>
      <w:sz w:val="18"/>
    </w:rPr>
  </w:style>
  <w:style w:type="character" w:customStyle="1" w:styleId="FooterChar">
    <w:name w:val="Footer Char"/>
    <w:basedOn w:val="DefaultParagraphFont"/>
    <w:link w:val="Footer"/>
    <w:uiPriority w:val="99"/>
    <w:rsid w:val="00054EA2"/>
    <w:rPr>
      <w:rFonts w:ascii="Times New Roman" w:eastAsia="Times New Roman" w:hAnsi="Times New Roman" w:cs="Times New Roman"/>
      <w:sz w:val="18"/>
      <w:szCs w:val="20"/>
      <w:lang w:val="en-GB" w:eastAsia="en-US"/>
    </w:rPr>
  </w:style>
  <w:style w:type="paragraph" w:styleId="Header">
    <w:name w:val="header"/>
    <w:basedOn w:val="Normal"/>
    <w:link w:val="HeaderChar"/>
    <w:uiPriority w:val="99"/>
    <w:rsid w:val="00054EA2"/>
    <w:pPr>
      <w:pBdr>
        <w:bottom w:val="single" w:sz="4" w:space="1" w:color="auto"/>
      </w:pBdr>
      <w:tabs>
        <w:tab w:val="clear" w:pos="1814"/>
        <w:tab w:val="clear" w:pos="2381"/>
        <w:tab w:val="clear" w:pos="2948"/>
        <w:tab w:val="clear" w:pos="3515"/>
        <w:tab w:val="center" w:pos="4536"/>
        <w:tab w:val="right" w:pos="9072"/>
      </w:tabs>
      <w:spacing w:after="120"/>
    </w:pPr>
    <w:rPr>
      <w:b/>
      <w:sz w:val="18"/>
    </w:rPr>
  </w:style>
  <w:style w:type="character" w:customStyle="1" w:styleId="HeaderChar">
    <w:name w:val="Header Char"/>
    <w:basedOn w:val="DefaultParagraphFont"/>
    <w:link w:val="Header"/>
    <w:uiPriority w:val="99"/>
    <w:rsid w:val="00054EA2"/>
    <w:rPr>
      <w:rFonts w:ascii="Times New Roman" w:eastAsia="Times New Roman" w:hAnsi="Times New Roman" w:cs="Times New Roman"/>
      <w:b/>
      <w:sz w:val="18"/>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Gong</dc:creator>
  <cp:keywords/>
  <dc:description/>
  <cp:lastModifiedBy>Le Gong</cp:lastModifiedBy>
  <cp:revision>1</cp:revision>
  <dcterms:created xsi:type="dcterms:W3CDTF">2018-12-05T08:59:00Z</dcterms:created>
  <dcterms:modified xsi:type="dcterms:W3CDTF">2018-12-05T09:00:00Z</dcterms:modified>
</cp:coreProperties>
</file>