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253" w:rsidRPr="000045BE" w:rsidRDefault="00DF0253" w:rsidP="00DF0253">
      <w:pPr>
        <w:tabs>
          <w:tab w:val="clear" w:pos="1247"/>
          <w:tab w:val="left" w:pos="624"/>
          <w:tab w:val="left" w:pos="1248"/>
          <w:tab w:val="left" w:pos="1872"/>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before="120" w:after="120"/>
        <w:ind w:left="1321"/>
        <w:rPr>
          <w:b/>
          <w:bCs/>
        </w:rPr>
      </w:pPr>
      <w:r w:rsidRPr="000045BE">
        <w:rPr>
          <w:b/>
          <w:bCs/>
        </w:rPr>
        <w:t>CC-13/4: Submission regarding Eritrea</w:t>
      </w:r>
    </w:p>
    <w:p w:rsidR="00DF0253" w:rsidRPr="000045BE" w:rsidRDefault="00DF0253" w:rsidP="00DF0253">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iCs/>
        </w:rPr>
        <w:t>The Committee,</w:t>
      </w:r>
    </w:p>
    <w:p w:rsidR="00DF0253" w:rsidRPr="000045BE" w:rsidRDefault="00DF0253" w:rsidP="00DF0253">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Recalling</w:t>
      </w:r>
      <w:r w:rsidRPr="000045BE">
        <w:t xml:space="preserve"> the submission by the Secretariat to the Committee regarding Eritrea concerning possible difficulties faced by this Party to comply with its reporting obligation under paragraph 3 of Article 13 of the Convention (CHW/CC/9c/2010/3), </w:t>
      </w:r>
    </w:p>
    <w:p w:rsidR="00DF0253" w:rsidRPr="000045BE" w:rsidRDefault="00DF0253" w:rsidP="00DF0253">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Recalling</w:t>
      </w:r>
      <w:r w:rsidRPr="000045BE">
        <w:t xml:space="preserve"> also decisions CC-8/4, CC-9/4, CC-10/4, CC-11/5 and CC-12/5,</w:t>
      </w:r>
    </w:p>
    <w:p w:rsidR="00DF0253" w:rsidRPr="000045BE" w:rsidRDefault="00DF0253" w:rsidP="00DF0253">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t>Without prejudice to future decisions by the Committee related to this or other specific submissions,</w:t>
      </w:r>
    </w:p>
    <w:p w:rsidR="00DF0253" w:rsidRPr="000045BE" w:rsidRDefault="00DF0253" w:rsidP="00DF0253">
      <w:pPr>
        <w:pStyle w:val="ListParagraph"/>
        <w:numPr>
          <w:ilvl w:val="3"/>
          <w:numId w:val="1"/>
        </w:numPr>
        <w:tabs>
          <w:tab w:val="clear" w:pos="360"/>
          <w:tab w:val="left" w:pos="2410"/>
        </w:tabs>
        <w:autoSpaceDE w:val="0"/>
        <w:autoSpaceDN w:val="0"/>
        <w:adjustRightInd w:val="0"/>
        <w:spacing w:after="120"/>
        <w:ind w:left="1276" w:firstLine="567"/>
        <w:contextualSpacing w:val="0"/>
        <w:rPr>
          <w:sz w:val="20"/>
          <w:szCs w:val="20"/>
          <w:lang w:eastAsia="zh-TW"/>
        </w:rPr>
      </w:pPr>
      <w:r w:rsidRPr="000045BE">
        <w:rPr>
          <w:i/>
          <w:iCs/>
          <w:sz w:val="20"/>
          <w:szCs w:val="20"/>
          <w:lang w:eastAsia="zh-TW"/>
        </w:rPr>
        <w:t xml:space="preserve">Expresses </w:t>
      </w:r>
      <w:r w:rsidRPr="000045BE">
        <w:rPr>
          <w:iCs/>
          <w:sz w:val="20"/>
          <w:szCs w:val="20"/>
          <w:lang w:eastAsia="zh-TW"/>
        </w:rPr>
        <w:t xml:space="preserve">its appreciation </w:t>
      </w:r>
      <w:r w:rsidRPr="000045BE">
        <w:rPr>
          <w:sz w:val="20"/>
          <w:szCs w:val="20"/>
          <w:lang w:eastAsia="zh-TW"/>
        </w:rPr>
        <w:t xml:space="preserve">for the cooperation of Eritrea with the Committee during the thirteenth meeting of the Committee and for its commitment to ensure the implementation of its obligations under the Basel Convention, </w:t>
      </w:r>
      <w:r w:rsidRPr="000045BE">
        <w:rPr>
          <w:sz w:val="20"/>
          <w:szCs w:val="20"/>
        </w:rPr>
        <w:t>including through the implementation of its approved compliance action plan with the support of resources from the implementation fund</w:t>
      </w:r>
      <w:r w:rsidRPr="000045BE">
        <w:rPr>
          <w:sz w:val="20"/>
          <w:szCs w:val="20"/>
          <w:lang w:eastAsia="zh-TW"/>
        </w:rPr>
        <w:t>;</w:t>
      </w:r>
      <w:r w:rsidRPr="000045BE">
        <w:rPr>
          <w:sz w:val="20"/>
          <w:szCs w:val="20"/>
        </w:rPr>
        <w:t xml:space="preserve"> </w:t>
      </w:r>
      <w:r w:rsidRPr="000045BE">
        <w:rPr>
          <w:sz w:val="20"/>
          <w:szCs w:val="20"/>
          <w:lang w:eastAsia="zh-TW"/>
        </w:rPr>
        <w:t xml:space="preserve"> </w:t>
      </w:r>
    </w:p>
    <w:p w:rsidR="00DF0253" w:rsidRPr="000045BE" w:rsidRDefault="00DF0253" w:rsidP="00DF0253">
      <w:pPr>
        <w:pStyle w:val="ListParagraph"/>
        <w:numPr>
          <w:ilvl w:val="3"/>
          <w:numId w:val="1"/>
        </w:numPr>
        <w:tabs>
          <w:tab w:val="clear" w:pos="360"/>
          <w:tab w:val="left" w:pos="2410"/>
        </w:tabs>
        <w:autoSpaceDE w:val="0"/>
        <w:autoSpaceDN w:val="0"/>
        <w:adjustRightInd w:val="0"/>
        <w:spacing w:after="120"/>
        <w:ind w:left="1276" w:firstLine="567"/>
        <w:contextualSpacing w:val="0"/>
        <w:rPr>
          <w:i/>
          <w:sz w:val="20"/>
          <w:szCs w:val="20"/>
          <w:lang w:eastAsia="zh-TW"/>
        </w:rPr>
      </w:pPr>
      <w:r w:rsidRPr="000045BE">
        <w:rPr>
          <w:rFonts w:eastAsiaTheme="minorHAnsi"/>
          <w:i/>
          <w:iCs/>
          <w:sz w:val="20"/>
          <w:szCs w:val="20"/>
        </w:rPr>
        <w:t xml:space="preserve">Welcomes </w:t>
      </w:r>
      <w:r w:rsidRPr="000045BE">
        <w:rPr>
          <w:rFonts w:eastAsiaTheme="minorHAnsi"/>
          <w:sz w:val="20"/>
          <w:szCs w:val="20"/>
        </w:rPr>
        <w:t>the signature on 5 October 2017 by Eritrea and the Secretariat of an agreement pertaining to the implementation of the compliance action plan of Eritrea with the support of resources from the implementation fund;</w:t>
      </w:r>
    </w:p>
    <w:p w:rsidR="00DF0253" w:rsidRPr="000045BE" w:rsidRDefault="00DF0253" w:rsidP="00DF0253">
      <w:pPr>
        <w:pStyle w:val="ListParagraph"/>
        <w:numPr>
          <w:ilvl w:val="3"/>
          <w:numId w:val="1"/>
        </w:numPr>
        <w:tabs>
          <w:tab w:val="clear" w:pos="360"/>
          <w:tab w:val="left" w:pos="2410"/>
        </w:tabs>
        <w:spacing w:after="120"/>
        <w:ind w:left="1276" w:firstLine="567"/>
        <w:contextualSpacing w:val="0"/>
        <w:rPr>
          <w:sz w:val="20"/>
          <w:szCs w:val="20"/>
          <w:lang w:eastAsia="zh-TW"/>
        </w:rPr>
      </w:pPr>
      <w:r w:rsidRPr="000045BE">
        <w:rPr>
          <w:i/>
          <w:sz w:val="20"/>
          <w:szCs w:val="20"/>
          <w:lang w:eastAsia="zh-TW"/>
        </w:rPr>
        <w:t>Welcomes</w:t>
      </w:r>
      <w:r w:rsidRPr="000045BE">
        <w:rPr>
          <w:sz w:val="20"/>
          <w:szCs w:val="20"/>
          <w:lang w:eastAsia="zh-TW"/>
        </w:rPr>
        <w:t xml:space="preserve"> </w:t>
      </w:r>
      <w:r w:rsidRPr="000045BE">
        <w:rPr>
          <w:sz w:val="20"/>
          <w:szCs w:val="20"/>
        </w:rPr>
        <w:t>the transmission by Eritrea of its national reports for 2015 and 2016;</w:t>
      </w:r>
      <w:r w:rsidRPr="000045BE">
        <w:rPr>
          <w:rStyle w:val="FootnoteReference"/>
        </w:rPr>
        <w:footnoteReference w:customMarkFollows="1" w:id="1"/>
        <w:t>10</w:t>
      </w:r>
      <w:r w:rsidRPr="000045BE">
        <w:rPr>
          <w:sz w:val="20"/>
          <w:szCs w:val="20"/>
        </w:rPr>
        <w:t xml:space="preserve"> </w:t>
      </w:r>
    </w:p>
    <w:p w:rsidR="00DF0253" w:rsidRPr="000045BE" w:rsidRDefault="00DF0253" w:rsidP="00DF0253">
      <w:pPr>
        <w:pStyle w:val="ListParagraph"/>
        <w:numPr>
          <w:ilvl w:val="3"/>
          <w:numId w:val="1"/>
        </w:numPr>
        <w:tabs>
          <w:tab w:val="clear" w:pos="360"/>
          <w:tab w:val="left" w:pos="2410"/>
        </w:tabs>
        <w:spacing w:after="120"/>
        <w:ind w:left="1276" w:firstLine="567"/>
        <w:contextualSpacing w:val="0"/>
        <w:rPr>
          <w:sz w:val="20"/>
          <w:szCs w:val="20"/>
          <w:lang w:eastAsia="zh-TW"/>
        </w:rPr>
      </w:pPr>
      <w:r w:rsidRPr="000045BE">
        <w:rPr>
          <w:i/>
          <w:sz w:val="20"/>
          <w:szCs w:val="20"/>
        </w:rPr>
        <w:t>Notes</w:t>
      </w:r>
      <w:r w:rsidRPr="000045BE">
        <w:rPr>
          <w:sz w:val="20"/>
          <w:szCs w:val="20"/>
        </w:rPr>
        <w:t xml:space="preserve"> that the report for 2015 is deemed incomplete with respect to table 8A (generation) of part II of the questionnaire, and </w:t>
      </w:r>
      <w:r w:rsidRPr="000045BE">
        <w:rPr>
          <w:i/>
          <w:iCs/>
          <w:sz w:val="20"/>
          <w:szCs w:val="20"/>
        </w:rPr>
        <w:t>notes with appreciation</w:t>
      </w:r>
      <w:r w:rsidRPr="000045BE">
        <w:rPr>
          <w:sz w:val="20"/>
          <w:szCs w:val="20"/>
        </w:rPr>
        <w:t xml:space="preserve"> that the report for 2016 is deemed complete;</w:t>
      </w:r>
    </w:p>
    <w:p w:rsidR="00DF0253" w:rsidRPr="000045BE" w:rsidRDefault="00DF0253" w:rsidP="00DF0253">
      <w:pPr>
        <w:pStyle w:val="ListParagraph"/>
        <w:numPr>
          <w:ilvl w:val="3"/>
          <w:numId w:val="1"/>
        </w:numPr>
        <w:tabs>
          <w:tab w:val="clear" w:pos="360"/>
          <w:tab w:val="left" w:pos="2410"/>
        </w:tabs>
        <w:spacing w:after="120"/>
        <w:ind w:left="1276" w:firstLine="567"/>
        <w:contextualSpacing w:val="0"/>
        <w:rPr>
          <w:sz w:val="20"/>
          <w:szCs w:val="20"/>
        </w:rPr>
      </w:pPr>
      <w:r w:rsidRPr="000045BE">
        <w:rPr>
          <w:i/>
          <w:sz w:val="20"/>
          <w:szCs w:val="20"/>
        </w:rPr>
        <w:t>Welcomes</w:t>
      </w:r>
      <w:r w:rsidRPr="000045BE">
        <w:rPr>
          <w:sz w:val="20"/>
          <w:szCs w:val="20"/>
        </w:rPr>
        <w:t xml:space="preserve"> the progress achieved by Eritrea in implementing the elements of its approved compliance action plan and the willingness of Eritrea to transmit:</w:t>
      </w:r>
    </w:p>
    <w:p w:rsidR="00DF0253" w:rsidRPr="000045BE" w:rsidRDefault="00DF0253" w:rsidP="00DF0253">
      <w:pPr>
        <w:numPr>
          <w:ilvl w:val="3"/>
          <w:numId w:val="2"/>
        </w:numPr>
        <w:tabs>
          <w:tab w:val="clear" w:pos="1247"/>
          <w:tab w:val="clear" w:pos="1814"/>
          <w:tab w:val="clear" w:pos="2381"/>
          <w:tab w:val="clear" w:pos="2948"/>
          <w:tab w:val="clear" w:pos="3515"/>
          <w:tab w:val="left" w:pos="2410"/>
        </w:tabs>
        <w:spacing w:after="120"/>
        <w:ind w:left="1276" w:firstLine="567"/>
      </w:pPr>
      <w:r w:rsidRPr="000045BE">
        <w:t>By 15 October 2018 the inventory report for 2016, the report of the evaluation meeting for all stakeholders during which the methodology and the draft legal framework implementing the Basel Convention would be discussed and finalized; the final methodology for the development of inventories of hazardous wastes and other wastes; and the final draft legal framework implementing the Basel Convention with a view to ensuring the sustainability of Eritrea’s compliance with its national reporting obligations, thereby completing the activities of its approved compliance action plan;</w:t>
      </w:r>
    </w:p>
    <w:p w:rsidR="00DF0253" w:rsidRPr="000045BE" w:rsidRDefault="00DF0253" w:rsidP="00DF0253">
      <w:pPr>
        <w:numPr>
          <w:ilvl w:val="3"/>
          <w:numId w:val="2"/>
        </w:numPr>
        <w:tabs>
          <w:tab w:val="clear" w:pos="1247"/>
          <w:tab w:val="clear" w:pos="1814"/>
          <w:tab w:val="clear" w:pos="2381"/>
          <w:tab w:val="clear" w:pos="2948"/>
          <w:tab w:val="clear" w:pos="3515"/>
          <w:tab w:val="left" w:pos="2410"/>
        </w:tabs>
        <w:spacing w:after="120"/>
        <w:ind w:left="1276" w:firstLine="567"/>
        <w:rPr>
          <w:lang w:val="en-US"/>
        </w:rPr>
      </w:pPr>
      <w:r w:rsidRPr="000045BE">
        <w:t xml:space="preserve">By 31 December 2018 a complete national report for 2017;  </w:t>
      </w:r>
    </w:p>
    <w:p w:rsidR="00DF0253" w:rsidRPr="000045BE" w:rsidRDefault="00DF0253" w:rsidP="00DF0253">
      <w:pPr>
        <w:numPr>
          <w:ilvl w:val="3"/>
          <w:numId w:val="2"/>
        </w:numPr>
        <w:tabs>
          <w:tab w:val="clear" w:pos="1247"/>
          <w:tab w:val="clear" w:pos="1814"/>
          <w:tab w:val="clear" w:pos="2381"/>
          <w:tab w:val="clear" w:pos="2948"/>
          <w:tab w:val="clear" w:pos="3515"/>
          <w:tab w:val="left" w:pos="2410"/>
        </w:tabs>
        <w:spacing w:after="120"/>
        <w:ind w:left="1276" w:firstLine="567"/>
        <w:rPr>
          <w:lang w:val="en-US"/>
        </w:rPr>
      </w:pPr>
      <w:r w:rsidRPr="000045BE">
        <w:rPr>
          <w:lang w:val="en-US"/>
        </w:rPr>
        <w:t xml:space="preserve">Its </w:t>
      </w:r>
      <w:r w:rsidRPr="000045BE">
        <w:t>national reports for 2018 and subsequent years complete and on time;</w:t>
      </w:r>
    </w:p>
    <w:p w:rsidR="00DF0253" w:rsidRPr="000045BE" w:rsidRDefault="00DF0253" w:rsidP="00DF0253">
      <w:pPr>
        <w:pStyle w:val="ListParagraph"/>
        <w:numPr>
          <w:ilvl w:val="3"/>
          <w:numId w:val="1"/>
        </w:numPr>
        <w:tabs>
          <w:tab w:val="clear" w:pos="360"/>
          <w:tab w:val="num" w:pos="2410"/>
        </w:tabs>
        <w:spacing w:after="120"/>
        <w:ind w:left="1276" w:firstLine="567"/>
        <w:contextualSpacing w:val="0"/>
        <w:rPr>
          <w:sz w:val="20"/>
          <w:szCs w:val="20"/>
        </w:rPr>
      </w:pPr>
      <w:r w:rsidRPr="000045BE">
        <w:rPr>
          <w:i/>
          <w:sz w:val="20"/>
          <w:szCs w:val="20"/>
          <w:lang w:eastAsia="zh-TW"/>
        </w:rPr>
        <w:t>Decides</w:t>
      </w:r>
      <w:r w:rsidRPr="000045BE">
        <w:rPr>
          <w:sz w:val="20"/>
          <w:szCs w:val="20"/>
          <w:lang w:eastAsia="zh-TW"/>
        </w:rPr>
        <w:t xml:space="preserve"> to consider the submission regarding Eritrea prior to its fourteenth meeting</w:t>
      </w:r>
      <w:r w:rsidRPr="000045BE">
        <w:rPr>
          <w:sz w:val="20"/>
          <w:szCs w:val="20"/>
        </w:rPr>
        <w:t xml:space="preserve">; </w:t>
      </w:r>
    </w:p>
    <w:p w:rsidR="00DF0253" w:rsidRPr="000045BE" w:rsidRDefault="00DF0253" w:rsidP="00DF0253">
      <w:pPr>
        <w:pStyle w:val="ListParagraph"/>
        <w:numPr>
          <w:ilvl w:val="3"/>
          <w:numId w:val="1"/>
        </w:numPr>
        <w:tabs>
          <w:tab w:val="clear" w:pos="360"/>
          <w:tab w:val="num" w:pos="2410"/>
        </w:tabs>
        <w:spacing w:after="120"/>
        <w:ind w:left="1276" w:firstLine="567"/>
        <w:contextualSpacing w:val="0"/>
        <w:rPr>
          <w:sz w:val="20"/>
          <w:szCs w:val="20"/>
        </w:rPr>
      </w:pPr>
      <w:r w:rsidRPr="000045BE">
        <w:rPr>
          <w:i/>
          <w:sz w:val="20"/>
          <w:szCs w:val="20"/>
        </w:rPr>
        <w:t>Requests</w:t>
      </w:r>
      <w:r w:rsidRPr="000045BE">
        <w:rPr>
          <w:sz w:val="20"/>
          <w:szCs w:val="20"/>
        </w:rPr>
        <w:t xml:space="preserve"> the Secretariat to continue its communications with and support to Eritrea and to report to the Committee as appropriate;</w:t>
      </w:r>
    </w:p>
    <w:p w:rsidR="00DF0253" w:rsidRPr="000045BE" w:rsidRDefault="00DF0253" w:rsidP="00DF0253">
      <w:pPr>
        <w:pStyle w:val="ListParagraph"/>
        <w:numPr>
          <w:ilvl w:val="3"/>
          <w:numId w:val="1"/>
        </w:numPr>
        <w:tabs>
          <w:tab w:val="clear" w:pos="360"/>
          <w:tab w:val="num" w:pos="2410"/>
        </w:tabs>
        <w:spacing w:after="120"/>
        <w:ind w:left="1276" w:firstLine="567"/>
        <w:contextualSpacing w:val="0"/>
        <w:rPr>
          <w:sz w:val="20"/>
          <w:szCs w:val="20"/>
        </w:rPr>
      </w:pPr>
      <w:r w:rsidRPr="000045BE">
        <w:rPr>
          <w:i/>
          <w:sz w:val="20"/>
          <w:szCs w:val="20"/>
        </w:rPr>
        <w:t>Decides</w:t>
      </w:r>
      <w:r w:rsidRPr="000045BE">
        <w:rPr>
          <w:sz w:val="20"/>
          <w:szCs w:val="20"/>
        </w:rPr>
        <w:t xml:space="preserve"> to keep the matter relevant to the submission CHW/CC/9c/2010/3 under review.</w:t>
      </w:r>
    </w:p>
    <w:p w:rsidR="00CF7497" w:rsidRDefault="00CF7497">
      <w:bookmarkStart w:id="0" w:name="_GoBack"/>
      <w:bookmarkEnd w:id="0"/>
    </w:p>
    <w:sectPr w:rsidR="00CF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1A7" w:rsidRDefault="002561A7" w:rsidP="00DF0253">
      <w:r>
        <w:separator/>
      </w:r>
    </w:p>
  </w:endnote>
  <w:endnote w:type="continuationSeparator" w:id="0">
    <w:p w:rsidR="002561A7" w:rsidRDefault="002561A7" w:rsidP="00DF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1A7" w:rsidRDefault="002561A7" w:rsidP="00DF0253">
      <w:r>
        <w:separator/>
      </w:r>
    </w:p>
  </w:footnote>
  <w:footnote w:type="continuationSeparator" w:id="0">
    <w:p w:rsidR="002561A7" w:rsidRDefault="002561A7" w:rsidP="00DF0253">
      <w:r>
        <w:continuationSeparator/>
      </w:r>
    </w:p>
  </w:footnote>
  <w:footnote w:id="1">
    <w:p w:rsidR="00DF0253" w:rsidRPr="00622BA9" w:rsidRDefault="00DF0253" w:rsidP="00DF0253">
      <w:pPr>
        <w:pStyle w:val="FootnoteText"/>
        <w:tabs>
          <w:tab w:val="left" w:pos="1276"/>
        </w:tabs>
        <w:ind w:left="1276"/>
        <w:rPr>
          <w:szCs w:val="18"/>
        </w:rPr>
      </w:pPr>
      <w:r>
        <w:rPr>
          <w:rStyle w:val="FootnoteReference"/>
        </w:rPr>
        <w:t>10</w:t>
      </w:r>
      <w:r w:rsidRPr="00622BA9">
        <w:rPr>
          <w:szCs w:val="18"/>
        </w:rPr>
        <w:t xml:space="preserve"> </w:t>
      </w:r>
      <w:r w:rsidRPr="00622BA9">
        <w:rPr>
          <w:szCs w:val="18"/>
          <w:lang w:val="en-US"/>
        </w:rPr>
        <w:t>UNEP/CHW/CC.13/INF/5.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237EF"/>
    <w:multiLevelType w:val="hybridMultilevel"/>
    <w:tmpl w:val="E7F2B9DE"/>
    <w:lvl w:ilvl="0" w:tplc="5A9A277E">
      <w:start w:val="1"/>
      <w:numFmt w:val="lowerLetter"/>
      <w:lvlText w:val="(%1)"/>
      <w:lvlJc w:val="left"/>
      <w:pPr>
        <w:ind w:left="720" w:hanging="360"/>
      </w:pPr>
      <w:rPr>
        <w:rFonts w:hint="default"/>
        <w:i/>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09B23592">
      <w:start w:val="1"/>
      <w:numFmt w:val="lowerLetter"/>
      <w:lvlText w:val="(%4)"/>
      <w:lvlJc w:val="left"/>
      <w:pPr>
        <w:ind w:left="2880" w:hanging="360"/>
      </w:pPr>
      <w:rPr>
        <w:rFonts w:hint="default"/>
        <w:i w:val="0"/>
        <w:sz w:val="20"/>
        <w:szCs w:val="20"/>
      </w:r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DB26AFE"/>
    <w:multiLevelType w:val="multilevel"/>
    <w:tmpl w:val="D2DCE6CE"/>
    <w:lvl w:ilvl="0">
      <w:start w:val="1"/>
      <w:numFmt w:val="decimal"/>
      <w:isLgl/>
      <w:lvlText w:val="%1."/>
      <w:lvlJc w:val="left"/>
      <w:pPr>
        <w:tabs>
          <w:tab w:val="num" w:pos="3"/>
        </w:tabs>
        <w:ind w:left="3" w:firstLine="1350"/>
      </w:pPr>
      <w:rPr>
        <w:rFonts w:cs="Times New Roman" w:hint="default"/>
        <w:color w:val="000000"/>
        <w:position w:val="0"/>
        <w:sz w:val="20"/>
        <w:szCs w:val="20"/>
      </w:rPr>
    </w:lvl>
    <w:lvl w:ilvl="1">
      <w:start w:val="1"/>
      <w:numFmt w:val="lowerLetter"/>
      <w:lvlText w:val="%2."/>
      <w:lvlJc w:val="left"/>
      <w:pPr>
        <w:tabs>
          <w:tab w:val="num" w:pos="360"/>
        </w:tabs>
        <w:ind w:left="360" w:firstLine="2607"/>
      </w:pPr>
      <w:rPr>
        <w:rFonts w:cs="Times New Roman" w:hint="default"/>
        <w:color w:val="000000"/>
        <w:position w:val="0"/>
        <w:sz w:val="24"/>
      </w:rPr>
    </w:lvl>
    <w:lvl w:ilvl="2">
      <w:start w:val="1"/>
      <w:numFmt w:val="lowerRoman"/>
      <w:lvlText w:val="%3."/>
      <w:lvlJc w:val="left"/>
      <w:pPr>
        <w:tabs>
          <w:tab w:val="num" w:pos="360"/>
        </w:tabs>
        <w:ind w:left="360" w:firstLine="3327"/>
      </w:pPr>
      <w:rPr>
        <w:rFonts w:cs="Times New Roman" w:hint="default"/>
        <w:color w:val="000000"/>
        <w:position w:val="0"/>
        <w:sz w:val="24"/>
      </w:rPr>
    </w:lvl>
    <w:lvl w:ilvl="3">
      <w:start w:val="1"/>
      <w:numFmt w:val="decimal"/>
      <w:isLgl/>
      <w:lvlText w:val="%4."/>
      <w:lvlJc w:val="left"/>
      <w:pPr>
        <w:tabs>
          <w:tab w:val="num" w:pos="360"/>
        </w:tabs>
        <w:ind w:left="360" w:firstLine="4047"/>
      </w:pPr>
      <w:rPr>
        <w:rFonts w:cs="Times New Roman" w:hint="default"/>
        <w:i w:val="0"/>
        <w:iCs/>
        <w:color w:val="000000"/>
        <w:position w:val="0"/>
        <w:sz w:val="20"/>
        <w:szCs w:val="20"/>
      </w:rPr>
    </w:lvl>
    <w:lvl w:ilvl="4">
      <w:start w:val="1"/>
      <w:numFmt w:val="lowerLetter"/>
      <w:lvlText w:val="%5."/>
      <w:lvlJc w:val="left"/>
      <w:pPr>
        <w:tabs>
          <w:tab w:val="num" w:pos="360"/>
        </w:tabs>
        <w:ind w:left="360" w:firstLine="4767"/>
      </w:pPr>
      <w:rPr>
        <w:rFonts w:cs="Times New Roman" w:hint="default"/>
        <w:color w:val="000000"/>
        <w:position w:val="0"/>
        <w:sz w:val="24"/>
      </w:rPr>
    </w:lvl>
    <w:lvl w:ilvl="5">
      <w:start w:val="1"/>
      <w:numFmt w:val="lowerRoman"/>
      <w:lvlText w:val="%6."/>
      <w:lvlJc w:val="left"/>
      <w:pPr>
        <w:tabs>
          <w:tab w:val="num" w:pos="360"/>
        </w:tabs>
        <w:ind w:left="360" w:firstLine="5487"/>
      </w:pPr>
      <w:rPr>
        <w:rFonts w:cs="Times New Roman" w:hint="default"/>
        <w:color w:val="000000"/>
        <w:position w:val="0"/>
        <w:sz w:val="24"/>
      </w:rPr>
    </w:lvl>
    <w:lvl w:ilvl="6">
      <w:start w:val="1"/>
      <w:numFmt w:val="decimal"/>
      <w:isLgl/>
      <w:lvlText w:val="%7."/>
      <w:lvlJc w:val="left"/>
      <w:pPr>
        <w:tabs>
          <w:tab w:val="num" w:pos="360"/>
        </w:tabs>
        <w:ind w:left="360" w:firstLine="6207"/>
      </w:pPr>
      <w:rPr>
        <w:rFonts w:cs="Times New Roman" w:hint="default"/>
        <w:color w:val="000000"/>
        <w:position w:val="0"/>
        <w:sz w:val="20"/>
        <w:szCs w:val="20"/>
      </w:rPr>
    </w:lvl>
    <w:lvl w:ilvl="7">
      <w:start w:val="1"/>
      <w:numFmt w:val="lowerLetter"/>
      <w:lvlText w:val="%8."/>
      <w:lvlJc w:val="left"/>
      <w:pPr>
        <w:tabs>
          <w:tab w:val="num" w:pos="360"/>
        </w:tabs>
        <w:ind w:left="360" w:firstLine="6927"/>
      </w:pPr>
      <w:rPr>
        <w:rFonts w:cs="Times New Roman" w:hint="default"/>
        <w:color w:val="000000"/>
        <w:position w:val="0"/>
        <w:sz w:val="24"/>
      </w:rPr>
    </w:lvl>
    <w:lvl w:ilvl="8">
      <w:start w:val="1"/>
      <w:numFmt w:val="lowerRoman"/>
      <w:lvlText w:val="%9."/>
      <w:lvlJc w:val="left"/>
      <w:pPr>
        <w:tabs>
          <w:tab w:val="num" w:pos="360"/>
        </w:tabs>
        <w:ind w:left="360" w:firstLine="7647"/>
      </w:pPr>
      <w:rPr>
        <w:rFonts w:cs="Times New Roman" w:hint="default"/>
        <w:color w:val="000000"/>
        <w:position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53"/>
    <w:rsid w:val="002561A7"/>
    <w:rsid w:val="00304CF0"/>
    <w:rsid w:val="00987DB3"/>
    <w:rsid w:val="009D258D"/>
    <w:rsid w:val="00C873CC"/>
    <w:rsid w:val="00CF7497"/>
    <w:rsid w:val="00DF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A14AD-D7C4-4CCB-B022-341A2B4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253"/>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53"/>
    <w:pPr>
      <w:tabs>
        <w:tab w:val="clear" w:pos="1247"/>
        <w:tab w:val="clear" w:pos="1814"/>
        <w:tab w:val="clear" w:pos="2381"/>
        <w:tab w:val="clear" w:pos="2948"/>
        <w:tab w:val="clear" w:pos="3515"/>
      </w:tabs>
      <w:ind w:left="720"/>
      <w:contextualSpacing/>
    </w:pPr>
    <w:rPr>
      <w:rFonts w:eastAsia="SimSun"/>
      <w:sz w:val="24"/>
      <w:szCs w:val="24"/>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stylish"/>
    <w:uiPriority w:val="99"/>
    <w:rsid w:val="00DF0253"/>
    <w:rPr>
      <w:rFonts w:ascii="Times New Roman" w:hAnsi="Times New Roman"/>
      <w:color w:val="auto"/>
      <w:sz w:val="20"/>
      <w:szCs w:val="18"/>
      <w:vertAlign w:val="superscript"/>
    </w:rPr>
  </w:style>
  <w:style w:type="paragraph" w:styleId="FootnoteText">
    <w:name w:val="footnote text"/>
    <w:aliases w:val="Geneva 9,Font: Geneva 9,Boston 10,f,DNV-FT,footnote3,text,Geneva,92,Font:,Boston,10,FOOTNOTES,fn,single space,Footnote Text Rail EIS,ft,Footnotes,Footnote ak,fn cafc,Footnotes Char Char,Footnote Text Char Char,fn Char Char,footnote text,93"/>
    <w:basedOn w:val="Normal"/>
    <w:link w:val="FootnoteTextChar"/>
    <w:rsid w:val="00DF0253"/>
    <w:pPr>
      <w:spacing w:before="20" w:after="40"/>
      <w:ind w:left="1247"/>
    </w:pPr>
    <w:rPr>
      <w:sz w:val="18"/>
    </w:rPr>
  </w:style>
  <w:style w:type="character" w:customStyle="1" w:styleId="FootnoteTextChar">
    <w:name w:val="Footnote Text Char"/>
    <w:aliases w:val="Geneva 9 Char,Font: Geneva 9 Char,Boston 10 Char,f Char,DNV-FT Char,footnote3 Char,text Char,Geneva Char,92 Char,Font: Char,Boston Char,10 Char,FOOTNOTES Char,fn Char,single space Char,Footnote Text Rail EIS Char,ft Char,fn cafc Char"/>
    <w:basedOn w:val="DefaultParagraphFont"/>
    <w:link w:val="FootnoteText"/>
    <w:rsid w:val="00DF0253"/>
    <w:rPr>
      <w:rFonts w:ascii="Times New Roman" w:eastAsia="Times New Roman" w:hAnsi="Times New Roman" w:cs="Times New Roman"/>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2018-12-05T09:00:00Z</dcterms:created>
  <dcterms:modified xsi:type="dcterms:W3CDTF">2018-12-05T09:00:00Z</dcterms:modified>
</cp:coreProperties>
</file>