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340" w:rsidRPr="000045BE" w:rsidRDefault="00487340" w:rsidP="00487340">
      <w:pPr>
        <w:tabs>
          <w:tab w:val="clear" w:pos="1247"/>
          <w:tab w:val="left" w:pos="1248"/>
        </w:tabs>
        <w:spacing w:before="240" w:after="120" w:line="276" w:lineRule="auto"/>
        <w:rPr>
          <w:b/>
          <w:bCs/>
        </w:rPr>
      </w:pPr>
      <w:r>
        <w:rPr>
          <w:b/>
          <w:bCs/>
        </w:rPr>
        <w:tab/>
      </w:r>
      <w:bookmarkStart w:id="0" w:name="_GoBack"/>
      <w:bookmarkEnd w:id="0"/>
      <w:r w:rsidRPr="000045BE">
        <w:rPr>
          <w:b/>
          <w:bCs/>
        </w:rPr>
        <w:t>CC-13/6: Submission regarding Liberia</w:t>
      </w:r>
    </w:p>
    <w:p w:rsidR="00487340" w:rsidRPr="000045BE" w:rsidRDefault="00487340" w:rsidP="00487340">
      <w:pPr>
        <w:tabs>
          <w:tab w:val="left" w:pos="624"/>
          <w:tab w:val="left" w:pos="2496"/>
          <w:tab w:val="left" w:pos="3120"/>
          <w:tab w:val="left" w:pos="3744"/>
          <w:tab w:val="left" w:pos="4368"/>
          <w:tab w:val="left" w:pos="4992"/>
          <w:tab w:val="left" w:pos="5616"/>
          <w:tab w:val="left" w:pos="6240"/>
          <w:tab w:val="left" w:pos="6864"/>
          <w:tab w:val="left" w:pos="7488"/>
          <w:tab w:val="left" w:pos="8112"/>
          <w:tab w:val="left" w:pos="8736"/>
          <w:tab w:val="left" w:pos="9360"/>
        </w:tabs>
        <w:spacing w:after="120"/>
        <w:ind w:left="1276" w:firstLine="567"/>
        <w:rPr>
          <w:i/>
          <w:iCs/>
        </w:rPr>
      </w:pPr>
      <w:r w:rsidRPr="000045BE">
        <w:rPr>
          <w:i/>
          <w:iCs/>
        </w:rPr>
        <w:t>The Committee,</w:t>
      </w:r>
    </w:p>
    <w:p w:rsidR="00487340" w:rsidRPr="000045BE" w:rsidRDefault="00487340" w:rsidP="00487340">
      <w:pPr>
        <w:tabs>
          <w:tab w:val="left" w:pos="624"/>
          <w:tab w:val="left" w:pos="2496"/>
          <w:tab w:val="left" w:pos="3120"/>
          <w:tab w:val="left" w:pos="3744"/>
          <w:tab w:val="left" w:pos="4368"/>
          <w:tab w:val="left" w:pos="4992"/>
          <w:tab w:val="left" w:pos="5616"/>
          <w:tab w:val="left" w:pos="6240"/>
          <w:tab w:val="left" w:pos="6864"/>
          <w:tab w:val="left" w:pos="7488"/>
          <w:tab w:val="left" w:pos="8112"/>
          <w:tab w:val="left" w:pos="8736"/>
          <w:tab w:val="left" w:pos="9360"/>
        </w:tabs>
        <w:spacing w:after="120"/>
        <w:ind w:left="1276" w:firstLine="567"/>
      </w:pPr>
      <w:r w:rsidRPr="000045BE">
        <w:rPr>
          <w:i/>
        </w:rPr>
        <w:t>Recalling</w:t>
      </w:r>
      <w:r w:rsidRPr="000045BE">
        <w:t xml:space="preserve"> the submission by the Secretariat to the Committee regarding Liberia concerning possible difficulties faced by this Party to comply with its reporting obligation under paragraph 3 of Article 13 of the Convention (CHW/CC/9c/2010/5), </w:t>
      </w:r>
    </w:p>
    <w:p w:rsidR="00487340" w:rsidRPr="000045BE" w:rsidRDefault="00487340" w:rsidP="00487340">
      <w:pPr>
        <w:tabs>
          <w:tab w:val="left" w:pos="624"/>
          <w:tab w:val="left" w:pos="2496"/>
          <w:tab w:val="left" w:pos="3120"/>
          <w:tab w:val="left" w:pos="3744"/>
          <w:tab w:val="left" w:pos="4368"/>
          <w:tab w:val="left" w:pos="4992"/>
          <w:tab w:val="left" w:pos="5616"/>
          <w:tab w:val="left" w:pos="6240"/>
          <w:tab w:val="left" w:pos="6864"/>
          <w:tab w:val="left" w:pos="7488"/>
          <w:tab w:val="left" w:pos="8112"/>
          <w:tab w:val="left" w:pos="8736"/>
          <w:tab w:val="left" w:pos="9360"/>
        </w:tabs>
        <w:spacing w:after="120"/>
        <w:ind w:left="1276" w:firstLine="567"/>
      </w:pPr>
      <w:r w:rsidRPr="000045BE">
        <w:rPr>
          <w:i/>
        </w:rPr>
        <w:t>Noting</w:t>
      </w:r>
      <w:r w:rsidRPr="000045BE">
        <w:t xml:space="preserve"> that </w:t>
      </w:r>
      <w:r w:rsidRPr="000045BE">
        <w:rPr>
          <w:lang w:val="en-US"/>
        </w:rPr>
        <w:t>the expert working group on environmentally sound management has selected for funding a draft pilot project proposal by Liberia entitled “Conducting inventory, awareness raising and training to enhance, promote and establish ESM in e-waste management”</w:t>
      </w:r>
      <w:r w:rsidRPr="000045BE">
        <w:rPr>
          <w:rStyle w:val="FootnoteReference"/>
          <w:lang w:val="en-US"/>
        </w:rPr>
        <w:footnoteReference w:customMarkFollows="1" w:id="1"/>
        <w:t>13</w:t>
      </w:r>
      <w:r w:rsidRPr="000045BE">
        <w:rPr>
          <w:lang w:val="en-US"/>
        </w:rPr>
        <w:t xml:space="preserve"> and that the activities of the project have been initiated;</w:t>
      </w:r>
    </w:p>
    <w:p w:rsidR="00487340" w:rsidRPr="000045BE" w:rsidRDefault="00487340" w:rsidP="00487340">
      <w:pPr>
        <w:tabs>
          <w:tab w:val="left" w:pos="624"/>
          <w:tab w:val="left" w:pos="2496"/>
          <w:tab w:val="left" w:pos="3120"/>
          <w:tab w:val="left" w:pos="3744"/>
          <w:tab w:val="left" w:pos="4368"/>
          <w:tab w:val="left" w:pos="4992"/>
          <w:tab w:val="left" w:pos="5616"/>
          <w:tab w:val="left" w:pos="6240"/>
          <w:tab w:val="left" w:pos="6864"/>
          <w:tab w:val="left" w:pos="7488"/>
          <w:tab w:val="left" w:pos="8112"/>
          <w:tab w:val="left" w:pos="8736"/>
          <w:tab w:val="left" w:pos="9360"/>
        </w:tabs>
        <w:spacing w:after="120"/>
        <w:ind w:left="1276" w:firstLine="567"/>
      </w:pPr>
      <w:r w:rsidRPr="000045BE">
        <w:rPr>
          <w:i/>
        </w:rPr>
        <w:t>Recalling</w:t>
      </w:r>
      <w:r w:rsidRPr="000045BE">
        <w:t xml:space="preserve"> also decisions CC- 8/6, CC-9/6, CC-10/6, CC-11/7 and CC-12/7,</w:t>
      </w:r>
    </w:p>
    <w:p w:rsidR="00487340" w:rsidRPr="000045BE" w:rsidRDefault="00487340" w:rsidP="00487340">
      <w:pPr>
        <w:tabs>
          <w:tab w:val="left" w:pos="624"/>
          <w:tab w:val="left" w:pos="2496"/>
          <w:tab w:val="left" w:pos="3120"/>
          <w:tab w:val="left" w:pos="3744"/>
          <w:tab w:val="left" w:pos="4368"/>
          <w:tab w:val="left" w:pos="4992"/>
          <w:tab w:val="left" w:pos="5616"/>
          <w:tab w:val="left" w:pos="6240"/>
          <w:tab w:val="left" w:pos="6864"/>
          <w:tab w:val="left" w:pos="7488"/>
          <w:tab w:val="left" w:pos="8112"/>
          <w:tab w:val="left" w:pos="8736"/>
          <w:tab w:val="left" w:pos="9360"/>
        </w:tabs>
        <w:spacing w:after="120"/>
        <w:ind w:left="1276" w:firstLine="567"/>
      </w:pPr>
      <w:r w:rsidRPr="000045BE">
        <w:t>Without prejudice to future decisions by the Committee related to this or other specific submissions,</w:t>
      </w:r>
    </w:p>
    <w:p w:rsidR="00487340" w:rsidRPr="000045BE" w:rsidRDefault="00487340" w:rsidP="00487340">
      <w:pPr>
        <w:pStyle w:val="ListParagraph"/>
        <w:numPr>
          <w:ilvl w:val="3"/>
          <w:numId w:val="2"/>
        </w:numPr>
        <w:tabs>
          <w:tab w:val="clear" w:pos="360"/>
          <w:tab w:val="left" w:pos="2410"/>
        </w:tabs>
        <w:autoSpaceDE w:val="0"/>
        <w:autoSpaceDN w:val="0"/>
        <w:adjustRightInd w:val="0"/>
        <w:spacing w:after="120"/>
        <w:ind w:left="1276" w:firstLine="567"/>
        <w:contextualSpacing w:val="0"/>
        <w:rPr>
          <w:iCs/>
          <w:sz w:val="20"/>
          <w:szCs w:val="20"/>
          <w:lang w:eastAsia="zh-TW"/>
        </w:rPr>
      </w:pPr>
      <w:r w:rsidRPr="000045BE">
        <w:rPr>
          <w:i/>
          <w:iCs/>
          <w:sz w:val="20"/>
          <w:szCs w:val="20"/>
          <w:lang w:eastAsia="zh-TW"/>
        </w:rPr>
        <w:t xml:space="preserve">Expresses </w:t>
      </w:r>
      <w:r w:rsidRPr="000045BE">
        <w:rPr>
          <w:iCs/>
          <w:sz w:val="20"/>
          <w:szCs w:val="20"/>
          <w:lang w:eastAsia="zh-TW"/>
        </w:rPr>
        <w:t xml:space="preserve">its appreciation </w:t>
      </w:r>
      <w:r w:rsidRPr="000045BE">
        <w:rPr>
          <w:sz w:val="20"/>
          <w:szCs w:val="20"/>
          <w:lang w:eastAsia="zh-TW"/>
        </w:rPr>
        <w:t xml:space="preserve">for the cooperation of Liberia with the Committee during the thirteenth meeting of the Committee and for its commitment to ensure the implementation of its </w:t>
      </w:r>
      <w:r w:rsidRPr="000045BE">
        <w:rPr>
          <w:iCs/>
          <w:sz w:val="20"/>
          <w:szCs w:val="20"/>
          <w:lang w:eastAsia="zh-TW"/>
        </w:rPr>
        <w:t xml:space="preserve">obligations under the Basel Convention, including through the implementation of its approved compliance action plan with the support of resources from the implementation fund;  </w:t>
      </w:r>
    </w:p>
    <w:p w:rsidR="00487340" w:rsidRPr="000045BE" w:rsidRDefault="00487340" w:rsidP="00487340">
      <w:pPr>
        <w:pStyle w:val="ListParagraph"/>
        <w:numPr>
          <w:ilvl w:val="3"/>
          <w:numId w:val="2"/>
        </w:numPr>
        <w:tabs>
          <w:tab w:val="left" w:pos="2410"/>
        </w:tabs>
        <w:autoSpaceDE w:val="0"/>
        <w:autoSpaceDN w:val="0"/>
        <w:adjustRightInd w:val="0"/>
        <w:spacing w:after="120"/>
        <w:ind w:left="1276" w:firstLine="567"/>
        <w:contextualSpacing w:val="0"/>
        <w:rPr>
          <w:iCs/>
          <w:sz w:val="20"/>
          <w:szCs w:val="20"/>
          <w:lang w:eastAsia="zh-TW"/>
        </w:rPr>
      </w:pPr>
      <w:r w:rsidRPr="000045BE">
        <w:rPr>
          <w:i/>
          <w:iCs/>
          <w:sz w:val="20"/>
          <w:szCs w:val="20"/>
          <w:lang w:eastAsia="zh-TW"/>
        </w:rPr>
        <w:t>Notes</w:t>
      </w:r>
      <w:r w:rsidRPr="000045BE">
        <w:rPr>
          <w:iCs/>
          <w:sz w:val="20"/>
          <w:szCs w:val="20"/>
          <w:lang w:eastAsia="zh-TW"/>
        </w:rPr>
        <w:t xml:space="preserve"> with concern that Liberia remains in the situation of having never submitted a national report pursuant to paragraph 3 of Article 13 of the Convention;</w:t>
      </w:r>
    </w:p>
    <w:p w:rsidR="00487340" w:rsidRPr="000045BE" w:rsidRDefault="00487340" w:rsidP="00487340">
      <w:pPr>
        <w:pStyle w:val="ListParagraph"/>
        <w:numPr>
          <w:ilvl w:val="3"/>
          <w:numId w:val="2"/>
        </w:numPr>
        <w:tabs>
          <w:tab w:val="left" w:pos="2410"/>
        </w:tabs>
        <w:autoSpaceDE w:val="0"/>
        <w:autoSpaceDN w:val="0"/>
        <w:adjustRightInd w:val="0"/>
        <w:spacing w:after="120"/>
        <w:ind w:left="1276" w:firstLine="567"/>
        <w:contextualSpacing w:val="0"/>
        <w:rPr>
          <w:iCs/>
          <w:sz w:val="20"/>
          <w:szCs w:val="20"/>
          <w:lang w:eastAsia="zh-TW"/>
        </w:rPr>
      </w:pPr>
      <w:r w:rsidRPr="000045BE">
        <w:rPr>
          <w:i/>
          <w:iCs/>
          <w:sz w:val="20"/>
          <w:szCs w:val="20"/>
          <w:lang w:eastAsia="zh-TW"/>
        </w:rPr>
        <w:t>Welcomes</w:t>
      </w:r>
      <w:r w:rsidRPr="000045BE">
        <w:rPr>
          <w:iCs/>
          <w:sz w:val="20"/>
          <w:szCs w:val="20"/>
          <w:lang w:eastAsia="zh-TW"/>
        </w:rPr>
        <w:t xml:space="preserve"> the signature on 12 September 2017 by Liberia and the Secretariat of an agreement pertaining to the implementation of the compliance action plan of Liberia with the support of resources from the implementation fund, and </w:t>
      </w:r>
      <w:r w:rsidRPr="000045BE">
        <w:rPr>
          <w:i/>
          <w:iCs/>
          <w:sz w:val="20"/>
          <w:szCs w:val="20"/>
          <w:lang w:eastAsia="zh-TW"/>
        </w:rPr>
        <w:t>takes note</w:t>
      </w:r>
      <w:r w:rsidRPr="000045BE">
        <w:rPr>
          <w:iCs/>
          <w:sz w:val="20"/>
          <w:szCs w:val="20"/>
          <w:lang w:eastAsia="zh-TW"/>
        </w:rPr>
        <w:t xml:space="preserve"> of the subsequent signature, on 28 July 2018, of an amendment thereto;</w:t>
      </w:r>
    </w:p>
    <w:p w:rsidR="00487340" w:rsidRPr="000045BE" w:rsidRDefault="00487340" w:rsidP="00487340">
      <w:pPr>
        <w:pStyle w:val="ListParagraph"/>
        <w:numPr>
          <w:ilvl w:val="3"/>
          <w:numId w:val="2"/>
        </w:numPr>
        <w:tabs>
          <w:tab w:val="left" w:pos="2410"/>
        </w:tabs>
        <w:autoSpaceDE w:val="0"/>
        <w:autoSpaceDN w:val="0"/>
        <w:adjustRightInd w:val="0"/>
        <w:spacing w:after="120"/>
        <w:ind w:left="1276" w:firstLine="567"/>
        <w:contextualSpacing w:val="0"/>
        <w:rPr>
          <w:sz w:val="20"/>
          <w:szCs w:val="20"/>
        </w:rPr>
      </w:pPr>
      <w:r w:rsidRPr="000045BE">
        <w:rPr>
          <w:rFonts w:eastAsiaTheme="minorHAnsi"/>
          <w:i/>
          <w:iCs/>
          <w:sz w:val="20"/>
          <w:szCs w:val="20"/>
        </w:rPr>
        <w:t>Welcomes</w:t>
      </w:r>
      <w:r w:rsidRPr="000045BE">
        <w:rPr>
          <w:rFonts w:eastAsiaTheme="minorHAnsi"/>
          <w:iCs/>
          <w:sz w:val="20"/>
          <w:szCs w:val="20"/>
        </w:rPr>
        <w:t xml:space="preserve"> the initiation of the </w:t>
      </w:r>
      <w:r w:rsidRPr="000045BE">
        <w:rPr>
          <w:sz w:val="20"/>
          <w:szCs w:val="20"/>
        </w:rPr>
        <w:t xml:space="preserve">activities of Liberia’s of its approved compliance action plan; </w:t>
      </w:r>
    </w:p>
    <w:p w:rsidR="00487340" w:rsidRPr="000045BE" w:rsidRDefault="00487340" w:rsidP="00487340">
      <w:pPr>
        <w:pStyle w:val="ListParagraph"/>
        <w:numPr>
          <w:ilvl w:val="3"/>
          <w:numId w:val="2"/>
        </w:numPr>
        <w:tabs>
          <w:tab w:val="left" w:pos="2410"/>
        </w:tabs>
        <w:autoSpaceDE w:val="0"/>
        <w:autoSpaceDN w:val="0"/>
        <w:adjustRightInd w:val="0"/>
        <w:spacing w:after="120"/>
        <w:ind w:left="1276" w:firstLine="567"/>
        <w:contextualSpacing w:val="0"/>
        <w:rPr>
          <w:sz w:val="20"/>
          <w:szCs w:val="20"/>
        </w:rPr>
      </w:pPr>
      <w:r w:rsidRPr="000045BE">
        <w:rPr>
          <w:i/>
          <w:sz w:val="20"/>
          <w:szCs w:val="20"/>
        </w:rPr>
        <w:t xml:space="preserve">Reminds </w:t>
      </w:r>
      <w:r w:rsidRPr="000045BE">
        <w:rPr>
          <w:iCs/>
          <w:sz w:val="20"/>
          <w:szCs w:val="20"/>
        </w:rPr>
        <w:t>Liberia</w:t>
      </w:r>
      <w:r w:rsidRPr="000045BE">
        <w:rPr>
          <w:i/>
          <w:sz w:val="20"/>
          <w:szCs w:val="20"/>
        </w:rPr>
        <w:t xml:space="preserve"> </w:t>
      </w:r>
      <w:r w:rsidRPr="000045BE">
        <w:rPr>
          <w:sz w:val="20"/>
          <w:szCs w:val="20"/>
        </w:rPr>
        <w:t xml:space="preserve">of its commitment, as provided in the </w:t>
      </w:r>
      <w:r w:rsidRPr="000045BE">
        <w:rPr>
          <w:rFonts w:eastAsiaTheme="minorHAnsi"/>
          <w:sz w:val="20"/>
          <w:szCs w:val="20"/>
        </w:rPr>
        <w:t xml:space="preserve">agreement mentioned in paragraph 3 of the present decision, and </w:t>
      </w:r>
      <w:r w:rsidRPr="000045BE">
        <w:rPr>
          <w:rFonts w:eastAsiaTheme="minorHAnsi"/>
          <w:i/>
          <w:iCs/>
          <w:sz w:val="20"/>
          <w:szCs w:val="20"/>
        </w:rPr>
        <w:t>urges</w:t>
      </w:r>
      <w:r w:rsidRPr="000045BE">
        <w:rPr>
          <w:rFonts w:eastAsiaTheme="minorHAnsi"/>
          <w:sz w:val="20"/>
          <w:szCs w:val="20"/>
        </w:rPr>
        <w:t xml:space="preserve"> Liberia to</w:t>
      </w:r>
      <w:r w:rsidRPr="000045BE">
        <w:rPr>
          <w:sz w:val="20"/>
          <w:szCs w:val="20"/>
        </w:rPr>
        <w:t xml:space="preserve"> transmit: </w:t>
      </w:r>
    </w:p>
    <w:p w:rsidR="00487340" w:rsidRPr="000045BE" w:rsidRDefault="00487340" w:rsidP="00487340">
      <w:pPr>
        <w:pStyle w:val="ListParagraph"/>
        <w:numPr>
          <w:ilvl w:val="1"/>
          <w:numId w:val="1"/>
        </w:numPr>
        <w:tabs>
          <w:tab w:val="clear" w:pos="360"/>
          <w:tab w:val="left" w:pos="2410"/>
        </w:tabs>
        <w:autoSpaceDE w:val="0"/>
        <w:autoSpaceDN w:val="0"/>
        <w:adjustRightInd w:val="0"/>
        <w:spacing w:after="120"/>
        <w:ind w:left="1276" w:firstLine="567"/>
        <w:contextualSpacing w:val="0"/>
        <w:rPr>
          <w:sz w:val="20"/>
          <w:szCs w:val="20"/>
        </w:rPr>
      </w:pPr>
      <w:r w:rsidRPr="000045BE">
        <w:rPr>
          <w:sz w:val="20"/>
          <w:szCs w:val="20"/>
        </w:rPr>
        <w:t>By 15 October 2018 its national report for 2016;</w:t>
      </w:r>
    </w:p>
    <w:p w:rsidR="00487340" w:rsidRPr="000045BE" w:rsidRDefault="00487340" w:rsidP="00487340">
      <w:pPr>
        <w:pStyle w:val="ListParagraph"/>
        <w:numPr>
          <w:ilvl w:val="1"/>
          <w:numId w:val="1"/>
        </w:numPr>
        <w:tabs>
          <w:tab w:val="clear" w:pos="360"/>
          <w:tab w:val="left" w:pos="2410"/>
        </w:tabs>
        <w:autoSpaceDE w:val="0"/>
        <w:autoSpaceDN w:val="0"/>
        <w:adjustRightInd w:val="0"/>
        <w:spacing w:after="120"/>
        <w:ind w:left="1276" w:firstLine="567"/>
        <w:contextualSpacing w:val="0"/>
        <w:rPr>
          <w:sz w:val="20"/>
          <w:szCs w:val="20"/>
        </w:rPr>
      </w:pPr>
      <w:r w:rsidRPr="000045BE">
        <w:rPr>
          <w:sz w:val="20"/>
          <w:szCs w:val="20"/>
        </w:rPr>
        <w:t xml:space="preserve">By 15 October 2018 the assessment of legal/institutional framework, the assessment of steps already taken to develop an inventory, the report of the national inception meeting; the draft methodology for the development of inventories of hazardous wastes and other wastes; </w:t>
      </w:r>
    </w:p>
    <w:p w:rsidR="00487340" w:rsidRPr="000045BE" w:rsidRDefault="00487340" w:rsidP="00487340">
      <w:pPr>
        <w:pStyle w:val="ListParagraph"/>
        <w:numPr>
          <w:ilvl w:val="1"/>
          <w:numId w:val="1"/>
        </w:numPr>
        <w:tabs>
          <w:tab w:val="clear" w:pos="360"/>
          <w:tab w:val="left" w:pos="2410"/>
        </w:tabs>
        <w:autoSpaceDE w:val="0"/>
        <w:autoSpaceDN w:val="0"/>
        <w:adjustRightInd w:val="0"/>
        <w:spacing w:after="120"/>
        <w:ind w:left="1276" w:firstLine="567"/>
        <w:contextualSpacing w:val="0"/>
        <w:rPr>
          <w:sz w:val="20"/>
          <w:szCs w:val="20"/>
        </w:rPr>
      </w:pPr>
      <w:r w:rsidRPr="000045BE">
        <w:rPr>
          <w:sz w:val="20"/>
          <w:szCs w:val="20"/>
        </w:rPr>
        <w:t xml:space="preserve">By 31 December 2018 its national report for 2017 as well as the report of the awareness-raising and training workshop and the inventory report;  </w:t>
      </w:r>
    </w:p>
    <w:p w:rsidR="00487340" w:rsidRPr="000045BE" w:rsidRDefault="00487340" w:rsidP="00487340">
      <w:pPr>
        <w:pStyle w:val="ListParagraph"/>
        <w:numPr>
          <w:ilvl w:val="1"/>
          <w:numId w:val="1"/>
        </w:numPr>
        <w:tabs>
          <w:tab w:val="clear" w:pos="360"/>
          <w:tab w:val="left" w:pos="2410"/>
        </w:tabs>
        <w:autoSpaceDE w:val="0"/>
        <w:autoSpaceDN w:val="0"/>
        <w:adjustRightInd w:val="0"/>
        <w:spacing w:after="120"/>
        <w:ind w:left="1276" w:firstLine="567"/>
        <w:contextualSpacing w:val="0"/>
        <w:rPr>
          <w:sz w:val="20"/>
          <w:szCs w:val="20"/>
        </w:rPr>
      </w:pPr>
      <w:r w:rsidRPr="000045BE">
        <w:rPr>
          <w:sz w:val="20"/>
          <w:szCs w:val="20"/>
        </w:rPr>
        <w:t xml:space="preserve">By 31 August 2019 the report of the evaluation meeting for all stakeholders during which the methodology and the draft legal/institutional measures with a view to ensuring the sustainability of Liberia’s compliance with its national reporting obligations would be discussed and finalized; the final methodology for the development of inventories of hazardous wastes and other wastes; and the final draft legal/institutional measures with a view to ensuring the sustainability of Liberia’s compliance with its national reporting obligations, thereby completing the activities of its approved compliance action plan; </w:t>
      </w:r>
    </w:p>
    <w:p w:rsidR="00487340" w:rsidRPr="000045BE" w:rsidRDefault="00487340" w:rsidP="00487340">
      <w:pPr>
        <w:pStyle w:val="ListParagraph"/>
        <w:numPr>
          <w:ilvl w:val="1"/>
          <w:numId w:val="1"/>
        </w:numPr>
        <w:tabs>
          <w:tab w:val="clear" w:pos="360"/>
          <w:tab w:val="left" w:pos="2410"/>
        </w:tabs>
        <w:autoSpaceDE w:val="0"/>
        <w:autoSpaceDN w:val="0"/>
        <w:adjustRightInd w:val="0"/>
        <w:spacing w:after="120"/>
        <w:ind w:left="1276" w:firstLine="567"/>
        <w:contextualSpacing w:val="0"/>
        <w:rPr>
          <w:sz w:val="20"/>
          <w:szCs w:val="20"/>
        </w:rPr>
      </w:pPr>
      <w:r w:rsidRPr="000045BE">
        <w:rPr>
          <w:sz w:val="20"/>
          <w:szCs w:val="20"/>
        </w:rPr>
        <w:t>Its national reports for 2018 and subsequent years complete and on time;</w:t>
      </w:r>
    </w:p>
    <w:p w:rsidR="00487340" w:rsidRPr="000045BE" w:rsidRDefault="00487340" w:rsidP="00487340">
      <w:pPr>
        <w:pStyle w:val="ListParagraph"/>
        <w:numPr>
          <w:ilvl w:val="3"/>
          <w:numId w:val="2"/>
        </w:numPr>
        <w:tabs>
          <w:tab w:val="left" w:pos="2410"/>
        </w:tabs>
        <w:autoSpaceDE w:val="0"/>
        <w:autoSpaceDN w:val="0"/>
        <w:adjustRightInd w:val="0"/>
        <w:spacing w:after="120"/>
        <w:ind w:left="1276" w:firstLine="567"/>
        <w:contextualSpacing w:val="0"/>
        <w:rPr>
          <w:rFonts w:eastAsiaTheme="minorHAnsi"/>
          <w:sz w:val="20"/>
          <w:szCs w:val="20"/>
        </w:rPr>
      </w:pPr>
      <w:r w:rsidRPr="000045BE">
        <w:rPr>
          <w:rFonts w:eastAsiaTheme="minorHAnsi"/>
          <w:i/>
          <w:iCs/>
          <w:sz w:val="20"/>
          <w:szCs w:val="20"/>
        </w:rPr>
        <w:t>Welcomes also</w:t>
      </w:r>
      <w:r w:rsidRPr="000045BE">
        <w:rPr>
          <w:rFonts w:eastAsiaTheme="minorHAnsi"/>
          <w:iCs/>
          <w:sz w:val="20"/>
          <w:szCs w:val="20"/>
        </w:rPr>
        <w:t xml:space="preserve"> the willingness of Liberia to build </w:t>
      </w:r>
      <w:r w:rsidRPr="000045BE">
        <w:rPr>
          <w:rFonts w:eastAsiaTheme="minorHAnsi"/>
          <w:sz w:val="20"/>
          <w:szCs w:val="20"/>
        </w:rPr>
        <w:t>strong linkages between the activities of its project “</w:t>
      </w:r>
      <w:r w:rsidRPr="000045BE">
        <w:rPr>
          <w:sz w:val="20"/>
          <w:szCs w:val="20"/>
        </w:rPr>
        <w:t xml:space="preserve">Conducting inventory, awareness raising and training to enhance, promote </w:t>
      </w:r>
      <w:r w:rsidRPr="000045BE">
        <w:rPr>
          <w:sz w:val="20"/>
          <w:szCs w:val="20"/>
        </w:rPr>
        <w:lastRenderedPageBreak/>
        <w:t>and establish ESM in e-waste management”</w:t>
      </w:r>
      <w:r w:rsidRPr="000045BE">
        <w:rPr>
          <w:rStyle w:val="FootnoteReference"/>
          <w:rFonts w:eastAsiaTheme="minorHAnsi"/>
        </w:rPr>
        <w:footnoteReference w:customMarkFollows="1" w:id="2"/>
        <w:t>14</w:t>
      </w:r>
      <w:r w:rsidRPr="000045BE">
        <w:rPr>
          <w:rFonts w:eastAsiaTheme="minorHAnsi"/>
          <w:sz w:val="20"/>
          <w:szCs w:val="20"/>
        </w:rPr>
        <w:t xml:space="preserve"> and the activities of its compliance action plan </w:t>
      </w:r>
      <w:proofErr w:type="gramStart"/>
      <w:r w:rsidRPr="000045BE">
        <w:rPr>
          <w:rFonts w:eastAsiaTheme="minorHAnsi"/>
          <w:sz w:val="20"/>
          <w:szCs w:val="20"/>
        </w:rPr>
        <w:t>so as to</w:t>
      </w:r>
      <w:proofErr w:type="gramEnd"/>
      <w:r w:rsidRPr="000045BE">
        <w:rPr>
          <w:rFonts w:eastAsiaTheme="minorHAnsi"/>
          <w:sz w:val="20"/>
          <w:szCs w:val="20"/>
        </w:rPr>
        <w:t xml:space="preserve"> make best use of resources; </w:t>
      </w:r>
    </w:p>
    <w:p w:rsidR="00487340" w:rsidRPr="000045BE" w:rsidRDefault="00487340" w:rsidP="00487340">
      <w:pPr>
        <w:pStyle w:val="ListParagraph"/>
        <w:numPr>
          <w:ilvl w:val="3"/>
          <w:numId w:val="2"/>
        </w:numPr>
        <w:tabs>
          <w:tab w:val="left" w:pos="2410"/>
        </w:tabs>
        <w:autoSpaceDE w:val="0"/>
        <w:autoSpaceDN w:val="0"/>
        <w:adjustRightInd w:val="0"/>
        <w:spacing w:after="120"/>
        <w:ind w:left="1276" w:firstLine="567"/>
        <w:contextualSpacing w:val="0"/>
        <w:rPr>
          <w:sz w:val="20"/>
          <w:szCs w:val="20"/>
        </w:rPr>
      </w:pPr>
      <w:r w:rsidRPr="000045BE">
        <w:rPr>
          <w:i/>
          <w:iCs/>
          <w:sz w:val="20"/>
          <w:szCs w:val="20"/>
          <w:lang w:eastAsia="zh-TW"/>
        </w:rPr>
        <w:t xml:space="preserve">Decides </w:t>
      </w:r>
      <w:r w:rsidRPr="000045BE">
        <w:rPr>
          <w:sz w:val="20"/>
          <w:szCs w:val="20"/>
          <w:lang w:eastAsia="zh-TW"/>
        </w:rPr>
        <w:t xml:space="preserve">to consider the submission regarding Liberia prior to its fourteenth meeting and </w:t>
      </w:r>
      <w:r w:rsidRPr="000045BE">
        <w:rPr>
          <w:i/>
          <w:sz w:val="20"/>
          <w:szCs w:val="20"/>
          <w:lang w:eastAsia="zh-TW"/>
        </w:rPr>
        <w:t>n</w:t>
      </w:r>
      <w:r w:rsidRPr="000045BE">
        <w:rPr>
          <w:i/>
          <w:sz w:val="20"/>
          <w:szCs w:val="20"/>
        </w:rPr>
        <w:t>otes</w:t>
      </w:r>
      <w:r w:rsidRPr="000045BE">
        <w:rPr>
          <w:sz w:val="20"/>
          <w:szCs w:val="20"/>
        </w:rPr>
        <w:t xml:space="preserve"> that it may consider whether to recommend to the Conference of the Parties at its fourteenth meeting that it issue a cautionary statement; </w:t>
      </w:r>
    </w:p>
    <w:p w:rsidR="00487340" w:rsidRPr="000045BE" w:rsidRDefault="00487340" w:rsidP="00487340">
      <w:pPr>
        <w:pStyle w:val="ListParagraph"/>
        <w:numPr>
          <w:ilvl w:val="3"/>
          <w:numId w:val="2"/>
        </w:numPr>
        <w:tabs>
          <w:tab w:val="left" w:pos="2410"/>
        </w:tabs>
        <w:autoSpaceDE w:val="0"/>
        <w:autoSpaceDN w:val="0"/>
        <w:adjustRightInd w:val="0"/>
        <w:spacing w:after="120"/>
        <w:ind w:left="1276" w:firstLine="567"/>
        <w:contextualSpacing w:val="0"/>
        <w:rPr>
          <w:sz w:val="20"/>
          <w:szCs w:val="20"/>
        </w:rPr>
      </w:pPr>
      <w:r w:rsidRPr="000045BE">
        <w:rPr>
          <w:i/>
          <w:sz w:val="20"/>
          <w:szCs w:val="20"/>
        </w:rPr>
        <w:t>Requests</w:t>
      </w:r>
      <w:r w:rsidRPr="000045BE">
        <w:rPr>
          <w:sz w:val="20"/>
          <w:szCs w:val="20"/>
        </w:rPr>
        <w:t xml:space="preserve"> also the Secretariat to transmit this decision to the Expert Working Group on Environmentally Sound Management and </w:t>
      </w:r>
      <w:r w:rsidRPr="000045BE">
        <w:rPr>
          <w:i/>
          <w:sz w:val="20"/>
          <w:szCs w:val="20"/>
        </w:rPr>
        <w:t>invites</w:t>
      </w:r>
      <w:r w:rsidRPr="000045BE">
        <w:rPr>
          <w:sz w:val="20"/>
          <w:szCs w:val="20"/>
        </w:rPr>
        <w:t xml:space="preserve"> that group to ensure that the activities of its work programme pertaining to Liberia are supportive of the work of the Committee; </w:t>
      </w:r>
    </w:p>
    <w:p w:rsidR="00487340" w:rsidRPr="000045BE" w:rsidRDefault="00487340" w:rsidP="00487340">
      <w:pPr>
        <w:pStyle w:val="ListParagraph"/>
        <w:numPr>
          <w:ilvl w:val="3"/>
          <w:numId w:val="2"/>
        </w:numPr>
        <w:tabs>
          <w:tab w:val="left" w:pos="2410"/>
        </w:tabs>
        <w:autoSpaceDE w:val="0"/>
        <w:autoSpaceDN w:val="0"/>
        <w:adjustRightInd w:val="0"/>
        <w:spacing w:after="120"/>
        <w:ind w:left="1276" w:firstLine="567"/>
        <w:contextualSpacing w:val="0"/>
        <w:rPr>
          <w:sz w:val="20"/>
          <w:szCs w:val="20"/>
        </w:rPr>
      </w:pPr>
      <w:r w:rsidRPr="000045BE">
        <w:rPr>
          <w:i/>
          <w:sz w:val="20"/>
          <w:szCs w:val="20"/>
        </w:rPr>
        <w:t>Requests</w:t>
      </w:r>
      <w:r w:rsidRPr="000045BE">
        <w:rPr>
          <w:sz w:val="20"/>
          <w:szCs w:val="20"/>
        </w:rPr>
        <w:t xml:space="preserve"> further the Secretariat to transmit this decision to the Basel Convention Regional Centre for English-speaking countries in Africa;</w:t>
      </w:r>
    </w:p>
    <w:p w:rsidR="00487340" w:rsidRPr="000045BE" w:rsidRDefault="00487340" w:rsidP="00487340">
      <w:pPr>
        <w:pStyle w:val="ListParagraph"/>
        <w:numPr>
          <w:ilvl w:val="3"/>
          <w:numId w:val="2"/>
        </w:numPr>
        <w:tabs>
          <w:tab w:val="left" w:pos="2410"/>
        </w:tabs>
        <w:autoSpaceDE w:val="0"/>
        <w:autoSpaceDN w:val="0"/>
        <w:adjustRightInd w:val="0"/>
        <w:spacing w:after="120"/>
        <w:ind w:left="1276" w:firstLine="567"/>
        <w:contextualSpacing w:val="0"/>
        <w:rPr>
          <w:sz w:val="20"/>
          <w:szCs w:val="20"/>
        </w:rPr>
      </w:pPr>
      <w:r w:rsidRPr="000045BE">
        <w:rPr>
          <w:i/>
          <w:sz w:val="20"/>
          <w:szCs w:val="20"/>
        </w:rPr>
        <w:t>Requests</w:t>
      </w:r>
      <w:r w:rsidRPr="000045BE">
        <w:rPr>
          <w:sz w:val="20"/>
          <w:szCs w:val="20"/>
        </w:rPr>
        <w:t xml:space="preserve"> the Secretariat to continue its communications with and support to Liberia and to report to the Committee as appropriate;</w:t>
      </w:r>
    </w:p>
    <w:p w:rsidR="00487340" w:rsidRPr="000045BE" w:rsidRDefault="00487340" w:rsidP="00487340">
      <w:pPr>
        <w:pStyle w:val="ListParagraph"/>
        <w:numPr>
          <w:ilvl w:val="3"/>
          <w:numId w:val="2"/>
        </w:numPr>
        <w:tabs>
          <w:tab w:val="left" w:pos="2410"/>
        </w:tabs>
        <w:autoSpaceDE w:val="0"/>
        <w:autoSpaceDN w:val="0"/>
        <w:adjustRightInd w:val="0"/>
        <w:spacing w:after="120"/>
        <w:ind w:left="1276" w:firstLine="567"/>
        <w:contextualSpacing w:val="0"/>
        <w:rPr>
          <w:rFonts w:asciiTheme="majorBidi" w:hAnsiTheme="majorBidi" w:cstheme="majorBidi"/>
          <w:sz w:val="20"/>
          <w:szCs w:val="20"/>
        </w:rPr>
      </w:pPr>
      <w:r w:rsidRPr="000045BE">
        <w:rPr>
          <w:rFonts w:asciiTheme="majorBidi" w:hAnsiTheme="majorBidi" w:cstheme="majorBidi"/>
          <w:i/>
          <w:sz w:val="20"/>
          <w:szCs w:val="20"/>
        </w:rPr>
        <w:t>Decides</w:t>
      </w:r>
      <w:r w:rsidRPr="000045BE">
        <w:rPr>
          <w:rFonts w:asciiTheme="majorBidi" w:hAnsiTheme="majorBidi" w:cstheme="majorBidi"/>
          <w:sz w:val="20"/>
          <w:szCs w:val="20"/>
        </w:rPr>
        <w:t xml:space="preserve"> to keep the matter relevant to the submission CHW/CC/9c/2010/5 under review.</w:t>
      </w:r>
    </w:p>
    <w:p w:rsidR="00CF7497" w:rsidRDefault="00CF7497"/>
    <w:sectPr w:rsidR="00CF74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FCE" w:rsidRDefault="008B2FCE" w:rsidP="00487340">
      <w:r>
        <w:separator/>
      </w:r>
    </w:p>
  </w:endnote>
  <w:endnote w:type="continuationSeparator" w:id="0">
    <w:p w:rsidR="008B2FCE" w:rsidRDefault="008B2FCE" w:rsidP="00487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FCE" w:rsidRDefault="008B2FCE" w:rsidP="00487340">
      <w:r>
        <w:separator/>
      </w:r>
    </w:p>
  </w:footnote>
  <w:footnote w:type="continuationSeparator" w:id="0">
    <w:p w:rsidR="008B2FCE" w:rsidRDefault="008B2FCE" w:rsidP="00487340">
      <w:r>
        <w:continuationSeparator/>
      </w:r>
    </w:p>
  </w:footnote>
  <w:footnote w:id="1">
    <w:p w:rsidR="00487340" w:rsidRPr="00F4448B" w:rsidRDefault="00487340" w:rsidP="00487340">
      <w:pPr>
        <w:pStyle w:val="FootnoteText"/>
        <w:ind w:left="1276"/>
        <w:rPr>
          <w:lang w:val="en-US"/>
        </w:rPr>
      </w:pPr>
      <w:r>
        <w:rPr>
          <w:rStyle w:val="FootnoteReference"/>
        </w:rPr>
        <w:t>13</w:t>
      </w:r>
      <w:r>
        <w:t xml:space="preserve"> </w:t>
      </w:r>
      <w:r w:rsidRPr="00EC4C9C">
        <w:rPr>
          <w:szCs w:val="18"/>
          <w:lang w:val="en-US"/>
        </w:rPr>
        <w:t>UNEP</w:t>
      </w:r>
      <w:r w:rsidRPr="00622BA9">
        <w:rPr>
          <w:bCs/>
          <w:szCs w:val="18"/>
          <w:lang w:val="nb-NO"/>
        </w:rPr>
        <w:t>/CHW/CLI_EWG.4/INF/7.</w:t>
      </w:r>
    </w:p>
  </w:footnote>
  <w:footnote w:id="2">
    <w:p w:rsidR="00487340" w:rsidRPr="00EC4C9C" w:rsidRDefault="00487340" w:rsidP="00487340">
      <w:pPr>
        <w:pStyle w:val="FootnoteText"/>
        <w:ind w:left="0" w:firstLine="1276"/>
        <w:rPr>
          <w:iCs/>
          <w:szCs w:val="18"/>
          <w:lang w:val="de-CH"/>
        </w:rPr>
      </w:pPr>
      <w:r w:rsidRPr="000A7486">
        <w:rPr>
          <w:rStyle w:val="FootnoteReference"/>
          <w:lang w:val="de-CH"/>
        </w:rPr>
        <w:t>14</w:t>
      </w:r>
      <w:r w:rsidRPr="003C7AA1">
        <w:rPr>
          <w:szCs w:val="18"/>
          <w:lang w:val="de-CH"/>
        </w:rPr>
        <w:t xml:space="preserve"> </w:t>
      </w:r>
      <w:r w:rsidRPr="003C7AA1">
        <w:rPr>
          <w:i/>
          <w:szCs w:val="18"/>
          <w:lang w:val="de-CH"/>
        </w:rPr>
        <w:t>Idem</w:t>
      </w:r>
      <w:r>
        <w:rPr>
          <w:iCs/>
          <w:szCs w:val="18"/>
          <w:lang w:val="de-CH"/>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2285D"/>
    <w:multiLevelType w:val="multilevel"/>
    <w:tmpl w:val="93640382"/>
    <w:lvl w:ilvl="0">
      <w:start w:val="1"/>
      <w:numFmt w:val="decimal"/>
      <w:isLgl/>
      <w:lvlText w:val="%1."/>
      <w:lvlJc w:val="left"/>
      <w:pPr>
        <w:tabs>
          <w:tab w:val="num" w:pos="3"/>
        </w:tabs>
        <w:ind w:left="3" w:firstLine="1350"/>
      </w:pPr>
      <w:rPr>
        <w:rFonts w:cs="Times New Roman" w:hint="default"/>
        <w:color w:val="000000"/>
        <w:position w:val="0"/>
        <w:sz w:val="20"/>
        <w:szCs w:val="20"/>
      </w:rPr>
    </w:lvl>
    <w:lvl w:ilvl="1">
      <w:start w:val="1"/>
      <w:numFmt w:val="lowerLetter"/>
      <w:lvlText w:val="(%2)"/>
      <w:lvlJc w:val="left"/>
      <w:pPr>
        <w:tabs>
          <w:tab w:val="num" w:pos="360"/>
        </w:tabs>
        <w:ind w:left="360" w:firstLine="2607"/>
      </w:pPr>
      <w:rPr>
        <w:rFonts w:hint="default"/>
        <w:i w:val="0"/>
        <w:color w:val="000000"/>
        <w:position w:val="0"/>
        <w:sz w:val="20"/>
        <w:szCs w:val="20"/>
      </w:rPr>
    </w:lvl>
    <w:lvl w:ilvl="2">
      <w:start w:val="1"/>
      <w:numFmt w:val="lowerRoman"/>
      <w:lvlText w:val="%3."/>
      <w:lvlJc w:val="left"/>
      <w:pPr>
        <w:tabs>
          <w:tab w:val="num" w:pos="360"/>
        </w:tabs>
        <w:ind w:left="360" w:firstLine="3327"/>
      </w:pPr>
      <w:rPr>
        <w:rFonts w:cs="Times New Roman" w:hint="default"/>
        <w:color w:val="000000"/>
        <w:position w:val="0"/>
        <w:sz w:val="24"/>
      </w:rPr>
    </w:lvl>
    <w:lvl w:ilvl="3">
      <w:start w:val="1"/>
      <w:numFmt w:val="decimal"/>
      <w:isLgl/>
      <w:lvlText w:val="%4."/>
      <w:lvlJc w:val="left"/>
      <w:pPr>
        <w:tabs>
          <w:tab w:val="num" w:pos="360"/>
        </w:tabs>
        <w:ind w:left="360" w:firstLine="4047"/>
      </w:pPr>
      <w:rPr>
        <w:rFonts w:cs="Times New Roman" w:hint="default"/>
        <w:i w:val="0"/>
        <w:iCs/>
        <w:color w:val="000000"/>
        <w:position w:val="0"/>
        <w:sz w:val="20"/>
        <w:szCs w:val="20"/>
      </w:rPr>
    </w:lvl>
    <w:lvl w:ilvl="4">
      <w:start w:val="1"/>
      <w:numFmt w:val="lowerLetter"/>
      <w:lvlText w:val="%5."/>
      <w:lvlJc w:val="left"/>
      <w:pPr>
        <w:tabs>
          <w:tab w:val="num" w:pos="360"/>
        </w:tabs>
        <w:ind w:left="360" w:firstLine="4767"/>
      </w:pPr>
      <w:rPr>
        <w:rFonts w:cs="Times New Roman" w:hint="default"/>
        <w:color w:val="000000"/>
        <w:position w:val="0"/>
        <w:sz w:val="24"/>
      </w:rPr>
    </w:lvl>
    <w:lvl w:ilvl="5">
      <w:start w:val="1"/>
      <w:numFmt w:val="lowerRoman"/>
      <w:lvlText w:val="%6."/>
      <w:lvlJc w:val="left"/>
      <w:pPr>
        <w:tabs>
          <w:tab w:val="num" w:pos="360"/>
        </w:tabs>
        <w:ind w:left="360" w:firstLine="5487"/>
      </w:pPr>
      <w:rPr>
        <w:rFonts w:cs="Times New Roman" w:hint="default"/>
        <w:color w:val="000000"/>
        <w:position w:val="0"/>
        <w:sz w:val="24"/>
      </w:rPr>
    </w:lvl>
    <w:lvl w:ilvl="6">
      <w:start w:val="1"/>
      <w:numFmt w:val="decimal"/>
      <w:isLgl/>
      <w:lvlText w:val="%7."/>
      <w:lvlJc w:val="left"/>
      <w:pPr>
        <w:tabs>
          <w:tab w:val="num" w:pos="360"/>
        </w:tabs>
        <w:ind w:left="360" w:firstLine="6207"/>
      </w:pPr>
      <w:rPr>
        <w:rFonts w:cs="Times New Roman" w:hint="default"/>
        <w:color w:val="000000"/>
        <w:position w:val="0"/>
        <w:sz w:val="20"/>
        <w:szCs w:val="20"/>
      </w:rPr>
    </w:lvl>
    <w:lvl w:ilvl="7">
      <w:start w:val="1"/>
      <w:numFmt w:val="lowerLetter"/>
      <w:lvlText w:val="%8."/>
      <w:lvlJc w:val="left"/>
      <w:pPr>
        <w:tabs>
          <w:tab w:val="num" w:pos="360"/>
        </w:tabs>
        <w:ind w:left="360" w:firstLine="6927"/>
      </w:pPr>
      <w:rPr>
        <w:rFonts w:cs="Times New Roman" w:hint="default"/>
        <w:color w:val="000000"/>
        <w:position w:val="0"/>
        <w:sz w:val="24"/>
      </w:rPr>
    </w:lvl>
    <w:lvl w:ilvl="8">
      <w:start w:val="1"/>
      <w:numFmt w:val="lowerRoman"/>
      <w:lvlText w:val="%9."/>
      <w:lvlJc w:val="left"/>
      <w:pPr>
        <w:tabs>
          <w:tab w:val="num" w:pos="360"/>
        </w:tabs>
        <w:ind w:left="360" w:firstLine="7647"/>
      </w:pPr>
      <w:rPr>
        <w:rFonts w:cs="Times New Roman" w:hint="default"/>
        <w:color w:val="000000"/>
        <w:position w:val="0"/>
        <w:sz w:val="24"/>
      </w:rPr>
    </w:lvl>
  </w:abstractNum>
  <w:abstractNum w:abstractNumId="1" w15:restartNumberingAfterBreak="0">
    <w:nsid w:val="49561BFD"/>
    <w:multiLevelType w:val="multilevel"/>
    <w:tmpl w:val="D2DCE6CE"/>
    <w:lvl w:ilvl="0">
      <w:start w:val="1"/>
      <w:numFmt w:val="decimal"/>
      <w:isLgl/>
      <w:lvlText w:val="%1."/>
      <w:lvlJc w:val="left"/>
      <w:pPr>
        <w:tabs>
          <w:tab w:val="num" w:pos="3"/>
        </w:tabs>
        <w:ind w:left="3" w:firstLine="1350"/>
      </w:pPr>
      <w:rPr>
        <w:rFonts w:cs="Times New Roman" w:hint="default"/>
        <w:color w:val="000000"/>
        <w:position w:val="0"/>
        <w:sz w:val="20"/>
        <w:szCs w:val="20"/>
      </w:rPr>
    </w:lvl>
    <w:lvl w:ilvl="1">
      <w:start w:val="1"/>
      <w:numFmt w:val="lowerLetter"/>
      <w:lvlText w:val="%2."/>
      <w:lvlJc w:val="left"/>
      <w:pPr>
        <w:tabs>
          <w:tab w:val="num" w:pos="360"/>
        </w:tabs>
        <w:ind w:left="360" w:firstLine="2607"/>
      </w:pPr>
      <w:rPr>
        <w:rFonts w:cs="Times New Roman" w:hint="default"/>
        <w:color w:val="000000"/>
        <w:position w:val="0"/>
        <w:sz w:val="24"/>
      </w:rPr>
    </w:lvl>
    <w:lvl w:ilvl="2">
      <w:start w:val="1"/>
      <w:numFmt w:val="lowerRoman"/>
      <w:lvlText w:val="%3."/>
      <w:lvlJc w:val="left"/>
      <w:pPr>
        <w:tabs>
          <w:tab w:val="num" w:pos="360"/>
        </w:tabs>
        <w:ind w:left="360" w:firstLine="3327"/>
      </w:pPr>
      <w:rPr>
        <w:rFonts w:cs="Times New Roman" w:hint="default"/>
        <w:color w:val="000000"/>
        <w:position w:val="0"/>
        <w:sz w:val="24"/>
      </w:rPr>
    </w:lvl>
    <w:lvl w:ilvl="3">
      <w:start w:val="1"/>
      <w:numFmt w:val="decimal"/>
      <w:isLgl/>
      <w:lvlText w:val="%4."/>
      <w:lvlJc w:val="left"/>
      <w:pPr>
        <w:tabs>
          <w:tab w:val="num" w:pos="360"/>
        </w:tabs>
        <w:ind w:left="360" w:firstLine="4047"/>
      </w:pPr>
      <w:rPr>
        <w:rFonts w:cs="Times New Roman" w:hint="default"/>
        <w:i w:val="0"/>
        <w:iCs/>
        <w:color w:val="000000"/>
        <w:position w:val="0"/>
        <w:sz w:val="20"/>
        <w:szCs w:val="20"/>
      </w:rPr>
    </w:lvl>
    <w:lvl w:ilvl="4">
      <w:start w:val="1"/>
      <w:numFmt w:val="lowerLetter"/>
      <w:lvlText w:val="%5."/>
      <w:lvlJc w:val="left"/>
      <w:pPr>
        <w:tabs>
          <w:tab w:val="num" w:pos="360"/>
        </w:tabs>
        <w:ind w:left="360" w:firstLine="4767"/>
      </w:pPr>
      <w:rPr>
        <w:rFonts w:cs="Times New Roman" w:hint="default"/>
        <w:color w:val="000000"/>
        <w:position w:val="0"/>
        <w:sz w:val="24"/>
      </w:rPr>
    </w:lvl>
    <w:lvl w:ilvl="5">
      <w:start w:val="1"/>
      <w:numFmt w:val="lowerRoman"/>
      <w:lvlText w:val="%6."/>
      <w:lvlJc w:val="left"/>
      <w:pPr>
        <w:tabs>
          <w:tab w:val="num" w:pos="360"/>
        </w:tabs>
        <w:ind w:left="360" w:firstLine="5487"/>
      </w:pPr>
      <w:rPr>
        <w:rFonts w:cs="Times New Roman" w:hint="default"/>
        <w:color w:val="000000"/>
        <w:position w:val="0"/>
        <w:sz w:val="24"/>
      </w:rPr>
    </w:lvl>
    <w:lvl w:ilvl="6">
      <w:start w:val="1"/>
      <w:numFmt w:val="decimal"/>
      <w:isLgl/>
      <w:lvlText w:val="%7."/>
      <w:lvlJc w:val="left"/>
      <w:pPr>
        <w:tabs>
          <w:tab w:val="num" w:pos="360"/>
        </w:tabs>
        <w:ind w:left="360" w:firstLine="6207"/>
      </w:pPr>
      <w:rPr>
        <w:rFonts w:cs="Times New Roman" w:hint="default"/>
        <w:color w:val="000000"/>
        <w:position w:val="0"/>
        <w:sz w:val="20"/>
        <w:szCs w:val="20"/>
      </w:rPr>
    </w:lvl>
    <w:lvl w:ilvl="7">
      <w:start w:val="1"/>
      <w:numFmt w:val="lowerLetter"/>
      <w:lvlText w:val="%8."/>
      <w:lvlJc w:val="left"/>
      <w:pPr>
        <w:tabs>
          <w:tab w:val="num" w:pos="360"/>
        </w:tabs>
        <w:ind w:left="360" w:firstLine="6927"/>
      </w:pPr>
      <w:rPr>
        <w:rFonts w:cs="Times New Roman" w:hint="default"/>
        <w:color w:val="000000"/>
        <w:position w:val="0"/>
        <w:sz w:val="24"/>
      </w:rPr>
    </w:lvl>
    <w:lvl w:ilvl="8">
      <w:start w:val="1"/>
      <w:numFmt w:val="lowerRoman"/>
      <w:lvlText w:val="%9."/>
      <w:lvlJc w:val="left"/>
      <w:pPr>
        <w:tabs>
          <w:tab w:val="num" w:pos="360"/>
        </w:tabs>
        <w:ind w:left="360" w:firstLine="7647"/>
      </w:pPr>
      <w:rPr>
        <w:rFonts w:cs="Times New Roman" w:hint="default"/>
        <w:color w:val="000000"/>
        <w:position w:val="0"/>
        <w:sz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40"/>
    <w:rsid w:val="00304CF0"/>
    <w:rsid w:val="00487340"/>
    <w:rsid w:val="008B2FCE"/>
    <w:rsid w:val="00987DB3"/>
    <w:rsid w:val="009D258D"/>
    <w:rsid w:val="00C873CC"/>
    <w:rsid w:val="00CF7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3339"/>
  <w15:chartTrackingRefBased/>
  <w15:docId w15:val="{9504A729-675F-4A49-B674-B707E368D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340"/>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340"/>
    <w:pPr>
      <w:tabs>
        <w:tab w:val="clear" w:pos="1247"/>
        <w:tab w:val="clear" w:pos="1814"/>
        <w:tab w:val="clear" w:pos="2381"/>
        <w:tab w:val="clear" w:pos="2948"/>
        <w:tab w:val="clear" w:pos="3515"/>
      </w:tabs>
      <w:ind w:left="720"/>
      <w:contextualSpacing/>
    </w:pPr>
    <w:rPr>
      <w:rFonts w:eastAsia="SimSun"/>
      <w:sz w:val="24"/>
      <w:szCs w:val="24"/>
    </w:rPr>
  </w:style>
  <w:style w:type="character" w:styleId="FootnoteReference">
    <w:name w:val="footnote reference"/>
    <w:aliases w:val="16 Point,Superscript 6 Point,ftref,(Ref. de nota al pie),number,SUPERS,Footnote Reference Superscript,Ref,de nota al pie,註腳內容,de nota al pie + (Asian) MS Mincho,11 pt,Ref. de nota de rodapé1,stylish"/>
    <w:uiPriority w:val="99"/>
    <w:rsid w:val="00487340"/>
    <w:rPr>
      <w:rFonts w:ascii="Times New Roman" w:hAnsi="Times New Roman"/>
      <w:color w:val="auto"/>
      <w:sz w:val="20"/>
      <w:szCs w:val="18"/>
      <w:vertAlign w:val="superscript"/>
    </w:rPr>
  </w:style>
  <w:style w:type="paragraph" w:styleId="FootnoteText">
    <w:name w:val="footnote text"/>
    <w:aliases w:val="Geneva 9,Font: Geneva 9,Boston 10,f,DNV-FT,footnote3,text,Geneva,92,Font:,Boston,10,FOOTNOTES,fn,single space,Footnote Text Rail EIS,ft,Footnotes,Footnote ak,fn cafc,Footnotes Char Char,Footnote Text Char Char,fn Char Char,footnote text,93"/>
    <w:basedOn w:val="Normal"/>
    <w:link w:val="FootnoteTextChar"/>
    <w:rsid w:val="00487340"/>
    <w:pPr>
      <w:spacing w:before="20" w:after="40"/>
      <w:ind w:left="1247"/>
    </w:pPr>
    <w:rPr>
      <w:sz w:val="18"/>
    </w:rPr>
  </w:style>
  <w:style w:type="character" w:customStyle="1" w:styleId="FootnoteTextChar">
    <w:name w:val="Footnote Text Char"/>
    <w:aliases w:val="Geneva 9 Char,Font: Geneva 9 Char,Boston 10 Char,f Char,DNV-FT Char,footnote3 Char,text Char,Geneva Char,92 Char,Font: Char,Boston Char,10 Char,FOOTNOTES Char,fn Char,single space Char,Footnote Text Rail EIS Char,ft Char,fn cafc Char"/>
    <w:basedOn w:val="DefaultParagraphFont"/>
    <w:link w:val="FootnoteText"/>
    <w:rsid w:val="00487340"/>
    <w:rPr>
      <w:rFonts w:ascii="Times New Roman" w:eastAsia="Times New Roman" w:hAnsi="Times New Roman" w:cs="Times New Roman"/>
      <w:sz w:val="1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1</cp:revision>
  <dcterms:created xsi:type="dcterms:W3CDTF">2018-12-05T09:01:00Z</dcterms:created>
  <dcterms:modified xsi:type="dcterms:W3CDTF">2018-12-05T09:02:00Z</dcterms:modified>
</cp:coreProperties>
</file>