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B0" w:rsidRPr="00376C46" w:rsidRDefault="000000B0" w:rsidP="000000B0">
      <w:pPr>
        <w:spacing w:after="120"/>
        <w:ind w:left="1247"/>
        <w:rPr>
          <w:b/>
          <w:sz w:val="28"/>
          <w:szCs w:val="28"/>
        </w:rPr>
      </w:pPr>
      <w:r w:rsidRPr="00376C46">
        <w:rPr>
          <w:b/>
          <w:sz w:val="28"/>
          <w:szCs w:val="28"/>
        </w:rPr>
        <w:t xml:space="preserve">КРХВ-13/1: Ацетохлор </w:t>
      </w:r>
    </w:p>
    <w:p w:rsidR="000000B0" w:rsidRPr="00376C46" w:rsidRDefault="000000B0" w:rsidP="000000B0">
      <w:pPr>
        <w:spacing w:after="120"/>
        <w:ind w:left="1247" w:firstLine="624"/>
      </w:pPr>
      <w:r w:rsidRPr="00376C46">
        <w:rPr>
          <w:i/>
        </w:rPr>
        <w:t>Комитет по рассмотрению химических веществ</w:t>
      </w:r>
      <w:r w:rsidRPr="00376C46">
        <w:t>,</w:t>
      </w:r>
    </w:p>
    <w:p w:rsidR="000000B0" w:rsidRPr="00376C46" w:rsidRDefault="000000B0" w:rsidP="000000B0">
      <w:pPr>
        <w:spacing w:after="120"/>
        <w:ind w:left="1247" w:firstLine="624"/>
      </w:pPr>
      <w:r w:rsidRPr="00376C46">
        <w:rPr>
          <w:i/>
        </w:rPr>
        <w:t>ссылаясь</w:t>
      </w:r>
      <w:r w:rsidRPr="00376C46">
        <w:t xml:space="preserve"> на статью 5 Роттердамской конвенции о процедуре предварительного обоснованного согласия в отношении отдельных опасных химических веществ и пестицидов в международной торговле,</w:t>
      </w:r>
    </w:p>
    <w:p w:rsidR="000000B0" w:rsidRPr="00376C46" w:rsidRDefault="000000B0" w:rsidP="000000B0">
      <w:pPr>
        <w:spacing w:after="120"/>
        <w:ind w:left="1247" w:firstLine="624"/>
      </w:pPr>
      <w:r w:rsidRPr="00376C46">
        <w:t>1.</w:t>
      </w:r>
      <w:r w:rsidRPr="00376C46">
        <w:tab/>
      </w:r>
      <w:r w:rsidRPr="00376C46">
        <w:rPr>
          <w:i/>
        </w:rPr>
        <w:t>заключает</w:t>
      </w:r>
      <w:r w:rsidRPr="00376C46">
        <w:t>, что уведомления об окончательном регламентационном постановлении в отношении ацетохлора, представленные Европейским</w:t>
      </w:r>
      <w:r>
        <w:t xml:space="preserve"> союзом и Буркина</w:t>
      </w:r>
      <w:r>
        <w:noBreakHyphen/>
      </w:r>
      <w:r w:rsidRPr="00376C46">
        <w:t>Фасо, Гамбией, Гвинеей-Бисау, Кабо-Верде, Мавританией, Мали, Нигером, Сенегалом, Того и Чадом соответствуют критериям, изложенным в приложении II к Конвенции</w:t>
      </w:r>
      <w:r w:rsidRPr="00376C46">
        <w:rPr>
          <w:vertAlign w:val="superscript"/>
        </w:rPr>
        <w:footnoteReference w:id="1"/>
      </w:r>
      <w:r w:rsidRPr="00376C46">
        <w:t>;</w:t>
      </w:r>
    </w:p>
    <w:p w:rsidR="000000B0" w:rsidRPr="00376C46" w:rsidRDefault="000000B0" w:rsidP="000000B0">
      <w:pPr>
        <w:spacing w:after="120"/>
        <w:ind w:left="1247" w:firstLine="624"/>
      </w:pPr>
      <w:r w:rsidRPr="00376C46">
        <w:t>2.</w:t>
      </w:r>
      <w:r w:rsidRPr="00376C46">
        <w:tab/>
      </w:r>
      <w:r w:rsidRPr="00376C46">
        <w:rPr>
          <w:i/>
        </w:rPr>
        <w:t>принимает</w:t>
      </w:r>
      <w:r w:rsidRPr="00376C46">
        <w:t xml:space="preserve"> обоснование для заключения Комитета, изложенное в приложении к настоящему решению;</w:t>
      </w:r>
    </w:p>
    <w:p w:rsidR="000000B0" w:rsidRPr="00376C46" w:rsidRDefault="000000B0" w:rsidP="000000B0">
      <w:pPr>
        <w:spacing w:after="120"/>
        <w:ind w:left="1247" w:firstLine="624"/>
      </w:pPr>
      <w:r w:rsidRPr="00376C46">
        <w:t>3.</w:t>
      </w:r>
      <w:r w:rsidRPr="00376C46">
        <w:tab/>
      </w:r>
      <w:r w:rsidRPr="00376C46">
        <w:rPr>
          <w:i/>
        </w:rPr>
        <w:t>рекомендует</w:t>
      </w:r>
      <w:r w:rsidRPr="00376C46">
        <w:t xml:space="preserve"> в соответствии с пунктом 6 статьи 5 Конвенции, чтобы Конференция Сторон включила ацетохлор в приложение III к Конвенции в рамках категории «пестициды»;</w:t>
      </w:r>
    </w:p>
    <w:p w:rsidR="000000B0" w:rsidRPr="00376C46" w:rsidRDefault="000000B0" w:rsidP="000000B0">
      <w:pPr>
        <w:spacing w:after="120"/>
        <w:ind w:left="1247" w:firstLine="624"/>
      </w:pPr>
      <w:r w:rsidRPr="00376C46">
        <w:t>4.</w:t>
      </w:r>
      <w:r w:rsidRPr="00376C46">
        <w:tab/>
      </w:r>
      <w:r w:rsidRPr="00376C46">
        <w:rPr>
          <w:i/>
        </w:rPr>
        <w:t>постановляет</w:t>
      </w:r>
      <w:r w:rsidRPr="00376C46">
        <w:t xml:space="preserve"> в соответствии с пунктом 1 статьи 7 Конвенции подготовить проект документа для содействия принятию решения в отношении ацетохлора;</w:t>
      </w:r>
    </w:p>
    <w:p w:rsidR="000000B0" w:rsidRPr="00376C46" w:rsidRDefault="000000B0" w:rsidP="000000B0">
      <w:pPr>
        <w:spacing w:after="120"/>
        <w:ind w:left="1247" w:firstLine="624"/>
      </w:pPr>
      <w:r w:rsidRPr="00376C46">
        <w:t>5.</w:t>
      </w:r>
      <w:r w:rsidRPr="00376C46">
        <w:tab/>
      </w:r>
      <w:r w:rsidRPr="00376C46">
        <w:rPr>
          <w:i/>
        </w:rPr>
        <w:t>постановляет также</w:t>
      </w:r>
      <w:r w:rsidRPr="00376C46">
        <w:t xml:space="preserve"> в соответствии с процессом подготовки проектов документов для содействия принятию решения, изложенным в решении РК-2/2, с изменениями, внесенными решением РК-6/3, определить состав межсессионной редакционной группы для подготовки проекта документа для содействия принятию решения в отношении ацетохлора и план работы этой группы согласно приложениям II и III, соответственно, к докладу Комитета о работе его тринадцатого совещания.</w:t>
      </w:r>
    </w:p>
    <w:p w:rsidR="000000B0" w:rsidRPr="00704999" w:rsidRDefault="000000B0" w:rsidP="000000B0">
      <w:pPr>
        <w:spacing w:after="120"/>
        <w:ind w:left="1247"/>
        <w:rPr>
          <w:b/>
          <w:sz w:val="24"/>
          <w:szCs w:val="24"/>
        </w:rPr>
      </w:pPr>
      <w:r w:rsidRPr="00704999">
        <w:rPr>
          <w:b/>
          <w:sz w:val="24"/>
          <w:szCs w:val="24"/>
        </w:rPr>
        <w:t>Приложение к решению КРХВ</w:t>
      </w:r>
      <w:r w:rsidRPr="00704999">
        <w:rPr>
          <w:b/>
          <w:sz w:val="24"/>
          <w:szCs w:val="24"/>
        </w:rPr>
        <w:noBreakHyphen/>
        <w:t>13/1</w:t>
      </w:r>
    </w:p>
    <w:p w:rsidR="000000B0" w:rsidRPr="00704999" w:rsidRDefault="000000B0" w:rsidP="000000B0">
      <w:pPr>
        <w:spacing w:after="120"/>
        <w:ind w:left="1247"/>
        <w:rPr>
          <w:b/>
          <w:sz w:val="24"/>
          <w:szCs w:val="24"/>
        </w:rPr>
      </w:pPr>
      <w:r w:rsidRPr="00704999">
        <w:rPr>
          <w:b/>
          <w:sz w:val="24"/>
          <w:szCs w:val="24"/>
        </w:rPr>
        <w:t>Обоснование для заключения Комитета по рассмотрению химических веществ о том, что представленные Буркина-Фасо, Гамбией, Гвинеей</w:t>
      </w:r>
      <w:r w:rsidRPr="00704999">
        <w:rPr>
          <w:b/>
          <w:sz w:val="24"/>
          <w:szCs w:val="24"/>
        </w:rPr>
        <w:noBreakHyphen/>
        <w:t>Бисау, Кабо-Верде, Мавританией, Мали, Нигером, Сенегалом, Того, Чадом и Европейским союзом уведомления об окончательном регламентационном постановлении в отношении ацетохлора (в рамках категории «пестициды») соответствуют критериям, указанным в приложении II к Роттердамской конвенции.</w:t>
      </w:r>
    </w:p>
    <w:p w:rsidR="000000B0" w:rsidRPr="00376C46" w:rsidRDefault="000000B0" w:rsidP="000000B0">
      <w:pPr>
        <w:spacing w:after="120"/>
        <w:ind w:left="1247"/>
      </w:pPr>
      <w:r>
        <w:t>1.</w:t>
      </w:r>
      <w:r>
        <w:tab/>
      </w:r>
      <w:r w:rsidRPr="00376C46">
        <w:t xml:space="preserve">При рассмотрении уведомлений об окончательном регламентационном постановлении Буркина-Фасо, Гамбии, Гвинеи-Бисау, Кабо-Верде, Мавритании, Мали, Нигера, Сенегала, Того, Чада и Европейского союза о запрете применения ацетохлора в качестве пестицида вместе со вспомогательной документацией, представленной указанными Сторонами, Комитетом было подтверждено, что окончательные регламентационные постановления были приняты в целях охраны здоровья человека и окружающей среды. Было сочтено, что уведомления, поступившие от этих Сторон, соответствуют требованиям к информации, установленным в приложении I к Роттердамской конвенции. </w:t>
      </w:r>
    </w:p>
    <w:p w:rsidR="000000B0" w:rsidRPr="00376C46" w:rsidRDefault="000000B0" w:rsidP="000000B0">
      <w:pPr>
        <w:spacing w:after="120"/>
        <w:ind w:left="1247"/>
      </w:pPr>
      <w:r>
        <w:t>2.</w:t>
      </w:r>
      <w:r>
        <w:tab/>
      </w:r>
      <w:r w:rsidRPr="00376C46">
        <w:t>Уведомления и вспомогательная документация были представлены на рассмотрение Комитета в документах UNEP/FAO/RC/CRC.13/2, UNEP/FAO/RC/CRC.13/3, UNEP/FAO/RC/CRC.13/INF/7 и UNEP/FAO/RC/CRC.13/INF/8. Информация о продолжающейся торговле на международном уровне была представлена Европейским союзом и «Кроплайф интернэшнл» и имеется в документе UNEP/FAO/RC/CRC.13/INF/5.</w:t>
      </w:r>
    </w:p>
    <w:p w:rsidR="000000B0" w:rsidRPr="00635BFC" w:rsidRDefault="000000B0" w:rsidP="000000B0">
      <w:pPr>
        <w:keepNext/>
        <w:tabs>
          <w:tab w:val="right" w:pos="851"/>
        </w:tabs>
        <w:spacing w:after="120"/>
        <w:ind w:left="1247" w:right="284" w:hanging="1247"/>
        <w:rPr>
          <w:b/>
          <w:sz w:val="24"/>
          <w:szCs w:val="24"/>
        </w:rPr>
      </w:pPr>
      <w:r>
        <w:rPr>
          <w:b/>
        </w:rPr>
        <w:lastRenderedPageBreak/>
        <w:tab/>
      </w:r>
      <w:r w:rsidRPr="00635BFC">
        <w:rPr>
          <w:b/>
        </w:rPr>
        <w:t>I.</w:t>
      </w:r>
      <w:r w:rsidRPr="00635BFC">
        <w:rPr>
          <w:b/>
        </w:rPr>
        <w:tab/>
      </w:r>
      <w:r w:rsidRPr="00635BFC">
        <w:rPr>
          <w:b/>
          <w:sz w:val="24"/>
          <w:szCs w:val="24"/>
        </w:rPr>
        <w:t>Буркина-Фасо, Гамбия, Гвинея-Бисау, Кабо-Верде, Мавритания, М</w:t>
      </w:r>
      <w:r>
        <w:rPr>
          <w:b/>
          <w:sz w:val="24"/>
          <w:szCs w:val="24"/>
        </w:rPr>
        <w:t>али, Нигер, Сенегал, Того и Чад</w:t>
      </w:r>
      <w:bookmarkStart w:id="1" w:name="_GoBack"/>
      <w:bookmarkEnd w:id="1"/>
    </w:p>
    <w:p w:rsidR="000000B0" w:rsidRPr="00635BFC" w:rsidRDefault="000000B0" w:rsidP="000000B0">
      <w:pPr>
        <w:keepNext/>
        <w:tabs>
          <w:tab w:val="right" w:pos="851"/>
        </w:tabs>
        <w:spacing w:after="120"/>
        <w:ind w:left="1247" w:right="284" w:hanging="1247"/>
        <w:rPr>
          <w:b/>
        </w:rPr>
      </w:pPr>
      <w:r>
        <w:rPr>
          <w:b/>
        </w:rPr>
        <w:tab/>
      </w:r>
      <w:r w:rsidRPr="00635BFC">
        <w:rPr>
          <w:b/>
        </w:rPr>
        <w:t>a)</w:t>
      </w:r>
      <w:r w:rsidRPr="00635BFC">
        <w:rPr>
          <w:b/>
        </w:rPr>
        <w:tab/>
        <w:t>Сфера охвата регламентационного постановления, в отношении которого направлено уведомление</w:t>
      </w:r>
    </w:p>
    <w:p w:rsidR="000000B0" w:rsidRPr="00376C46" w:rsidRDefault="000000B0" w:rsidP="000000B0">
      <w:pPr>
        <w:spacing w:after="120"/>
        <w:ind w:left="1247"/>
      </w:pPr>
      <w:r>
        <w:t>3.</w:t>
      </w:r>
      <w:r>
        <w:tab/>
      </w:r>
      <w:r w:rsidRPr="00376C46">
        <w:t>Регламентационное постановление, в отношение которого уведом</w:t>
      </w:r>
      <w:r>
        <w:t>ление направлено государствами −</w:t>
      </w:r>
      <w:r w:rsidRPr="00376C46">
        <w:t xml:space="preserve"> членами Постоянного межгосударственного комит</w:t>
      </w:r>
      <w:r>
        <w:t>ета по борьбе с засухой в Сахели</w:t>
      </w:r>
      <w:r w:rsidRPr="00376C46">
        <w:t xml:space="preserve"> (КИЛСС), а именно, Буркина-Фасо, Гамбией, Гвинеей-Бисау, Кабо-Верде, Мавританией, Мали, Нигером, Сенегалом, Того и Чадом (далее именуемые «страны КИЛСС»), связано с применением ацетохлора в качестве пестицида. Окончательным регламентационным постановлением, вступившим в силу 20 марта 2017 года, запрещается применение всех пестицидных составов, содержащих ацетохлор, ввиду его потенциальной опасности для здоровья человека и окружающей среды. Импорт, производство для потребления внутри страны, распространение и сбыт также запрещены (UNEP/FAO/RC/CRC.13/3, приложение, часть B, разделы 2.1, 2.2.1 и 2.2.3). </w:t>
      </w:r>
    </w:p>
    <w:p w:rsidR="000000B0" w:rsidRPr="00376C46" w:rsidRDefault="000000B0" w:rsidP="000000B0">
      <w:pPr>
        <w:spacing w:after="120"/>
        <w:ind w:left="1247"/>
      </w:pPr>
      <w:r>
        <w:t>4.</w:t>
      </w:r>
      <w:r>
        <w:tab/>
      </w:r>
      <w:r w:rsidRPr="00376C46">
        <w:t>Установлено, что уведомление соответствует требованиям к информации, предусмотренным в приложении I.</w:t>
      </w:r>
    </w:p>
    <w:p w:rsidR="000000B0" w:rsidRPr="00635BFC" w:rsidRDefault="000000B0" w:rsidP="000000B0">
      <w:pPr>
        <w:tabs>
          <w:tab w:val="right" w:pos="851"/>
        </w:tabs>
        <w:spacing w:after="120"/>
        <w:ind w:left="1247" w:right="284" w:hanging="1247"/>
        <w:rPr>
          <w:b/>
        </w:rPr>
      </w:pPr>
      <w:r>
        <w:rPr>
          <w:b/>
        </w:rPr>
        <w:tab/>
      </w:r>
      <w:r w:rsidRPr="00635BFC">
        <w:rPr>
          <w:b/>
        </w:rPr>
        <w:t>b)</w:t>
      </w:r>
      <w:r w:rsidRPr="00635BFC">
        <w:rPr>
          <w:b/>
        </w:rPr>
        <w:tab/>
        <w:t>Критерий пункта a) приложения II</w:t>
      </w:r>
    </w:p>
    <w:p w:rsidR="000000B0" w:rsidRPr="00CC6C2E" w:rsidRDefault="000000B0" w:rsidP="000000B0">
      <w:pPr>
        <w:spacing w:after="120"/>
        <w:ind w:left="1247"/>
        <w:rPr>
          <w:i/>
        </w:rPr>
      </w:pPr>
      <w:r w:rsidRPr="00CC6C2E">
        <w:rPr>
          <w:i/>
        </w:rPr>
        <w:t>«a)</w:t>
      </w:r>
      <w:r w:rsidRPr="00CC6C2E">
        <w:rPr>
          <w:i/>
        </w:rPr>
        <w:tab/>
        <w:t>подтверждает, что окончательное регламентационное постановление было принято в целях охраны здоровья человека или окружающей среды;»</w:t>
      </w:r>
    </w:p>
    <w:p w:rsidR="000000B0" w:rsidRPr="00376C46" w:rsidRDefault="000000B0" w:rsidP="000000B0">
      <w:pPr>
        <w:spacing w:after="120"/>
        <w:ind w:left="1247"/>
      </w:pPr>
      <w:r>
        <w:t>5.</w:t>
      </w:r>
      <w:r>
        <w:tab/>
      </w:r>
      <w:r w:rsidRPr="00376C46">
        <w:t>Комитетом подтверждается, что регламентационное постановление было принято в целях охраны здоровья человека и окру</w:t>
      </w:r>
      <w:r>
        <w:t>жающей среды (UNEP/FAO/RC/CRC.13/3</w:t>
      </w:r>
      <w:r w:rsidRPr="00376C46">
        <w:t>,</w:t>
      </w:r>
      <w:r>
        <w:t xml:space="preserve"> </w:t>
      </w:r>
      <w:r w:rsidRPr="00376C46">
        <w:t>приложение</w:t>
      </w:r>
      <w:r>
        <w:t>,</w:t>
      </w:r>
      <w:r w:rsidRPr="00376C46">
        <w:t xml:space="preserve"> часть B, разделы 2.4.1 и 2.4.2). </w:t>
      </w:r>
    </w:p>
    <w:p w:rsidR="000000B0" w:rsidRPr="00376C46" w:rsidRDefault="000000B0" w:rsidP="000000B0">
      <w:pPr>
        <w:spacing w:after="120"/>
        <w:ind w:left="1247"/>
      </w:pPr>
      <w:r>
        <w:t>6.</w:t>
      </w:r>
      <w:r>
        <w:tab/>
      </w:r>
      <w:r w:rsidRPr="00376C46">
        <w:t xml:space="preserve">Ацетохлор применяется в качестве пестицида в странах КИЛСС. Ацетохлор применялся в качестве гербицида избирательного действия для обработки кукурузы (UNEP/FAO/RC/CRC.13/3, раздел 2.3.1). В странах КИЛЛС в период между 2010 и 2012 годами были выданы разрешения в отношении нескольких пестицидных составов, содержащих ацетохлор. В 2014 году была проведена рабочая сессия Сахелианского комитета по пестицидам. На основе предложения, </w:t>
      </w:r>
      <w:r>
        <w:t>выдвинутого на рабочей сессии, м</w:t>
      </w:r>
      <w:r w:rsidRPr="00376C46">
        <w:t>инистр-координатор постановил запретить пестицидные составы, содержащие ацетохлор, начиная с 20 марта 2017 года. Сахелианский комитет по пестицидам рекомендовал прекратить выдачу разрешений в отношении пестицидных составов, содержащих ацетохлор, в силу следующих причин:</w:t>
      </w:r>
    </w:p>
    <w:p w:rsidR="000000B0" w:rsidRPr="00376C46" w:rsidRDefault="000000B0" w:rsidP="000000B0">
      <w:pPr>
        <w:pStyle w:val="ListParagraph"/>
        <w:numPr>
          <w:ilvl w:val="0"/>
          <w:numId w:val="1"/>
        </w:numPr>
        <w:spacing w:after="120"/>
        <w:ind w:left="2228" w:hanging="357"/>
        <w:contextualSpacing w:val="0"/>
      </w:pPr>
      <w:r w:rsidRPr="00376C46">
        <w:t>опасность загрязнения водных ресурс</w:t>
      </w:r>
      <w:r>
        <w:t>ов рядом метаболитов, включая т</w:t>
      </w:r>
      <w:r>
        <w:noBreakHyphen/>
      </w:r>
      <w:r w:rsidRPr="00376C46">
        <w:t>н</w:t>
      </w:r>
      <w:r>
        <w:t>орхлоро</w:t>
      </w:r>
      <w:r>
        <w:noBreakHyphen/>
      </w:r>
      <w:r w:rsidRPr="00376C46">
        <w:t>ацетохлор.</w:t>
      </w:r>
    </w:p>
    <w:p w:rsidR="000000B0" w:rsidRPr="00376C46" w:rsidRDefault="000000B0" w:rsidP="000000B0">
      <w:pPr>
        <w:pStyle w:val="ListParagraph"/>
        <w:numPr>
          <w:ilvl w:val="0"/>
          <w:numId w:val="1"/>
        </w:numPr>
        <w:spacing w:after="120"/>
        <w:ind w:left="2228" w:hanging="357"/>
        <w:contextualSpacing w:val="0"/>
      </w:pPr>
      <w:r w:rsidRPr="00376C46">
        <w:t>высокий риск для водных организмов и долгосрочные риски для растительноядных птиц и людей в результате длительного воздействия.</w:t>
      </w:r>
    </w:p>
    <w:p w:rsidR="000000B0" w:rsidRPr="00376C46" w:rsidRDefault="000000B0" w:rsidP="000000B0">
      <w:pPr>
        <w:spacing w:after="120"/>
        <w:ind w:left="1247"/>
      </w:pPr>
      <w:r>
        <w:t>7.</w:t>
      </w:r>
      <w:r>
        <w:tab/>
      </w:r>
      <w:r w:rsidRPr="00376C46">
        <w:t>Кроме того, были приняты во внимание (UNEP/FAO/RC/CRC.13/INF/8):</w:t>
      </w:r>
    </w:p>
    <w:p w:rsidR="000000B0" w:rsidRPr="00376C46" w:rsidRDefault="000000B0" w:rsidP="000000B0">
      <w:pPr>
        <w:pStyle w:val="ListParagraph"/>
        <w:numPr>
          <w:ilvl w:val="0"/>
          <w:numId w:val="2"/>
        </w:numPr>
        <w:spacing w:after="120"/>
        <w:ind w:left="2228" w:hanging="357"/>
        <w:contextualSpacing w:val="0"/>
      </w:pPr>
      <w:r w:rsidRPr="00376C46">
        <w:t>Трудности, с которыми сталкивается местное население в обеспечении надлежащих средств индивидуальной защиты.</w:t>
      </w:r>
    </w:p>
    <w:p w:rsidR="000000B0" w:rsidRPr="00376C46" w:rsidRDefault="000000B0" w:rsidP="000000B0">
      <w:pPr>
        <w:pStyle w:val="ListParagraph"/>
        <w:numPr>
          <w:ilvl w:val="0"/>
          <w:numId w:val="2"/>
        </w:numPr>
        <w:spacing w:after="120"/>
        <w:ind w:left="2228" w:hanging="357"/>
        <w:contextualSpacing w:val="0"/>
      </w:pPr>
      <w:r w:rsidRPr="00376C46">
        <w:t>Хрупкое природное равновесие в странах КИЛСС, для которых характерны проливные дожди и, во многих случаях, почвы с малым содержанием органических веществ, которые в значительной степени подвергаются эрозии и выщелачиванию.</w:t>
      </w:r>
    </w:p>
    <w:p w:rsidR="000000B0" w:rsidRPr="00376C46" w:rsidRDefault="000000B0" w:rsidP="000000B0">
      <w:pPr>
        <w:pStyle w:val="ListParagraph"/>
        <w:numPr>
          <w:ilvl w:val="0"/>
          <w:numId w:val="2"/>
        </w:numPr>
        <w:spacing w:after="120"/>
        <w:ind w:left="2228" w:hanging="357"/>
        <w:contextualSpacing w:val="0"/>
      </w:pPr>
      <w:r w:rsidRPr="00376C46">
        <w:t>Отсутствие системы мер по охране окружающей среды, предусматривающей наличие буферных полос между обрабатываемыми химическими веществами полями и водотоками, использование поверхностных вод в качестве питьевой воды для людей и животных.</w:t>
      </w:r>
    </w:p>
    <w:p w:rsidR="000000B0" w:rsidRPr="00376C46" w:rsidRDefault="000000B0" w:rsidP="000000B0">
      <w:pPr>
        <w:pStyle w:val="ListParagraph"/>
        <w:numPr>
          <w:ilvl w:val="0"/>
          <w:numId w:val="2"/>
        </w:numPr>
        <w:spacing w:after="120"/>
        <w:ind w:left="2228" w:hanging="357"/>
        <w:contextualSpacing w:val="0"/>
      </w:pPr>
      <w:r w:rsidRPr="00376C46">
        <w:lastRenderedPageBreak/>
        <w:t>Использование грунтовых вод в качестве единственного хранилища питьевой воды.</w:t>
      </w:r>
    </w:p>
    <w:p w:rsidR="000000B0" w:rsidRPr="00376C46" w:rsidRDefault="000000B0" w:rsidP="000000B0">
      <w:pPr>
        <w:pStyle w:val="ListParagraph"/>
        <w:numPr>
          <w:ilvl w:val="0"/>
          <w:numId w:val="2"/>
        </w:numPr>
        <w:spacing w:after="120"/>
        <w:ind w:left="2228" w:hanging="357"/>
        <w:contextualSpacing w:val="0"/>
      </w:pPr>
      <w:r w:rsidRPr="00376C46">
        <w:t xml:space="preserve">Наличие альтернатив для применения ацетохлора. </w:t>
      </w:r>
    </w:p>
    <w:p w:rsidR="000000B0" w:rsidRPr="00376C46" w:rsidRDefault="000000B0" w:rsidP="000000B0">
      <w:pPr>
        <w:spacing w:after="120"/>
        <w:ind w:left="1247"/>
      </w:pPr>
      <w:r>
        <w:t>8.</w:t>
      </w:r>
      <w:r>
        <w:tab/>
      </w:r>
      <w:r w:rsidRPr="00376C46">
        <w:t>В 2014 году по рекомендации Сахелианского комитета по пестицидам а</w:t>
      </w:r>
      <w:r>
        <w:t>цетохлор был запрещен решением м</w:t>
      </w:r>
      <w:r w:rsidRPr="00376C46">
        <w:t>инистра-координатора стран КИЛЛС ввиду неприемлемого риска для здоровья населения и неприемлемого риска для водных организмов и растительноядных птиц в окружающей среде, а также ввиду трудностей применения ацетохлора без неприемлемого риска, с которыми сталкиваются пользователи в странах Сахеля. Также упоминаются запрет или ограничения на применение а</w:t>
      </w:r>
      <w:r>
        <w:t>цетохлора в пестицидных составах</w:t>
      </w:r>
      <w:r w:rsidRPr="00376C46">
        <w:t xml:space="preserve"> в ряде других стран, например, в Соединенных Штатах Америки и в Европейском союзе (UNEP/FAO/RC/CRC.13/INF/8).</w:t>
      </w:r>
    </w:p>
    <w:p w:rsidR="000000B0" w:rsidRPr="00376C46" w:rsidRDefault="000000B0" w:rsidP="000000B0">
      <w:pPr>
        <w:spacing w:after="120"/>
        <w:ind w:left="1247"/>
      </w:pPr>
      <w:r>
        <w:t>9.</w:t>
      </w:r>
      <w:r>
        <w:tab/>
      </w:r>
      <w:r w:rsidRPr="00376C46">
        <w:t>В уведомлении и вспомогательной документации указывается на опасность для здоровья человека ввиду высокого риска загрязнения поверхностных и грунтовых вод ацетохлором и его метаболитами.</w:t>
      </w:r>
    </w:p>
    <w:p w:rsidR="000000B0" w:rsidRPr="00376C46" w:rsidRDefault="000000B0" w:rsidP="000000B0">
      <w:pPr>
        <w:spacing w:after="120"/>
        <w:ind w:left="1247"/>
      </w:pPr>
      <w:r>
        <w:t>10.</w:t>
      </w:r>
      <w:r>
        <w:tab/>
      </w:r>
      <w:r w:rsidRPr="00376C46">
        <w:t xml:space="preserve">В Соединенных Штатах Америки из-за опасений по поводу загрязнения грунтовых вод ацетохлор не может применяться в условиях крупнокомковатых почв (например, песчаные почвы с содержанием </w:t>
      </w:r>
      <w:r>
        <w:t>органических веществ менее чем 3 процента</w:t>
      </w:r>
      <w:r w:rsidRPr="00376C46">
        <w:t>), если глубина залегания грунтовых вод составляет менее 30 футов. Ацетохлор не может применяться в системах полива любого вида (включая полив методом затопления) и не может применяться обработкой с самолетов. Ацетохлор не может применяться прямым внесением в воду или в районах, где имеются поверхностные воды. Кроме того, смешивание ацетохлора и наполнение им не должно осуществляться на расстоянии менее 50 футов от поверхностных вод или колодцев, кроме случаев наличия надлежащих мер изолирования или удаления. Все эти меры призваны не допустить попадания ацетохлора в грунтовые воды и (или) поверхностные воды (Соединенные Штаты Америки, Агентство по охране окружающей среды (АООС), 2006 год).</w:t>
      </w:r>
    </w:p>
    <w:p w:rsidR="000000B0" w:rsidRPr="00376C46" w:rsidRDefault="000000B0" w:rsidP="000000B0">
      <w:pPr>
        <w:spacing w:after="120"/>
        <w:ind w:left="1247"/>
      </w:pPr>
      <w:r>
        <w:t>11.</w:t>
      </w:r>
      <w:r>
        <w:tab/>
      </w:r>
      <w:r w:rsidRPr="00376C46">
        <w:t xml:space="preserve">Во вспомогательной документации указывается на невозможность использования в условиях Сахеля таких систем обеспечения охраны окружающей среды, при которых в качестве меры предосторожности соблюдается наличие буферных полос между обрабатываемыми химическими веществами полями и водотоками. </w:t>
      </w:r>
    </w:p>
    <w:p w:rsidR="000000B0" w:rsidRPr="00376C46" w:rsidRDefault="000000B0" w:rsidP="000000B0">
      <w:pPr>
        <w:spacing w:after="120"/>
        <w:ind w:left="1247"/>
      </w:pPr>
      <w:r>
        <w:t>12.</w:t>
      </w:r>
      <w:r>
        <w:tab/>
      </w:r>
      <w:r w:rsidRPr="00376C46">
        <w:t>Полученные методом моделирования значения содержания органического углерода находятся в промежутке между 1,06</w:t>
      </w:r>
      <w:r>
        <w:t xml:space="preserve"> процента</w:t>
      </w:r>
      <w:r w:rsidRPr="00376C46">
        <w:t xml:space="preserve"> и 1,36</w:t>
      </w:r>
      <w:r>
        <w:t xml:space="preserve"> процента</w:t>
      </w:r>
      <w:r w:rsidRPr="00376C46">
        <w:t xml:space="preserve"> для почв в пределах периметра (Direction culture/SN-SOSU</w:t>
      </w:r>
      <w:r>
        <w:t xml:space="preserve">CO, 2008). </w:t>
      </w:r>
      <w:r w:rsidRPr="00376C46">
        <w:t>Среднее значение содержания органического углерода</w:t>
      </w:r>
      <w:r>
        <w:t xml:space="preserve"> в почве вблизи рек равно 1,06 процента </w:t>
      </w:r>
      <w:r w:rsidRPr="00376C46">
        <w:t>(Ouedraogo et al, 2012)</w:t>
      </w:r>
      <w:r>
        <w:t>.</w:t>
      </w:r>
      <w:r w:rsidRPr="00376C46">
        <w:t xml:space="preserve"> Хрупкое природное равновесие в странах КИЛСС в ряде случаев обусловлено проливными дождями и почвами с малым содержанием органических веществ, которые подвергаются эрозии и выщелачиванию. </w:t>
      </w:r>
    </w:p>
    <w:p w:rsidR="000000B0" w:rsidRPr="00376C46" w:rsidRDefault="000000B0" w:rsidP="000000B0">
      <w:pPr>
        <w:spacing w:after="120"/>
        <w:ind w:left="1247"/>
      </w:pPr>
      <w:r>
        <w:t>13.</w:t>
      </w:r>
      <w:r>
        <w:tab/>
      </w:r>
      <w:r w:rsidRPr="00376C46">
        <w:t xml:space="preserve">Результаты моделирования в исследовании Ouedraogo et al. (2012) показали, что ацетохлор обладал очень высоким потенциалом загрязнения поверхностных вод в реальных условиях применения в Буркина-Фасо. </w:t>
      </w:r>
    </w:p>
    <w:p w:rsidR="000000B0" w:rsidRPr="00376C46" w:rsidRDefault="000000B0" w:rsidP="000000B0">
      <w:pPr>
        <w:spacing w:after="120"/>
        <w:ind w:left="1247"/>
      </w:pPr>
      <w:r>
        <w:t>14.</w:t>
      </w:r>
      <w:r>
        <w:tab/>
      </w:r>
      <w:r w:rsidRPr="00376C46">
        <w:t>В исследовании, в рамках которого проводились измерения концентраций пестицидов в двух озерах в Буркина-Фасо, было зарегистрировано наличие ацетохлора в концентрациях до 53,1 мкг/л (Soleri, 2013).</w:t>
      </w:r>
    </w:p>
    <w:p w:rsidR="000000B0" w:rsidRPr="00376C46" w:rsidRDefault="000000B0" w:rsidP="000000B0">
      <w:pPr>
        <w:spacing w:after="120"/>
        <w:ind w:left="1247"/>
      </w:pPr>
      <w:r>
        <w:t>15.</w:t>
      </w:r>
      <w:r>
        <w:tab/>
      </w:r>
      <w:r w:rsidRPr="00376C46">
        <w:t>Поскольку грунтовые и поверхностные воды в странах КИЛСС являются источниками питьевой воды, то их загрязнение приводит к загрязнению питьевой воды. В Буркина-Фасо, например, более чем у половины фермеров (67,5</w:t>
      </w:r>
      <w:r>
        <w:t xml:space="preserve"> процента</w:t>
      </w:r>
      <w:r w:rsidRPr="00376C46">
        <w:t>) имеются источники водоснабжения на их полях или вблизи от них. Большинство источников водоснабжения располагаются на расстоянии менее 100 метров от полей (Toe, 2010). Загрязнение воды пестицидами различными путями может являться результатом близости источников водоснабжения к полям. Вода из таких источников водоснабжения потреблялась людьми в 50</w:t>
      </w:r>
      <w:r>
        <w:t xml:space="preserve"> процентах</w:t>
      </w:r>
      <w:r w:rsidRPr="00376C46">
        <w:t xml:space="preserve"> случаев, использовалась для подготовки или разбавления пестицидов в 29,26</w:t>
      </w:r>
      <w:r>
        <w:t xml:space="preserve"> </w:t>
      </w:r>
      <w:r>
        <w:lastRenderedPageBreak/>
        <w:t>процента</w:t>
      </w:r>
      <w:r w:rsidRPr="00376C46">
        <w:t xml:space="preserve"> случаев и для водопоя</w:t>
      </w:r>
      <w:r>
        <w:t xml:space="preserve"> в 26,96 процента</w:t>
      </w:r>
      <w:r w:rsidRPr="00376C46">
        <w:t xml:space="preserve"> (Toe, 2010), чем и объясняется присутствие ацетохлора в ряде водотоков в Буркина-Фасо (Soleri, 2013).</w:t>
      </w:r>
    </w:p>
    <w:p w:rsidR="000000B0" w:rsidRPr="00376C46" w:rsidRDefault="000000B0" w:rsidP="000000B0">
      <w:pPr>
        <w:spacing w:after="120"/>
        <w:ind w:left="1247"/>
      </w:pPr>
      <w:r>
        <w:t>16.</w:t>
      </w:r>
      <w:r>
        <w:tab/>
      </w:r>
      <w:r w:rsidRPr="00376C46">
        <w:t>Страны КИЛСС пришли к заключению, что применение ацетохлора в качестве пестицида в этих условиях влечет за собой неприемлемый риск для здоровья человека и животных по причине загрязнения питьевой воды.</w:t>
      </w:r>
    </w:p>
    <w:p w:rsidR="000000B0" w:rsidRPr="00376C46" w:rsidRDefault="000000B0" w:rsidP="000000B0">
      <w:pPr>
        <w:spacing w:after="120"/>
        <w:ind w:left="1247"/>
      </w:pPr>
      <w:r>
        <w:t>17.</w:t>
      </w:r>
      <w:r>
        <w:tab/>
      </w:r>
      <w:r w:rsidRPr="00376C46">
        <w:t>В уведомлении и вспомогательной документации также указывалось на опасность для работников.</w:t>
      </w:r>
    </w:p>
    <w:p w:rsidR="000000B0" w:rsidRPr="00376C46" w:rsidRDefault="000000B0" w:rsidP="000000B0">
      <w:pPr>
        <w:spacing w:after="120"/>
        <w:ind w:left="1247"/>
      </w:pPr>
      <w:r>
        <w:t>18.</w:t>
      </w:r>
      <w:r>
        <w:tab/>
      </w:r>
      <w:r w:rsidRPr="00376C46">
        <w:t>Делается ссылка на доклад Европейского органа по безопасности продуктов питания (ЕФСА) (2011 год), в котором указывается, что опасность для здоровья работников усугубляется тем, что расчетные показатели воздействия для применяемых в Европейском сообществе составах имеют более высокие значения (от 1435</w:t>
      </w:r>
      <w:r>
        <w:t xml:space="preserve"> процентов до 5550 процентов</w:t>
      </w:r>
      <w:r w:rsidRPr="00376C46">
        <w:t xml:space="preserve">), чем допустимый уровень воздействия на операторов (ДУВО), несмотря на применение прицепных распылителей и ношение перчаток при </w:t>
      </w:r>
      <w:r>
        <w:t xml:space="preserve">выполнении операций смешивания, </w:t>
      </w:r>
      <w:r w:rsidRPr="00376C46">
        <w:t>погрузки и внесения. Если не применялись средства индивидуальной защиты, то рег</w:t>
      </w:r>
      <w:r>
        <w:t>истрировались значения до 35550 процентов</w:t>
      </w:r>
      <w:r w:rsidRPr="00376C46">
        <w:t xml:space="preserve"> ДУВО.</w:t>
      </w:r>
    </w:p>
    <w:p w:rsidR="000000B0" w:rsidRPr="00376C46" w:rsidRDefault="000000B0" w:rsidP="000000B0">
      <w:pPr>
        <w:spacing w:after="120"/>
        <w:ind w:left="1247"/>
      </w:pPr>
      <w:r>
        <w:t>19.</w:t>
      </w:r>
      <w:r>
        <w:tab/>
      </w:r>
      <w:r w:rsidRPr="00376C46">
        <w:t>В противоположность рекомендуемому в Сое</w:t>
      </w:r>
      <w:r>
        <w:t>диненных Штатах и государствах −</w:t>
      </w:r>
      <w:r w:rsidRPr="00376C46">
        <w:t xml:space="preserve"> членах Европейского союза применению, рекомендуемое применение в странах Сахеля состояло во внесении малых объемов состава (ранцевый распылитель), разбавленного водой, из расчета 2,5</w:t>
      </w:r>
      <w:r>
        <w:noBreakHyphen/>
      </w:r>
      <w:r w:rsidRPr="00376C46">
        <w:t xml:space="preserve">3,5 л/га для обработки </w:t>
      </w:r>
      <w:r>
        <w:t>хлопка. Периодичность внесения −</w:t>
      </w:r>
      <w:r w:rsidRPr="00376C46">
        <w:t xml:space="preserve"> один раз в сельскохозяйственный год. Рекомендованные </w:t>
      </w:r>
      <w:r>
        <w:t>средства индивидуальной защиты −</w:t>
      </w:r>
      <w:r w:rsidRPr="00376C46">
        <w:t xml:space="preserve"> защитные одежда, очки и перчатки.</w:t>
      </w:r>
    </w:p>
    <w:p w:rsidR="000000B0" w:rsidRPr="00376C46" w:rsidRDefault="000000B0" w:rsidP="000000B0">
      <w:pPr>
        <w:spacing w:after="120"/>
        <w:ind w:left="1247"/>
      </w:pPr>
      <w:r>
        <w:t>20.</w:t>
      </w:r>
      <w:r>
        <w:tab/>
      </w:r>
      <w:r w:rsidRPr="00376C46">
        <w:t>В странах КИЛСС имеются трудности с наличием пригодных средств индивидуальной защиты. Фермерами не используются надлежащие средства индивидуальной защиты (Gomgnimbou et al., 2010, Ouedraogo et al., 2009, Toe et al, 2010). Продаваемое фермерам защитное снаряжение в основном представляет собой респираторы, сапоги и перчатки; респираторы используются чаще всего (их используют 40</w:t>
      </w:r>
      <w:r>
        <w:t xml:space="preserve"> процентов</w:t>
      </w:r>
      <w:r w:rsidRPr="00376C46">
        <w:t xml:space="preserve"> фермеров: </w:t>
      </w:r>
      <w:r>
        <w:t>противопылевые респираторы – 39 процентов</w:t>
      </w:r>
      <w:r w:rsidRPr="00376C46">
        <w:t>, респираторы со сменным фильтром - 1</w:t>
      </w:r>
      <w:r w:rsidRPr="00CC6C2E">
        <w:t xml:space="preserve"> </w:t>
      </w:r>
      <w:r>
        <w:t>процент</w:t>
      </w:r>
      <w:r w:rsidRPr="00376C46">
        <w:t>),</w:t>
      </w:r>
      <w:r>
        <w:t xml:space="preserve"> на втором месте − сапоги (28,8 процента</w:t>
      </w:r>
      <w:r w:rsidRPr="00376C46">
        <w:t>), а респираторы и сапоги в сочета</w:t>
      </w:r>
      <w:r>
        <w:t>нии применяются реже всего (4,5</w:t>
      </w:r>
      <w:r w:rsidRPr="00CC6C2E">
        <w:t xml:space="preserve"> </w:t>
      </w:r>
      <w:r>
        <w:t>процента). Всего 12,62</w:t>
      </w:r>
      <w:r w:rsidRPr="00CC6C2E">
        <w:t xml:space="preserve"> </w:t>
      </w:r>
      <w:r>
        <w:t>процента</w:t>
      </w:r>
      <w:r w:rsidRPr="00376C46">
        <w:t xml:space="preserve"> фермеров используют одновременно респ</w:t>
      </w:r>
      <w:r>
        <w:t>ираторы и сапоги, и только 0,93</w:t>
      </w:r>
      <w:r w:rsidRPr="00CC6C2E">
        <w:t xml:space="preserve"> </w:t>
      </w:r>
      <w:r>
        <w:t>процента</w:t>
      </w:r>
      <w:r w:rsidRPr="00376C46">
        <w:t xml:space="preserve"> используют одновременно перчатки, сапоги, комбинезон, респиратор и очки. Респираторы со сменным фильтром используются в сочетании с перчатками, сапогами, комби</w:t>
      </w:r>
      <w:r>
        <w:t>незонами и очками только в 0,31</w:t>
      </w:r>
      <w:r w:rsidRPr="00CC6C2E">
        <w:t xml:space="preserve"> </w:t>
      </w:r>
      <w:r>
        <w:t>процента</w:t>
      </w:r>
      <w:r w:rsidRPr="00376C46">
        <w:t xml:space="preserve"> случаев (Toe, 2010). Людей, не использующих надлежащие средства индивидуальной защиты</w:t>
      </w:r>
      <w:r>
        <w:t>,</w:t>
      </w:r>
      <w:r w:rsidRPr="00376C46">
        <w:t xml:space="preserve"> не следует допускать к проведению обработки, для которой требуется полная защита работников (как в случае с составами на основе ацетохлора). </w:t>
      </w:r>
    </w:p>
    <w:p w:rsidR="000000B0" w:rsidRPr="00376C46" w:rsidRDefault="000000B0" w:rsidP="000000B0">
      <w:pPr>
        <w:spacing w:after="120"/>
        <w:ind w:left="1247"/>
      </w:pPr>
      <w:r>
        <w:t>21.</w:t>
      </w:r>
      <w:r>
        <w:tab/>
      </w:r>
      <w:r w:rsidRPr="00376C46">
        <w:t>В уведомлении и вспомогательной документации также указывалось на следующие риски для окружающей среды:</w:t>
      </w:r>
    </w:p>
    <w:p w:rsidR="000000B0" w:rsidRPr="00376C46" w:rsidRDefault="000000B0" w:rsidP="000000B0">
      <w:pPr>
        <w:spacing w:after="120"/>
        <w:ind w:left="1247"/>
      </w:pPr>
      <w:r>
        <w:t>22.</w:t>
      </w:r>
      <w:r>
        <w:tab/>
      </w:r>
      <w:r w:rsidRPr="00376C46">
        <w:t>Результаты моделирования в исследовании Ouedraogo et al. (2012) показывают, что ацетохлор обладает очень высоким потенциалом загрязнения поверхностных вод при применении для обработки сахарного тростника в Буркина</w:t>
      </w:r>
      <w:r>
        <w:t>-Фасо при норме расхода 3,54 кг </w:t>
      </w:r>
      <w:r w:rsidRPr="00376C46">
        <w:t xml:space="preserve">а.и./га. </w:t>
      </w:r>
    </w:p>
    <w:p w:rsidR="000000B0" w:rsidRPr="00376C46" w:rsidRDefault="000000B0" w:rsidP="000000B0">
      <w:pPr>
        <w:spacing w:after="120"/>
        <w:ind w:left="1247"/>
      </w:pPr>
      <w:r>
        <w:t>23.</w:t>
      </w:r>
      <w:r>
        <w:tab/>
      </w:r>
      <w:r w:rsidRPr="00376C46">
        <w:t>В исследовании, в рамках которого проводились измерения концентраций пестицидов в двух озерах в Буркина-Фасо, было зарегистрировано наличие ацетохлора в концентрациях до 53,1 мкг/л (Soleri, 2013).</w:t>
      </w:r>
    </w:p>
    <w:p w:rsidR="000000B0" w:rsidRPr="00376C46" w:rsidRDefault="000000B0" w:rsidP="000000B0">
      <w:pPr>
        <w:spacing w:after="120"/>
        <w:ind w:left="1247"/>
      </w:pPr>
      <w:r>
        <w:t>24.</w:t>
      </w:r>
      <w:r>
        <w:tab/>
      </w:r>
      <w:r w:rsidRPr="00376C46">
        <w:t>Загрязнение подземных и поверхностных вод в странах КИЛСС может привести к высокому краткосрочному риску для птиц, потребляющих загрязненную воду, в результате послевсходовой обработки.</w:t>
      </w:r>
    </w:p>
    <w:p w:rsidR="000000B0" w:rsidRPr="00376C46" w:rsidRDefault="000000B0" w:rsidP="000000B0">
      <w:pPr>
        <w:spacing w:after="120"/>
        <w:ind w:left="1247"/>
      </w:pPr>
      <w:r>
        <w:t>25.</w:t>
      </w:r>
      <w:r>
        <w:tab/>
      </w:r>
      <w:r w:rsidRPr="00376C46">
        <w:t>Кроме того, указывается потенциально высокий риск для нецелевых наземных растений и высокий уровень риска в долгосрочной перспективе для растительноядных птиц.</w:t>
      </w:r>
    </w:p>
    <w:p w:rsidR="000000B0" w:rsidRPr="00376C46" w:rsidRDefault="000000B0" w:rsidP="000000B0">
      <w:pPr>
        <w:spacing w:after="120"/>
        <w:ind w:left="1247"/>
      </w:pPr>
      <w:r>
        <w:lastRenderedPageBreak/>
        <w:t>26.</w:t>
      </w:r>
      <w:r>
        <w:tab/>
      </w:r>
      <w:r w:rsidRPr="00376C46">
        <w:t>В уведомлении указывается, что окончательным регламентационным постановлением запрещаются все виды применения содержащих ацетохлор составов после 20 марта 2017 года, что, как ожидается, приведет к значительному уменьшению объема потребления данного химического вещества, в результате чего произойдет значительное уменьшение риска для здоровья человека и окружающей среды.</w:t>
      </w:r>
    </w:p>
    <w:p w:rsidR="000000B0" w:rsidRPr="00376C46" w:rsidRDefault="000000B0" w:rsidP="000000B0">
      <w:pPr>
        <w:spacing w:after="120"/>
        <w:ind w:left="1247"/>
      </w:pPr>
      <w:r>
        <w:t>27.</w:t>
      </w:r>
      <w:r>
        <w:tab/>
      </w:r>
      <w:r w:rsidRPr="00376C46">
        <w:t>Комитетом подтверждается соответствие</w:t>
      </w:r>
      <w:r>
        <w:t xml:space="preserve"> критерию, указанному в пункте </w:t>
      </w:r>
      <w:r w:rsidRPr="00376C46">
        <w:t>a).</w:t>
      </w:r>
    </w:p>
    <w:p w:rsidR="000000B0" w:rsidRPr="00CC6C2E" w:rsidRDefault="000000B0" w:rsidP="000000B0">
      <w:pPr>
        <w:tabs>
          <w:tab w:val="right" w:pos="851"/>
        </w:tabs>
        <w:spacing w:after="120"/>
        <w:ind w:left="1247" w:right="284" w:hanging="1247"/>
        <w:rPr>
          <w:b/>
        </w:rPr>
      </w:pPr>
      <w:r>
        <w:rPr>
          <w:b/>
        </w:rPr>
        <w:tab/>
      </w:r>
      <w:r w:rsidRPr="00CC6C2E">
        <w:rPr>
          <w:b/>
        </w:rPr>
        <w:t>c)</w:t>
      </w:r>
      <w:r w:rsidRPr="00CC6C2E">
        <w:rPr>
          <w:b/>
        </w:rPr>
        <w:tab/>
        <w:t>Критерии пункта b) приложения II</w:t>
      </w:r>
    </w:p>
    <w:p w:rsidR="000000B0" w:rsidRPr="00CC6C2E" w:rsidRDefault="000000B0" w:rsidP="000000B0">
      <w:pPr>
        <w:spacing w:after="120"/>
        <w:ind w:left="1247" w:firstLine="624"/>
        <w:rPr>
          <w:i/>
        </w:rPr>
      </w:pPr>
      <w:r>
        <w:tab/>
      </w:r>
      <w:r w:rsidRPr="00CC6C2E">
        <w:rPr>
          <w:i/>
        </w:rPr>
        <w:t>«b)</w:t>
      </w:r>
      <w:r w:rsidRPr="00CC6C2E">
        <w:rPr>
          <w:i/>
        </w:rPr>
        <w:tab/>
        <w:t>устанавливает, что окончательное регламентационное постановление было принято на основе результатов оценки рисков. Эта оценка должна основываться на обзоре научных данных в контексте условий, преобладающих в соответствующей Стороне. Для этой цели из представляемой документации должно явствовать, что:</w:t>
      </w:r>
    </w:p>
    <w:p w:rsidR="000000B0" w:rsidRPr="00CC6C2E" w:rsidRDefault="000000B0" w:rsidP="000000B0">
      <w:pPr>
        <w:spacing w:after="120"/>
        <w:ind w:left="1871" w:firstLine="624"/>
        <w:rPr>
          <w:i/>
        </w:rPr>
      </w:pPr>
      <w:r>
        <w:rPr>
          <w:i/>
        </w:rPr>
        <w:tab/>
        <w:t>i)</w:t>
      </w:r>
      <w:r>
        <w:rPr>
          <w:i/>
        </w:rPr>
        <w:tab/>
      </w:r>
      <w:r w:rsidRPr="00CC6C2E">
        <w:rPr>
          <w:i/>
        </w:rPr>
        <w:t>данные получены с помощью научно признанных методов;</w:t>
      </w:r>
    </w:p>
    <w:p w:rsidR="000000B0" w:rsidRPr="00CC6C2E" w:rsidRDefault="000000B0" w:rsidP="000000B0">
      <w:pPr>
        <w:spacing w:after="120"/>
        <w:ind w:left="3119" w:hanging="624"/>
        <w:rPr>
          <w:i/>
        </w:rPr>
      </w:pPr>
      <w:r>
        <w:rPr>
          <w:i/>
        </w:rPr>
        <w:t>ii)</w:t>
      </w:r>
      <w:r>
        <w:rPr>
          <w:i/>
        </w:rPr>
        <w:tab/>
      </w:r>
      <w:r w:rsidRPr="00CC6C2E">
        <w:rPr>
          <w:i/>
        </w:rPr>
        <w:t>обзоры данных проведены и документально оформлены с соблюдением общепризнанных научных принципов и процедур;»</w:t>
      </w:r>
    </w:p>
    <w:p w:rsidR="000000B0" w:rsidRPr="00376C46" w:rsidRDefault="000000B0" w:rsidP="000000B0">
      <w:pPr>
        <w:spacing w:after="120"/>
        <w:ind w:left="1247"/>
      </w:pPr>
      <w:r>
        <w:t>28.</w:t>
      </w:r>
      <w:r>
        <w:tab/>
      </w:r>
      <w:r w:rsidRPr="00376C46">
        <w:t>В уведомлениях стран КИЛСС была принята во внимание научная информация из различных источников. В приложении к решению о запрете ацетохлора приводятся ссылки на ряд национальных докладов, а также доклады АООС США, ЕФСА и публикации в рецензируемых научных журналах.</w:t>
      </w:r>
    </w:p>
    <w:p w:rsidR="000000B0" w:rsidRPr="00376C46" w:rsidRDefault="000000B0" w:rsidP="000000B0">
      <w:pPr>
        <w:spacing w:after="120"/>
        <w:ind w:left="1247"/>
      </w:pPr>
      <w:r>
        <w:t>29.</w:t>
      </w:r>
      <w:r>
        <w:tab/>
      </w:r>
      <w:r w:rsidRPr="00376C46">
        <w:t>Комитетом делается заключение, что содержащиеся в представленной странами КИЛЛС вспомогательной документации данные получены с помощью научно признанных методов и что обзоры данных проведены и документально оформлены с соблюдением общепризнанных научных принципов и процедур.</w:t>
      </w:r>
    </w:p>
    <w:p w:rsidR="000000B0" w:rsidRPr="00376C46" w:rsidRDefault="000000B0" w:rsidP="000000B0">
      <w:pPr>
        <w:keepNext/>
        <w:spacing w:after="120"/>
        <w:ind w:left="1247"/>
      </w:pPr>
      <w:r>
        <w:t>30.</w:t>
      </w:r>
      <w:r>
        <w:tab/>
      </w:r>
      <w:r w:rsidRPr="00376C46">
        <w:t>Следовательно, Комитетом подтверждается соответствие критериям, указанным в подпунктах b) i) и b) ii).</w:t>
      </w:r>
    </w:p>
    <w:p w:rsidR="000000B0" w:rsidRPr="00CC6C2E" w:rsidRDefault="000000B0" w:rsidP="000000B0">
      <w:pPr>
        <w:spacing w:after="120"/>
        <w:ind w:left="3120" w:hanging="624"/>
        <w:rPr>
          <w:i/>
        </w:rPr>
      </w:pPr>
      <w:r w:rsidRPr="00CC6C2E">
        <w:rPr>
          <w:i/>
        </w:rPr>
        <w:t>«iii)</w:t>
      </w:r>
      <w:r w:rsidRPr="00CC6C2E">
        <w:rPr>
          <w:i/>
        </w:rPr>
        <w:tab/>
        <w:t>окончательное регламентационное постановление основано на результатах оценки рисков с учетом преобладающих условий в Стороне, принимающей постановление;»</w:t>
      </w:r>
    </w:p>
    <w:p w:rsidR="000000B0" w:rsidRPr="00376C46" w:rsidRDefault="000000B0" w:rsidP="000000B0">
      <w:pPr>
        <w:spacing w:after="120"/>
        <w:ind w:left="1247"/>
      </w:pPr>
      <w:r>
        <w:t>31.</w:t>
      </w:r>
      <w:r>
        <w:tab/>
      </w:r>
      <w:r w:rsidRPr="00376C46">
        <w:t>Окончательное регламентационное постановление о запрете ацетохлора было основано на результатах оценки рисков. Странами КИЛСС установлено, что ацетохлор представляет опасность для здоровья человека и окружающей среды, что создает серьезные трудности для пользователей в странах КИЛСС при применении ацетохлора без неприемлемого риска. Опасность для здоровья человека (в результате загрязнения грунтовых и поверхностных вод, которые в одинаковой мере используются для питья), работников (ввиду отсутствия достаточных мер индивидуальной защиты) и окружающей среды (в силу присущих веществу свойств, риска загрязнения воды и конкретных условий в райо</w:t>
      </w:r>
      <w:r>
        <w:t>не Сахеля) существенно затрудняе</w:t>
      </w:r>
      <w:r w:rsidRPr="00376C46">
        <w:t>т безопасное применение ацетохлора.</w:t>
      </w:r>
    </w:p>
    <w:p w:rsidR="000000B0" w:rsidRPr="00376C46" w:rsidRDefault="000000B0" w:rsidP="000000B0">
      <w:pPr>
        <w:spacing w:after="120"/>
        <w:ind w:left="1247"/>
      </w:pPr>
      <w:r>
        <w:t>32.</w:t>
      </w:r>
      <w:r>
        <w:tab/>
      </w:r>
      <w:r w:rsidRPr="00376C46">
        <w:t xml:space="preserve">В оценке рисков учтены условия в уведомляющих Сторонах, например, условия применения вещества, наличие средств индивидуальной защиты, и региональные экологические условия. </w:t>
      </w:r>
    </w:p>
    <w:p w:rsidR="000000B0" w:rsidRPr="00376C46" w:rsidRDefault="000000B0" w:rsidP="000000B0">
      <w:pPr>
        <w:spacing w:after="120"/>
        <w:ind w:left="1247"/>
      </w:pPr>
      <w:r>
        <w:t>33.</w:t>
      </w:r>
      <w:r>
        <w:tab/>
      </w:r>
      <w:r w:rsidRPr="00376C46">
        <w:t>Следовательно, Комитетом подтверждается соответствие критерию, указанному в пункте b) iii).</w:t>
      </w:r>
    </w:p>
    <w:p w:rsidR="000000B0" w:rsidRPr="00376C46" w:rsidRDefault="000000B0" w:rsidP="000000B0">
      <w:pPr>
        <w:spacing w:after="120"/>
        <w:ind w:left="1247"/>
      </w:pPr>
      <w:r>
        <w:t>34.</w:t>
      </w:r>
      <w:r>
        <w:tab/>
      </w:r>
      <w:r w:rsidRPr="00376C46">
        <w:t>Комитетом подтверждается соответствие</w:t>
      </w:r>
      <w:r>
        <w:t xml:space="preserve"> критериям, указанным в пункте </w:t>
      </w:r>
      <w:r w:rsidRPr="00376C46">
        <w:t>b).</w:t>
      </w:r>
    </w:p>
    <w:p w:rsidR="000000B0" w:rsidRPr="00CC6C2E" w:rsidRDefault="000000B0" w:rsidP="000000B0">
      <w:pPr>
        <w:tabs>
          <w:tab w:val="right" w:pos="851"/>
        </w:tabs>
        <w:spacing w:after="120"/>
        <w:ind w:left="1247" w:right="284" w:hanging="1247"/>
        <w:rPr>
          <w:b/>
        </w:rPr>
      </w:pPr>
      <w:r>
        <w:rPr>
          <w:b/>
        </w:rPr>
        <w:tab/>
      </w:r>
      <w:r w:rsidRPr="00CC6C2E">
        <w:rPr>
          <w:b/>
        </w:rPr>
        <w:t>d)</w:t>
      </w:r>
      <w:r w:rsidRPr="00CC6C2E">
        <w:rPr>
          <w:b/>
        </w:rPr>
        <w:tab/>
        <w:t>Критерии пункта c) приложения II</w:t>
      </w:r>
    </w:p>
    <w:p w:rsidR="000000B0" w:rsidRPr="00651737" w:rsidRDefault="000000B0" w:rsidP="000000B0">
      <w:pPr>
        <w:spacing w:after="120"/>
        <w:ind w:left="1247" w:firstLine="624"/>
        <w:rPr>
          <w:i/>
        </w:rPr>
      </w:pPr>
      <w:r>
        <w:tab/>
      </w:r>
      <w:r w:rsidRPr="00651737">
        <w:rPr>
          <w:i/>
        </w:rPr>
        <w:t>«c)</w:t>
      </w:r>
      <w:r w:rsidRPr="00651737">
        <w:rPr>
          <w:i/>
        </w:rPr>
        <w:tab/>
        <w:t>определяет, обеспечивает ли окончательное регламентационное постановление достаточно широкую основу для включения химического вещества в приложение III с учетом следующего:</w:t>
      </w:r>
    </w:p>
    <w:p w:rsidR="000000B0" w:rsidRPr="00651737" w:rsidRDefault="000000B0" w:rsidP="000000B0">
      <w:pPr>
        <w:spacing w:after="120"/>
        <w:ind w:left="3120" w:hanging="624"/>
        <w:rPr>
          <w:i/>
        </w:rPr>
      </w:pPr>
      <w:r>
        <w:t>«</w:t>
      </w:r>
      <w:r>
        <w:rPr>
          <w:i/>
        </w:rPr>
        <w:t>i)</w:t>
      </w:r>
      <w:r w:rsidRPr="00651737">
        <w:rPr>
          <w:i/>
        </w:rPr>
        <w:tab/>
        <w:t xml:space="preserve">привело ли или, как ожидается, приведет ли принятие окончательного регламентационного постановления к значительному сокращению </w:t>
      </w:r>
      <w:r w:rsidRPr="00651737">
        <w:rPr>
          <w:i/>
        </w:rPr>
        <w:lastRenderedPageBreak/>
        <w:t>объема потребления данного химического вещества или числа видов его применения;»</w:t>
      </w:r>
    </w:p>
    <w:p w:rsidR="000000B0" w:rsidRPr="00376C46" w:rsidRDefault="000000B0" w:rsidP="000000B0">
      <w:pPr>
        <w:spacing w:after="120"/>
        <w:ind w:left="1247"/>
      </w:pPr>
      <w:r>
        <w:t>35.</w:t>
      </w:r>
      <w:r>
        <w:tab/>
      </w:r>
      <w:r w:rsidRPr="00376C46">
        <w:t xml:space="preserve">Применение ацетохлора запрещено окончательным регламентационным постановлением, которым запрещаются все содержащие ацетохлор пестицидные составы. </w:t>
      </w:r>
    </w:p>
    <w:p w:rsidR="000000B0" w:rsidRPr="00376C46" w:rsidRDefault="000000B0" w:rsidP="000000B0">
      <w:pPr>
        <w:spacing w:after="120"/>
        <w:ind w:left="1247"/>
      </w:pPr>
      <w:r>
        <w:t>36.</w:t>
      </w:r>
      <w:r>
        <w:tab/>
      </w:r>
      <w:r w:rsidRPr="00376C46">
        <w:t>Предполагается, что</w:t>
      </w:r>
      <w:r>
        <w:t>,</w:t>
      </w:r>
      <w:r w:rsidRPr="00376C46">
        <w:t xml:space="preserve"> поскольку регламентационным постановлением запрещается применение ацетохлора в качестве пестицида, регламентационное постановление приведет к значительному уменьшению количества применяемого химического вещества.</w:t>
      </w:r>
    </w:p>
    <w:p w:rsidR="000000B0" w:rsidRPr="00376C46" w:rsidRDefault="000000B0" w:rsidP="000000B0">
      <w:pPr>
        <w:spacing w:after="120"/>
        <w:ind w:left="1247"/>
      </w:pPr>
      <w:r>
        <w:t>37.</w:t>
      </w:r>
      <w:r>
        <w:tab/>
      </w:r>
      <w:r w:rsidRPr="00376C46">
        <w:t>По этой причине Комитетом де</w:t>
      </w:r>
      <w:r>
        <w:t>лается заключение о соответствии</w:t>
      </w:r>
      <w:r w:rsidRPr="00376C46">
        <w:t xml:space="preserve"> критерию, изложенному в пункте c) i).</w:t>
      </w:r>
    </w:p>
    <w:p w:rsidR="000000B0" w:rsidRPr="00651737" w:rsidRDefault="000000B0" w:rsidP="000000B0">
      <w:pPr>
        <w:spacing w:after="120"/>
        <w:ind w:left="3120" w:hanging="624"/>
        <w:rPr>
          <w:i/>
        </w:rPr>
      </w:pPr>
      <w:r>
        <w:rPr>
          <w:i/>
        </w:rPr>
        <w:t>«ii</w:t>
      </w:r>
      <w:r>
        <w:rPr>
          <w:i/>
        </w:rPr>
        <w:tab/>
      </w:r>
      <w:r w:rsidRPr="00651737">
        <w:rPr>
          <w:i/>
        </w:rPr>
        <w:t xml:space="preserve"> привело ли окончательное регламентационное постановление к фактическому уменьшению или, как ожидается, к значительному уменьшению риска для здоровья человека и окружающей среды в Стороне, которая представила уведомление;»</w:t>
      </w:r>
    </w:p>
    <w:p w:rsidR="000000B0" w:rsidRPr="00376C46" w:rsidRDefault="000000B0" w:rsidP="000000B0">
      <w:pPr>
        <w:spacing w:after="120"/>
        <w:ind w:left="1247"/>
      </w:pPr>
      <w:r>
        <w:t>38.</w:t>
      </w:r>
      <w:r>
        <w:tab/>
      </w:r>
      <w:r w:rsidRPr="00376C46">
        <w:t>Поскольку регламентационное постановление о запрещении применения содержащих ацетохлор пестицидов, как ожидается, приведет к существенному уменьшению количества применяемого химического вещества, ожидается также, что будут существенно уменьшены риски для окружающей среды.</w:t>
      </w:r>
    </w:p>
    <w:p w:rsidR="000000B0" w:rsidRPr="00376C46" w:rsidRDefault="000000B0" w:rsidP="000000B0">
      <w:pPr>
        <w:spacing w:after="120"/>
        <w:ind w:left="1247"/>
      </w:pPr>
      <w:r>
        <w:t>39.</w:t>
      </w:r>
      <w:r>
        <w:tab/>
      </w:r>
      <w:r w:rsidRPr="00376C46">
        <w:t>По этой причине Комитетом делается заключение о соответстви</w:t>
      </w:r>
      <w:r>
        <w:t>и</w:t>
      </w:r>
      <w:r w:rsidRPr="00376C46">
        <w:t xml:space="preserve"> критерию, изложенному в пункте c) ii).</w:t>
      </w:r>
    </w:p>
    <w:p w:rsidR="000000B0" w:rsidRPr="00651737" w:rsidRDefault="000000B0" w:rsidP="000000B0">
      <w:pPr>
        <w:spacing w:after="120"/>
        <w:ind w:left="3120" w:hanging="624"/>
        <w:rPr>
          <w:i/>
        </w:rPr>
      </w:pPr>
      <w:r w:rsidRPr="00651737">
        <w:rPr>
          <w:i/>
        </w:rPr>
        <w:t>«iii)</w:t>
      </w:r>
      <w:r w:rsidRPr="00651737">
        <w:rPr>
          <w:i/>
        </w:rPr>
        <w:tab/>
        <w:t>являются ли соображения, послужившие основой для принятия окончательного регламентационного постановления, применимыми лишь в ограниченном географическом регионе или в других ограниченных обстоятельствах;»</w:t>
      </w:r>
    </w:p>
    <w:p w:rsidR="000000B0" w:rsidRPr="00376C46" w:rsidRDefault="000000B0" w:rsidP="000000B0">
      <w:pPr>
        <w:spacing w:after="120"/>
        <w:ind w:left="1247"/>
      </w:pPr>
      <w:r>
        <w:t>40.</w:t>
      </w:r>
      <w:r>
        <w:tab/>
      </w:r>
      <w:r w:rsidRPr="00376C46">
        <w:t>В уведомлении указывается, что применение содержащих ацетохлор пестицидов может являться причиной возникновения аналогичных проблем для здоровья человека и для окружающей среды в других странах. Комитетом делается заключение, что другие страны могут сталкиваться с аналогичными проблемами.</w:t>
      </w:r>
    </w:p>
    <w:p w:rsidR="000000B0" w:rsidRPr="00376C46" w:rsidRDefault="000000B0" w:rsidP="000000B0">
      <w:pPr>
        <w:keepNext/>
        <w:spacing w:after="120"/>
        <w:ind w:left="1247"/>
      </w:pPr>
      <w:r>
        <w:t>41.</w:t>
      </w:r>
      <w:r>
        <w:tab/>
      </w:r>
      <w:r w:rsidRPr="00376C46">
        <w:t>По этой причине Комитетом де</w:t>
      </w:r>
      <w:r>
        <w:t>лается заключение о соответствии</w:t>
      </w:r>
      <w:r w:rsidRPr="00376C46">
        <w:t xml:space="preserve"> критерию, изложенному в пункте c) iii). </w:t>
      </w:r>
    </w:p>
    <w:p w:rsidR="000000B0" w:rsidRPr="00651737" w:rsidRDefault="000000B0" w:rsidP="000000B0">
      <w:pPr>
        <w:spacing w:after="120"/>
        <w:ind w:left="3120" w:hanging="624"/>
        <w:rPr>
          <w:i/>
        </w:rPr>
      </w:pPr>
      <w:r w:rsidRPr="00651737">
        <w:rPr>
          <w:i/>
        </w:rPr>
        <w:t>«iv)</w:t>
      </w:r>
      <w:r w:rsidRPr="00651737">
        <w:rPr>
          <w:i/>
        </w:rPr>
        <w:tab/>
        <w:t>имеются ли факты продолжающейся торговли этим химическим веществом на международном уровне;»</w:t>
      </w:r>
    </w:p>
    <w:p w:rsidR="000000B0" w:rsidRPr="00376C46" w:rsidRDefault="000000B0" w:rsidP="000000B0">
      <w:pPr>
        <w:spacing w:after="120"/>
        <w:ind w:left="1247"/>
      </w:pPr>
      <w:r>
        <w:t>42.</w:t>
      </w:r>
      <w:r>
        <w:tab/>
      </w:r>
      <w:r w:rsidRPr="00376C46">
        <w:t xml:space="preserve">В уведомлении стран КИЛЛС отсутствует информация о расчетном количестве произведенного, импортированного, экспортированного и использованного ацетохлора. </w:t>
      </w:r>
    </w:p>
    <w:p w:rsidR="000000B0" w:rsidRPr="00376C46" w:rsidRDefault="000000B0" w:rsidP="000000B0">
      <w:pPr>
        <w:spacing w:after="120"/>
        <w:ind w:left="1247"/>
      </w:pPr>
      <w:r>
        <w:t>43.</w:t>
      </w:r>
      <w:r>
        <w:tab/>
      </w:r>
      <w:r w:rsidRPr="00376C46">
        <w:t>Вместе с тем поступившая в секретариат информация свидетельствует о том, что международная торговля ацетохлором продолжается (UNEP/FAO/RC/CRC.13/INF/5).</w:t>
      </w:r>
    </w:p>
    <w:p w:rsidR="000000B0" w:rsidRPr="00376C46" w:rsidRDefault="000000B0" w:rsidP="000000B0">
      <w:pPr>
        <w:spacing w:after="120"/>
        <w:ind w:left="1247"/>
      </w:pPr>
      <w:r>
        <w:t>44.</w:t>
      </w:r>
      <w:r>
        <w:tab/>
      </w:r>
      <w:r w:rsidRPr="00376C46">
        <w:t>По этой причине Комитетом делается заключение о соответстви</w:t>
      </w:r>
      <w:r>
        <w:t>и</w:t>
      </w:r>
      <w:r w:rsidRPr="00376C46">
        <w:t xml:space="preserve"> критерию, изложенному в пункте c) iv).</w:t>
      </w:r>
    </w:p>
    <w:p w:rsidR="000000B0" w:rsidRPr="00651737" w:rsidRDefault="000000B0" w:rsidP="000000B0">
      <w:pPr>
        <w:tabs>
          <w:tab w:val="right" w:pos="851"/>
        </w:tabs>
        <w:spacing w:after="120"/>
        <w:ind w:left="1247" w:right="284" w:hanging="1247"/>
        <w:rPr>
          <w:b/>
        </w:rPr>
      </w:pPr>
      <w:r>
        <w:rPr>
          <w:b/>
        </w:rPr>
        <w:tab/>
      </w:r>
      <w:r w:rsidRPr="00651737">
        <w:rPr>
          <w:b/>
        </w:rPr>
        <w:t>e)</w:t>
      </w:r>
      <w:r w:rsidRPr="00651737">
        <w:rPr>
          <w:b/>
        </w:rPr>
        <w:tab/>
        <w:t>Критерий пункта d) приложения II</w:t>
      </w:r>
    </w:p>
    <w:p w:rsidR="000000B0" w:rsidRPr="00651737" w:rsidRDefault="000000B0" w:rsidP="000000B0">
      <w:pPr>
        <w:spacing w:after="120"/>
        <w:ind w:left="1248" w:firstLine="624"/>
        <w:rPr>
          <w:i/>
        </w:rPr>
      </w:pPr>
      <w:r w:rsidRPr="00651737">
        <w:rPr>
          <w:i/>
        </w:rPr>
        <w:t>«d)</w:t>
      </w:r>
      <w:r w:rsidRPr="00651737">
        <w:rPr>
          <w:i/>
        </w:rPr>
        <w:tab/>
        <w:t>учитывает, что преднамеренное неправильное использование не является само по себе достаточным основанием для включения химического вещества в приложение III.»</w:t>
      </w:r>
    </w:p>
    <w:p w:rsidR="000000B0" w:rsidRPr="00376C46" w:rsidRDefault="000000B0" w:rsidP="000000B0">
      <w:pPr>
        <w:spacing w:after="120"/>
        <w:ind w:left="1247"/>
      </w:pPr>
      <w:r>
        <w:t>45.</w:t>
      </w:r>
      <w:r>
        <w:tab/>
      </w:r>
      <w:r w:rsidRPr="00376C46">
        <w:t xml:space="preserve">В уведомлении отсутствует указание на то, что причиной для принятия регламентационного постановления послужили опасения по поводу преднамеренного неправильного использования. </w:t>
      </w:r>
    </w:p>
    <w:p w:rsidR="000000B0" w:rsidRPr="00376C46" w:rsidRDefault="000000B0" w:rsidP="000000B0">
      <w:pPr>
        <w:spacing w:after="120"/>
        <w:ind w:left="1247"/>
      </w:pPr>
      <w:r>
        <w:t>46.</w:t>
      </w:r>
      <w:r>
        <w:tab/>
      </w:r>
      <w:r w:rsidRPr="00376C46">
        <w:t>По этой причине Комитетом подтверждается соответствие критерию, указанному в пункте d).</w:t>
      </w:r>
    </w:p>
    <w:p w:rsidR="000000B0" w:rsidRPr="00651737" w:rsidRDefault="000000B0" w:rsidP="000000B0">
      <w:pPr>
        <w:tabs>
          <w:tab w:val="right" w:pos="851"/>
        </w:tabs>
        <w:spacing w:after="120"/>
        <w:ind w:left="1247" w:right="284" w:hanging="1247"/>
        <w:rPr>
          <w:b/>
        </w:rPr>
      </w:pPr>
      <w:r>
        <w:rPr>
          <w:b/>
        </w:rPr>
        <w:tab/>
      </w:r>
      <w:r w:rsidRPr="00651737">
        <w:rPr>
          <w:b/>
        </w:rPr>
        <w:t>f)</w:t>
      </w:r>
      <w:r w:rsidRPr="00651737">
        <w:rPr>
          <w:b/>
        </w:rPr>
        <w:tab/>
        <w:t>Заключение</w:t>
      </w:r>
    </w:p>
    <w:p w:rsidR="000000B0" w:rsidRPr="00376C46" w:rsidRDefault="000000B0" w:rsidP="000000B0">
      <w:pPr>
        <w:spacing w:after="240"/>
        <w:ind w:left="1247"/>
      </w:pPr>
      <w:r>
        <w:lastRenderedPageBreak/>
        <w:t>47.</w:t>
      </w:r>
      <w:r>
        <w:tab/>
      </w:r>
      <w:r w:rsidRPr="00376C46">
        <w:t>Комитетом делается заключение, что представленные</w:t>
      </w:r>
      <w:r>
        <w:t xml:space="preserve"> Буркина-Фасо, Гамбией, Гвинеей</w:t>
      </w:r>
      <w:r>
        <w:noBreakHyphen/>
      </w:r>
      <w:r w:rsidRPr="00376C46">
        <w:t>Бисау, Кабо-Верде, Мавританией, Мали, Нигером, Сенегалом, Того и Чадом уведомления об окончательном регламентационном постановлении соответствуют критериям, изложенным в приложении II к Конвенции.</w:t>
      </w:r>
    </w:p>
    <w:p w:rsidR="000000B0" w:rsidRPr="00651737" w:rsidRDefault="000000B0" w:rsidP="000000B0">
      <w:pPr>
        <w:tabs>
          <w:tab w:val="right" w:pos="851"/>
        </w:tabs>
        <w:spacing w:after="120"/>
        <w:ind w:left="1247" w:right="284" w:hanging="1247"/>
        <w:rPr>
          <w:b/>
          <w:sz w:val="28"/>
          <w:szCs w:val="28"/>
        </w:rPr>
      </w:pPr>
      <w:r w:rsidRPr="00651737">
        <w:rPr>
          <w:b/>
          <w:sz w:val="28"/>
          <w:szCs w:val="28"/>
        </w:rPr>
        <w:tab/>
        <w:t>II.</w:t>
      </w:r>
      <w:r w:rsidRPr="00651737">
        <w:rPr>
          <w:b/>
          <w:sz w:val="28"/>
          <w:szCs w:val="28"/>
        </w:rPr>
        <w:tab/>
        <w:t xml:space="preserve">Европейский союз </w:t>
      </w:r>
    </w:p>
    <w:p w:rsidR="000000B0" w:rsidRPr="00651737" w:rsidRDefault="000000B0" w:rsidP="000000B0">
      <w:pPr>
        <w:tabs>
          <w:tab w:val="right" w:pos="851"/>
        </w:tabs>
        <w:spacing w:after="120"/>
        <w:ind w:left="1247" w:right="284" w:hanging="1247"/>
        <w:rPr>
          <w:b/>
        </w:rPr>
      </w:pPr>
      <w:r>
        <w:rPr>
          <w:b/>
        </w:rPr>
        <w:tab/>
      </w:r>
      <w:r w:rsidRPr="00651737">
        <w:rPr>
          <w:b/>
        </w:rPr>
        <w:t>a)</w:t>
      </w:r>
      <w:r w:rsidRPr="00651737">
        <w:rPr>
          <w:b/>
        </w:rPr>
        <w:tab/>
        <w:t>Сфера охвата регламентационного постановления, в отношении которого направлено</w:t>
      </w:r>
      <w:r w:rsidRPr="00376C46">
        <w:t xml:space="preserve"> </w:t>
      </w:r>
      <w:r w:rsidRPr="00651737">
        <w:rPr>
          <w:b/>
        </w:rPr>
        <w:t>уведомление</w:t>
      </w:r>
    </w:p>
    <w:p w:rsidR="000000B0" w:rsidRPr="00376C46" w:rsidRDefault="000000B0" w:rsidP="000000B0">
      <w:pPr>
        <w:spacing w:after="120"/>
        <w:ind w:left="1247"/>
      </w:pPr>
      <w:r>
        <w:t>48.</w:t>
      </w:r>
      <w:r>
        <w:tab/>
      </w:r>
      <w:r w:rsidRPr="00376C46">
        <w:t>Регламентационное постановление, уведомление о котором направлено Европейским союзом, относится к применению ацетохлора в качестве пестицида. Сбыт или применение ацетохлора запрещено окончательным регламентационным постановлением, в котором указывается, что в Европейском союзе запрещается поступление в оборот на рынке или применение содержащих ацетохлор средств защиты растений. Поступление ацетохлора в оборот на рынке не допускается в соответствии с Постановлением (EC) № 1107/2009 (который заменяет Директиву 91/414/ЕЕС) о поступлении в оборот на рынке средств защиты растений.</w:t>
      </w:r>
    </w:p>
    <w:p w:rsidR="000000B0" w:rsidRPr="00376C46" w:rsidRDefault="000000B0" w:rsidP="000000B0">
      <w:pPr>
        <w:spacing w:after="120"/>
        <w:ind w:left="1247"/>
      </w:pPr>
      <w:r>
        <w:t>49.</w:t>
      </w:r>
      <w:r>
        <w:tab/>
      </w:r>
      <w:r w:rsidRPr="00376C46">
        <w:t xml:space="preserve">Все разрешения в отношении содержащих ацетохлор средств защиты растений должны были быть аннулированы государствами-членами до 23 июня 2012 года, а все виды применения содержащих ацетохлор средств защиты растений запрещаются не позднее 23 июня 2013 года. </w:t>
      </w:r>
    </w:p>
    <w:p w:rsidR="000000B0" w:rsidRPr="00376C46" w:rsidRDefault="000000B0" w:rsidP="000000B0">
      <w:pPr>
        <w:spacing w:after="120"/>
        <w:ind w:left="1247"/>
      </w:pPr>
      <w:r>
        <w:t>50.</w:t>
      </w:r>
      <w:r>
        <w:tab/>
      </w:r>
      <w:r w:rsidRPr="00376C46">
        <w:t xml:space="preserve">Установлено, что уведомление соответствует требованиям к информации, предусмотренным в приложении I. </w:t>
      </w:r>
    </w:p>
    <w:p w:rsidR="000000B0" w:rsidRPr="006E4E38" w:rsidRDefault="000000B0" w:rsidP="000000B0">
      <w:pPr>
        <w:tabs>
          <w:tab w:val="right" w:pos="851"/>
        </w:tabs>
        <w:spacing w:after="120"/>
        <w:ind w:left="1247" w:right="284" w:hanging="1247"/>
        <w:rPr>
          <w:b/>
        </w:rPr>
      </w:pPr>
      <w:r>
        <w:rPr>
          <w:b/>
        </w:rPr>
        <w:tab/>
      </w:r>
      <w:r w:rsidRPr="006E4E38">
        <w:rPr>
          <w:b/>
        </w:rPr>
        <w:t>b)</w:t>
      </w:r>
      <w:r w:rsidRPr="006E4E38">
        <w:rPr>
          <w:b/>
        </w:rPr>
        <w:tab/>
        <w:t>Критерий пункта a) приложения II</w:t>
      </w:r>
    </w:p>
    <w:p w:rsidR="000000B0" w:rsidRPr="006E4E38" w:rsidRDefault="000000B0" w:rsidP="000000B0">
      <w:pPr>
        <w:spacing w:after="120"/>
        <w:ind w:left="1247" w:firstLine="624"/>
        <w:rPr>
          <w:i/>
        </w:rPr>
      </w:pPr>
      <w:r w:rsidRPr="006E4E38">
        <w:rPr>
          <w:i/>
        </w:rPr>
        <w:t>«a)</w:t>
      </w:r>
      <w:r>
        <w:rPr>
          <w:i/>
        </w:rPr>
        <w:tab/>
      </w:r>
      <w:r w:rsidRPr="006E4E38">
        <w:rPr>
          <w:i/>
        </w:rPr>
        <w:t>подтверждает, что окончательное регламентационное постановление было принято в целях охраны здоровья человека или окружающей среды;»</w:t>
      </w:r>
    </w:p>
    <w:p w:rsidR="000000B0" w:rsidRPr="00376C46" w:rsidRDefault="000000B0" w:rsidP="000000B0">
      <w:pPr>
        <w:spacing w:after="120"/>
        <w:ind w:left="1247"/>
      </w:pPr>
      <w:r>
        <w:t>51.</w:t>
      </w:r>
      <w:r>
        <w:tab/>
      </w:r>
      <w:r w:rsidRPr="00376C46">
        <w:t>Комитетом подтверждается, что регламентационное постановление было принято в целях охраны здоровья человека и окружающей среды (UNEP/FAO/RC/CRC.11/6, раздел 2.4.2 уведомления Европейского союза).</w:t>
      </w:r>
    </w:p>
    <w:p w:rsidR="000000B0" w:rsidRPr="00376C46" w:rsidRDefault="000000B0" w:rsidP="000000B0">
      <w:pPr>
        <w:spacing w:after="120"/>
        <w:ind w:left="1247"/>
      </w:pPr>
      <w:r>
        <w:t>52.</w:t>
      </w:r>
      <w:r>
        <w:tab/>
      </w:r>
      <w:r w:rsidRPr="00376C46">
        <w:t xml:space="preserve">Ацетохлор применялся в качестве гербицида способом широкомасштабного опрыскивания при выращивании кукурузы для борьбы с однолетними сорняками и уменьшения засоренности ими (UNEP/FAO/RC/CRC.13/3, раздел 2.3.1). </w:t>
      </w:r>
    </w:p>
    <w:p w:rsidR="000000B0" w:rsidRPr="00376C46" w:rsidRDefault="000000B0" w:rsidP="000000B0">
      <w:pPr>
        <w:spacing w:after="120"/>
        <w:ind w:left="1247"/>
      </w:pPr>
      <w:r>
        <w:t>53.</w:t>
      </w:r>
      <w:r>
        <w:tab/>
      </w:r>
      <w:r w:rsidRPr="00376C46">
        <w:t>Была проведена оценка риска на основе Директивы 91/414/EEC (заменена Постановлением (ЕС) № 1107/2009). Было сделано заключение об отсутствии доказательств того, что можно ожидать, что содержащие ацетохлор средства защиты растений соответствуют в общем требованиям, изложенным в статье 5 (1) a) и b) Директивы 91/414/ЕЕС (UNEP/FAO/RC/CRC.13/3, раздел. 2. 4.1).</w:t>
      </w:r>
    </w:p>
    <w:p w:rsidR="000000B0" w:rsidRPr="00376C46" w:rsidRDefault="000000B0" w:rsidP="000000B0">
      <w:pPr>
        <w:spacing w:after="120"/>
        <w:ind w:left="1247"/>
      </w:pPr>
      <w:r>
        <w:t>54.</w:t>
      </w:r>
      <w:r>
        <w:tab/>
      </w:r>
      <w:r w:rsidRPr="00376C46">
        <w:t>Согласно оценке риска в отношении здоровья человека были выявлены следующие опасения (UNEP/FAO/RC/CRC.13/3, приложение, часть A, раздел 2.4.2.1):</w:t>
      </w:r>
    </w:p>
    <w:p w:rsidR="000000B0" w:rsidRPr="00376C46" w:rsidRDefault="000000B0" w:rsidP="000000B0">
      <w:pPr>
        <w:pStyle w:val="ListParagraph"/>
        <w:numPr>
          <w:ilvl w:val="0"/>
          <w:numId w:val="3"/>
        </w:numPr>
        <w:spacing w:after="120"/>
        <w:ind w:left="2228" w:hanging="357"/>
        <w:contextualSpacing w:val="0"/>
      </w:pPr>
      <w:r w:rsidRPr="00376C46">
        <w:t xml:space="preserve">Потенциальное воздействие на организм человека составляет более 100 процентов от допустимого суточного поступления (ДСП), если принимать во внимание прогнозные концентрации </w:t>
      </w:r>
      <w:r>
        <w:t xml:space="preserve">в </w:t>
      </w:r>
      <w:r w:rsidRPr="00376C46">
        <w:t>грунтовых водах метаб</w:t>
      </w:r>
      <w:r>
        <w:t>олитов т-оксаниловой кислоты, т</w:t>
      </w:r>
      <w:r>
        <w:noBreakHyphen/>
      </w:r>
      <w:r w:rsidRPr="00376C46">
        <w:t>сульфонилуксусной кислоты, т-сульфоновой кислоты и с-сульфоновой кислоты, в отношении которых делалась оценка как соответствующих метаболитов.</w:t>
      </w:r>
    </w:p>
    <w:p w:rsidR="000000B0" w:rsidRPr="00376C46" w:rsidRDefault="000000B0" w:rsidP="000000B0">
      <w:pPr>
        <w:pStyle w:val="ListParagraph"/>
        <w:numPr>
          <w:ilvl w:val="0"/>
          <w:numId w:val="3"/>
        </w:numPr>
        <w:spacing w:after="120"/>
        <w:ind w:left="2228" w:hanging="357"/>
        <w:contextualSpacing w:val="0"/>
      </w:pPr>
      <w:r w:rsidRPr="00376C46">
        <w:t>Имеется потенциальное воздействие на организм человека метаболита т-норхлора ацетохлора, когда поверхностные воды извлекаются для получения питьевой воды, что является актуальным с точки зрения оценки токсикологической опасности.</w:t>
      </w:r>
    </w:p>
    <w:p w:rsidR="000000B0" w:rsidRPr="00376C46" w:rsidRDefault="000000B0" w:rsidP="000000B0">
      <w:pPr>
        <w:pStyle w:val="ListParagraph"/>
        <w:numPr>
          <w:ilvl w:val="0"/>
          <w:numId w:val="3"/>
        </w:numPr>
        <w:spacing w:after="120"/>
        <w:ind w:left="2228" w:hanging="357"/>
        <w:contextualSpacing w:val="0"/>
      </w:pPr>
      <w:r w:rsidRPr="00376C46">
        <w:lastRenderedPageBreak/>
        <w:t>Для значительных территорий Европейского союза выявлен высокий потенциал загрязнения грунтовых вод метабо</w:t>
      </w:r>
      <w:r>
        <w:t>литами т-оксаниловой кислоты, т</w:t>
      </w:r>
      <w:r>
        <w:noBreakHyphen/>
      </w:r>
      <w:r w:rsidRPr="00376C46">
        <w:t>сульфонилуксусной кислоты, т-сульфоновой кислоты и с-сульфоновой кислоты, в отношении которых делалась оценка как соответствующих метаболитов.</w:t>
      </w:r>
    </w:p>
    <w:p w:rsidR="000000B0" w:rsidRPr="00376C46" w:rsidRDefault="000000B0" w:rsidP="000000B0">
      <w:pPr>
        <w:pStyle w:val="ListParagraph"/>
        <w:numPr>
          <w:ilvl w:val="0"/>
          <w:numId w:val="3"/>
        </w:numPr>
        <w:spacing w:after="120"/>
        <w:ind w:left="2228" w:hanging="357"/>
        <w:contextualSpacing w:val="0"/>
      </w:pPr>
      <w:r w:rsidRPr="00376C46">
        <w:t>Отсутствует действенный метод определения количества остатков в пищевых продуктах растительного происхождения.</w:t>
      </w:r>
    </w:p>
    <w:p w:rsidR="000000B0" w:rsidRPr="00376C46" w:rsidRDefault="000000B0" w:rsidP="000000B0">
      <w:pPr>
        <w:spacing w:after="120"/>
        <w:ind w:left="1247"/>
      </w:pPr>
      <w:r>
        <w:t>55.</w:t>
      </w:r>
      <w:r>
        <w:tab/>
      </w:r>
      <w:r w:rsidRPr="00376C46">
        <w:t>Согласно оценке риска в отношении окружающей среды были выявлены следующие опасения (UNEP/FAO/</w:t>
      </w:r>
      <w:r>
        <w:t xml:space="preserve">RC/CRC.13/3, приложение, часть </w:t>
      </w:r>
      <w:r>
        <w:rPr>
          <w:lang w:val="en-US"/>
        </w:rPr>
        <w:t>B</w:t>
      </w:r>
      <w:r w:rsidRPr="00376C46">
        <w:t>, раздел 2.4.2.2):</w:t>
      </w:r>
    </w:p>
    <w:p w:rsidR="000000B0" w:rsidRPr="00376C46" w:rsidRDefault="000000B0" w:rsidP="000000B0">
      <w:pPr>
        <w:pStyle w:val="ListParagraph"/>
        <w:numPr>
          <w:ilvl w:val="0"/>
          <w:numId w:val="4"/>
        </w:numPr>
        <w:spacing w:after="120"/>
        <w:ind w:left="2228" w:hanging="357"/>
        <w:contextualSpacing w:val="0"/>
      </w:pPr>
      <w:r w:rsidRPr="00376C46">
        <w:t>Ацетохлор является высоко токсичным для всех групп водных организмов, и имеется высокий риск для водных организмов.</w:t>
      </w:r>
    </w:p>
    <w:p w:rsidR="000000B0" w:rsidRPr="00376C46" w:rsidRDefault="000000B0" w:rsidP="000000B0">
      <w:pPr>
        <w:pStyle w:val="ListParagraph"/>
        <w:numPr>
          <w:ilvl w:val="0"/>
          <w:numId w:val="4"/>
        </w:numPr>
        <w:spacing w:after="120"/>
        <w:ind w:left="2228" w:hanging="357"/>
        <w:contextualSpacing w:val="0"/>
      </w:pPr>
      <w:r w:rsidRPr="00376C46">
        <w:t>Отмечен высокий острый риск для птиц в результате потребления зараженной питьевой воды при послевсходовом применении.</w:t>
      </w:r>
    </w:p>
    <w:p w:rsidR="000000B0" w:rsidRPr="00376C46" w:rsidRDefault="000000B0" w:rsidP="000000B0">
      <w:pPr>
        <w:pStyle w:val="ListParagraph"/>
        <w:numPr>
          <w:ilvl w:val="0"/>
          <w:numId w:val="4"/>
        </w:numPr>
        <w:spacing w:after="120"/>
        <w:ind w:left="2228" w:hanging="357"/>
        <w:contextualSpacing w:val="0"/>
      </w:pPr>
      <w:r w:rsidRPr="00376C46">
        <w:t>Имеется высокий риск для нецелевых наземных растений. Оценка риска свидетельствует о том, что в пределах обрабатываемых площадей необходимо наличие 5-метровой буферной зоны, в которой не производится опрыскивание, для защиты нецелевых растений за пределами обрабатываемых площадей.</w:t>
      </w:r>
    </w:p>
    <w:p w:rsidR="000000B0" w:rsidRPr="00376C46" w:rsidRDefault="000000B0" w:rsidP="000000B0">
      <w:pPr>
        <w:pStyle w:val="ListParagraph"/>
        <w:numPr>
          <w:ilvl w:val="0"/>
          <w:numId w:val="4"/>
        </w:numPr>
        <w:spacing w:after="120"/>
        <w:ind w:left="2228" w:hanging="357"/>
        <w:contextualSpacing w:val="0"/>
      </w:pPr>
      <w:r w:rsidRPr="00376C46">
        <w:t>Выявлен высокий долгосрочный риск для растительноядных птиц.</w:t>
      </w:r>
    </w:p>
    <w:p w:rsidR="000000B0" w:rsidRPr="00376C46" w:rsidRDefault="000000B0" w:rsidP="000000B0">
      <w:pPr>
        <w:spacing w:after="120"/>
        <w:ind w:left="1247"/>
      </w:pPr>
      <w:r>
        <w:t>56.</w:t>
      </w:r>
      <w:r>
        <w:tab/>
      </w:r>
      <w:r w:rsidRPr="00376C46">
        <w:t xml:space="preserve">Ожидается, что окончательное регламентационное постановление приведет к значительному уменьшению количества применяемого химического вещества, в результате чего произойдет значительное уменьшение риска для здоровья человека и окружающей среды. </w:t>
      </w:r>
    </w:p>
    <w:p w:rsidR="000000B0" w:rsidRPr="00376C46" w:rsidRDefault="000000B0" w:rsidP="000000B0">
      <w:pPr>
        <w:spacing w:after="120"/>
        <w:ind w:left="1247"/>
      </w:pPr>
      <w:r>
        <w:t>57.</w:t>
      </w:r>
      <w:r>
        <w:tab/>
      </w:r>
      <w:r w:rsidRPr="00376C46">
        <w:t>Комитетом делается заключение о соответствии критерию, указанному в пункте a).</w:t>
      </w:r>
    </w:p>
    <w:p w:rsidR="000000B0" w:rsidRPr="006E4E38" w:rsidRDefault="000000B0" w:rsidP="000000B0">
      <w:pPr>
        <w:tabs>
          <w:tab w:val="right" w:pos="851"/>
        </w:tabs>
        <w:spacing w:after="120"/>
        <w:ind w:left="1247" w:right="284" w:hanging="1247"/>
        <w:rPr>
          <w:b/>
        </w:rPr>
      </w:pPr>
      <w:r>
        <w:rPr>
          <w:b/>
        </w:rPr>
        <w:tab/>
      </w:r>
      <w:r w:rsidRPr="006E4E38">
        <w:rPr>
          <w:b/>
        </w:rPr>
        <w:t>c)</w:t>
      </w:r>
      <w:r w:rsidRPr="006E4E38">
        <w:rPr>
          <w:b/>
        </w:rPr>
        <w:tab/>
        <w:t xml:space="preserve">Критерии пункта b) приложения II </w:t>
      </w:r>
    </w:p>
    <w:p w:rsidR="000000B0" w:rsidRPr="006E4E38" w:rsidRDefault="000000B0" w:rsidP="000000B0">
      <w:pPr>
        <w:spacing w:after="120"/>
        <w:ind w:left="1247" w:firstLine="624"/>
        <w:rPr>
          <w:i/>
        </w:rPr>
      </w:pPr>
      <w:r w:rsidRPr="00376C46">
        <w:tab/>
      </w:r>
      <w:r>
        <w:rPr>
          <w:i/>
        </w:rPr>
        <w:t>«b)</w:t>
      </w:r>
      <w:r>
        <w:rPr>
          <w:i/>
        </w:rPr>
        <w:tab/>
      </w:r>
      <w:r w:rsidRPr="006E4E38">
        <w:rPr>
          <w:i/>
        </w:rPr>
        <w:t>устанавливает, что окончательное регламентационное постановление было принято на основе результатов оценки рисков. Эта оценка должна основываться на обзоре научных данных в контексте условий, преобладающих в соответствующей Стороне. Для этой цели из представляемой документации должно явствовать, что:</w:t>
      </w:r>
    </w:p>
    <w:p w:rsidR="000000B0" w:rsidRPr="006E4E38" w:rsidRDefault="000000B0" w:rsidP="000000B0">
      <w:pPr>
        <w:spacing w:after="120"/>
        <w:ind w:left="3120" w:hanging="624"/>
        <w:rPr>
          <w:i/>
        </w:rPr>
      </w:pPr>
      <w:r>
        <w:rPr>
          <w:i/>
        </w:rPr>
        <w:t>i)</w:t>
      </w:r>
      <w:r>
        <w:rPr>
          <w:i/>
        </w:rPr>
        <w:tab/>
      </w:r>
      <w:r w:rsidRPr="006E4E38">
        <w:rPr>
          <w:i/>
        </w:rPr>
        <w:t>данные получены с помощью научно признанных методов;</w:t>
      </w:r>
    </w:p>
    <w:p w:rsidR="000000B0" w:rsidRPr="006E4E38" w:rsidRDefault="000000B0" w:rsidP="000000B0">
      <w:pPr>
        <w:spacing w:after="120"/>
        <w:ind w:left="3120" w:hanging="624"/>
        <w:rPr>
          <w:i/>
        </w:rPr>
      </w:pPr>
      <w:r w:rsidRPr="006E4E38">
        <w:rPr>
          <w:i/>
        </w:rPr>
        <w:t>i</w:t>
      </w:r>
      <w:r>
        <w:rPr>
          <w:i/>
        </w:rPr>
        <w:t>i)</w:t>
      </w:r>
      <w:r>
        <w:rPr>
          <w:i/>
        </w:rPr>
        <w:tab/>
      </w:r>
      <w:r w:rsidRPr="006E4E38">
        <w:rPr>
          <w:i/>
        </w:rPr>
        <w:t>обзоры данных проведены и документально оформлены с соблюдением общепризнанных научных принципов и процедур;»</w:t>
      </w:r>
    </w:p>
    <w:p w:rsidR="000000B0" w:rsidRPr="00376C46" w:rsidRDefault="000000B0" w:rsidP="000000B0">
      <w:pPr>
        <w:spacing w:after="120"/>
        <w:ind w:left="1247"/>
      </w:pPr>
      <w:bookmarkStart w:id="2" w:name="bookmark_119"/>
      <w:r>
        <w:t>58.</w:t>
      </w:r>
      <w:r>
        <w:tab/>
      </w:r>
      <w:r w:rsidRPr="00376C46">
        <w:t>До принятия окончательного регламентационного постановления была проведена оценка рисков на основе Директивы 91/414/ЕЕС (заменена на Постановление (EC) 1107/2009), которой предусматривается принятие Европейской комиссией программы работы для изучения существующих активных веществ, применяемых в средствах для защиты растений, с целью их возможного включения в приложение I к Директиве, и в соответствии с положениями Постановления (EC) № 1095/2007 и Постановления (EC) № 2229/2004.</w:t>
      </w:r>
      <w:bookmarkEnd w:id="2"/>
    </w:p>
    <w:p w:rsidR="000000B0" w:rsidRPr="00376C46" w:rsidRDefault="000000B0" w:rsidP="000000B0">
      <w:pPr>
        <w:spacing w:after="120"/>
        <w:ind w:left="1247"/>
      </w:pPr>
      <w:r>
        <w:t>59.</w:t>
      </w:r>
      <w:r>
        <w:tab/>
      </w:r>
      <w:r w:rsidRPr="00376C46">
        <w:t xml:space="preserve">Было выбрано государство-член для проведения оценки рисков на основе информации, представленной заявителем, и подготовки проекта доклада об оценке, являвшегося предметом коллегиального обзора, в рамках которого Европейский орган по безопасности продуктов питания (ЕФСА) провел консультации с экспертами из государств-членов, а также с заявителем. </w:t>
      </w:r>
    </w:p>
    <w:p w:rsidR="000000B0" w:rsidRPr="00376C46" w:rsidRDefault="000000B0" w:rsidP="000000B0">
      <w:pPr>
        <w:spacing w:after="120"/>
        <w:ind w:left="1247"/>
      </w:pPr>
      <w:r>
        <w:t>60.</w:t>
      </w:r>
      <w:r>
        <w:tab/>
      </w:r>
      <w:r w:rsidRPr="00376C46">
        <w:t>На основе результатов оценки риска Европейская комиссия подготовила проект доклада об обзоре, представленный для коллегиального рассмотрения Постоянным комитетом по пищевой цепи и ветеринарии, который пришел к заключению об отсутствии доказательств того, что можно ожидать, что содержащие ацетохлор средства защиты растений соответствуют в общем требованиям, изложенным в статье 5 (1) a) и b) Директивы 91/414/EEC, что привело к принятию решения о невыдаче разрешения в отношении ацетохлора (Имплементационное постановление (ЕС) № 1372/2011 от 21 декабря 2011 года).</w:t>
      </w:r>
    </w:p>
    <w:p w:rsidR="000000B0" w:rsidRPr="00376C46" w:rsidRDefault="000000B0" w:rsidP="000000B0">
      <w:pPr>
        <w:spacing w:after="120"/>
        <w:ind w:left="1247"/>
      </w:pPr>
      <w:r>
        <w:lastRenderedPageBreak/>
        <w:t>61.</w:t>
      </w:r>
      <w:r>
        <w:tab/>
      </w:r>
      <w:r w:rsidRPr="00376C46">
        <w:t>Оценка была основана на анализе научных данных с учетом условий, сложившихся в Европейском союзе (предполагаемые виды применения, рекомендуемые нормы применения и рациональная сельскохозяйственная практика). Для оценки были утверждены и использовались только данные, полученные научно-признанными методами. Кроме того, обзоры данных выполнялись и документировались в соответствии с общепризнанными научными принципами и процедурами (UNEP/FAO/RC/CRC/13/3, приложение, часть B, раздел 2.4.1).</w:t>
      </w:r>
    </w:p>
    <w:p w:rsidR="000000B0" w:rsidRPr="00376C46" w:rsidRDefault="000000B0" w:rsidP="000000B0">
      <w:pPr>
        <w:spacing w:after="120"/>
        <w:ind w:left="1247"/>
      </w:pPr>
      <w:r>
        <w:t>62.</w:t>
      </w:r>
      <w:r>
        <w:tab/>
      </w:r>
      <w:r w:rsidRPr="00376C46">
        <w:t>Таким образом, Комитетом установлено, что данные, обзор которых был проведен для оценки рисков, получены с помощью научно признанных методов и что обзоры данных были проведены с соблюдением общепризнанных научных принципов и процедур.</w:t>
      </w:r>
    </w:p>
    <w:p w:rsidR="000000B0" w:rsidRPr="006E4E38" w:rsidRDefault="000000B0" w:rsidP="000000B0">
      <w:pPr>
        <w:spacing w:after="120"/>
        <w:ind w:left="3120" w:hanging="624"/>
        <w:rPr>
          <w:i/>
        </w:rPr>
      </w:pPr>
      <w:r w:rsidRPr="006E4E38">
        <w:rPr>
          <w:i/>
        </w:rPr>
        <w:t>«iii)</w:t>
      </w:r>
      <w:r w:rsidRPr="006E4E38">
        <w:rPr>
          <w:i/>
        </w:rPr>
        <w:tab/>
        <w:t>окончательное регламентационное постановление основано на результатах оценки рисков с учетом преобладающих условий в Стороне, принимающей постановление;»</w:t>
      </w:r>
    </w:p>
    <w:p w:rsidR="000000B0" w:rsidRPr="00376C46" w:rsidRDefault="000000B0" w:rsidP="000000B0">
      <w:pPr>
        <w:spacing w:after="120"/>
        <w:ind w:left="1247"/>
      </w:pPr>
      <w:r>
        <w:t>63.</w:t>
      </w:r>
      <w:r>
        <w:tab/>
      </w:r>
      <w:r w:rsidRPr="00376C46">
        <w:t xml:space="preserve">Окончательное регламентационное постановление о запрете ацетохлора было основано на результатах оценки рисков. В рамках анализа рисков рассматривалось применение гербицида при выращивании кукурузы. </w:t>
      </w:r>
    </w:p>
    <w:p w:rsidR="000000B0" w:rsidRPr="00376C46" w:rsidRDefault="000000B0" w:rsidP="000000B0">
      <w:pPr>
        <w:spacing w:after="120"/>
        <w:ind w:left="1247"/>
      </w:pPr>
      <w:r>
        <w:t>64.</w:t>
      </w:r>
      <w:r>
        <w:tab/>
      </w:r>
      <w:r w:rsidRPr="00376C46">
        <w:t>Решение запретить использование ацетохлора в качестве пестицида основывалось на комплексе сведений, который включает широкий спектр информации о веществе, его физических, химических и технических характеристиках и методах анализа, токсичности для млекопитающих, остатках, преобразовании и поведении в окружающей среде, экотоксикологии, включая предполагаемые условия применения на территории Европейского союза, в том числе предполагаемые виды применения, рекомендуемые нормы применения и добросовестная сельскохозяйственная практика. Вся имеющаяся в комплексе сведений информация была учтена в этой оценке риска и, следовательно, в решении Европейского союза. Выводы ЕФСА были сделаны на основе оценки репрезентативного вида применения в Европейском союзе.</w:t>
      </w:r>
    </w:p>
    <w:p w:rsidR="000000B0" w:rsidRPr="00376C46" w:rsidRDefault="000000B0" w:rsidP="000000B0">
      <w:pPr>
        <w:spacing w:after="120"/>
        <w:ind w:left="1247"/>
      </w:pPr>
      <w:r>
        <w:t>65.</w:t>
      </w:r>
      <w:r>
        <w:tab/>
      </w:r>
      <w:r w:rsidRPr="00376C46">
        <w:t>Следовательно, Комитетом подтверждается соответствие критерию, указанному в пункте b) iii).</w:t>
      </w:r>
    </w:p>
    <w:p w:rsidR="000000B0" w:rsidRPr="00376C46" w:rsidRDefault="000000B0" w:rsidP="000000B0">
      <w:pPr>
        <w:spacing w:after="120"/>
        <w:ind w:left="1247"/>
      </w:pPr>
      <w:r>
        <w:t>66.</w:t>
      </w:r>
      <w:r>
        <w:tab/>
      </w:r>
      <w:r w:rsidRPr="00376C46">
        <w:t>Комитетом подтверждается соответствие</w:t>
      </w:r>
      <w:r>
        <w:t xml:space="preserve"> критериям, указанным в пункте </w:t>
      </w:r>
      <w:r w:rsidRPr="00376C46">
        <w:t>b).</w:t>
      </w:r>
    </w:p>
    <w:p w:rsidR="000000B0" w:rsidRPr="00BA365F" w:rsidRDefault="000000B0" w:rsidP="000000B0">
      <w:pPr>
        <w:tabs>
          <w:tab w:val="right" w:pos="851"/>
        </w:tabs>
        <w:spacing w:after="120"/>
        <w:ind w:left="1247" w:right="284" w:hanging="1247"/>
        <w:rPr>
          <w:b/>
        </w:rPr>
      </w:pPr>
      <w:r w:rsidRPr="00376C46">
        <w:tab/>
      </w:r>
      <w:r w:rsidRPr="00BA365F">
        <w:rPr>
          <w:b/>
          <w:lang w:val="en-US"/>
        </w:rPr>
        <w:t>d</w:t>
      </w:r>
      <w:r w:rsidRPr="00BA365F">
        <w:rPr>
          <w:b/>
        </w:rPr>
        <w:t>)</w:t>
      </w:r>
      <w:r w:rsidRPr="00BA365F">
        <w:rPr>
          <w:b/>
        </w:rPr>
        <w:tab/>
        <w:t>Критерии пункта c) приложения II</w:t>
      </w:r>
    </w:p>
    <w:p w:rsidR="000000B0" w:rsidRPr="00BA365F" w:rsidRDefault="000000B0" w:rsidP="000000B0">
      <w:pPr>
        <w:spacing w:after="120"/>
        <w:ind w:left="1247" w:firstLine="624"/>
        <w:rPr>
          <w:i/>
        </w:rPr>
      </w:pPr>
      <w:r>
        <w:tab/>
      </w:r>
      <w:r w:rsidRPr="00BA365F">
        <w:rPr>
          <w:i/>
        </w:rPr>
        <w:t>«c)</w:t>
      </w:r>
      <w:r w:rsidRPr="00BA365F">
        <w:rPr>
          <w:i/>
        </w:rPr>
        <w:tab/>
        <w:t>определяет, обеспечивает ли окончательное регламентационное постановление достаточно широкую основу для включения химического вещества в приложение III с учетом следующего:</w:t>
      </w:r>
    </w:p>
    <w:p w:rsidR="000000B0" w:rsidRPr="00BA365F" w:rsidRDefault="000000B0" w:rsidP="000000B0">
      <w:pPr>
        <w:spacing w:after="120"/>
        <w:ind w:left="3120" w:hanging="624"/>
        <w:rPr>
          <w:i/>
        </w:rPr>
      </w:pPr>
      <w:r w:rsidRPr="00BA365F">
        <w:rPr>
          <w:i/>
        </w:rPr>
        <w:t>i)</w:t>
      </w:r>
      <w:r w:rsidRPr="00BA365F">
        <w:rPr>
          <w:i/>
        </w:rPr>
        <w:tab/>
        <w:t>привело ли или, как ожидается, приведет ли принятие окончательного регламентационного постановления к значительному сокращению объема потребления данного химического вещества или числа видов его применения;»</w:t>
      </w:r>
    </w:p>
    <w:p w:rsidR="000000B0" w:rsidRPr="00376C46" w:rsidRDefault="000000B0" w:rsidP="000000B0">
      <w:pPr>
        <w:spacing w:after="120"/>
        <w:ind w:left="1247"/>
      </w:pPr>
      <w:r>
        <w:t>67.</w:t>
      </w:r>
      <w:r>
        <w:tab/>
      </w:r>
      <w:r w:rsidRPr="00376C46">
        <w:t xml:space="preserve">Применение ацетохлора запрещается окончательным регламентационным постановлением, которое вступило в силу 23 июня 2013 года. Окончательным регламентационным постановлением запрещается применение ацетохлора в качестве пестицида посредством запрещения его поступления в оборот на рынке или применения в Европейском союзе содержащих ацетохлор средств защиты растений. Поступление ацетохлора в оборот на рынке не допускается в соответствии с Постановлением (EC) № 1107/2009 (который заменяет Директиву 91/414/ЕЕС) о поступлении в оборот на рынке средств защиты растений. </w:t>
      </w:r>
    </w:p>
    <w:p w:rsidR="000000B0" w:rsidRPr="00376C46" w:rsidRDefault="000000B0" w:rsidP="000000B0">
      <w:pPr>
        <w:spacing w:after="120"/>
        <w:ind w:left="1247"/>
      </w:pPr>
      <w:r>
        <w:t>68.</w:t>
      </w:r>
      <w:r>
        <w:tab/>
      </w:r>
      <w:r w:rsidRPr="00376C46">
        <w:t xml:space="preserve">По этой причине ожидается, что окончательное регламентационное постановление приведет к значительному уменьшению количества применяемого химического вещества, в результате чего произойдет значительное уменьшение риска для здоровья человека и окружающей среды. </w:t>
      </w:r>
    </w:p>
    <w:p w:rsidR="000000B0" w:rsidRPr="00376C46" w:rsidRDefault="000000B0" w:rsidP="000000B0">
      <w:pPr>
        <w:keepNext/>
        <w:spacing w:after="120"/>
        <w:ind w:left="1247"/>
      </w:pPr>
      <w:r>
        <w:lastRenderedPageBreak/>
        <w:t>69.</w:t>
      </w:r>
      <w:r>
        <w:tab/>
      </w:r>
      <w:r w:rsidRPr="00376C46">
        <w:t xml:space="preserve">По этой причине Комитетом подтверждается соответствие критерию, изложенному в пункте c) i). </w:t>
      </w:r>
    </w:p>
    <w:p w:rsidR="000000B0" w:rsidRPr="002445FC" w:rsidRDefault="000000B0" w:rsidP="000000B0">
      <w:pPr>
        <w:spacing w:after="120"/>
        <w:ind w:left="3120" w:hanging="624"/>
        <w:rPr>
          <w:i/>
        </w:rPr>
      </w:pPr>
      <w:r w:rsidRPr="002445FC">
        <w:rPr>
          <w:i/>
        </w:rPr>
        <w:t>«ii)</w:t>
      </w:r>
      <w:r w:rsidRPr="002445FC">
        <w:rPr>
          <w:i/>
        </w:rPr>
        <w:tab/>
        <w:t>привело ли окончательное регламентационное постановление к фактическому уменьшению или, как ожидается, к значительному уменьшению риска для здоровья человека и окружающей среды в Стороне, которая представила уведомление;»</w:t>
      </w:r>
    </w:p>
    <w:p w:rsidR="000000B0" w:rsidRPr="00376C46" w:rsidRDefault="000000B0" w:rsidP="000000B0">
      <w:pPr>
        <w:spacing w:after="120"/>
        <w:ind w:left="1247"/>
      </w:pPr>
      <w:r>
        <w:t>70.</w:t>
      </w:r>
      <w:r>
        <w:tab/>
      </w:r>
      <w:r w:rsidRPr="00376C46">
        <w:t>Предполагается, что</w:t>
      </w:r>
      <w:r>
        <w:t>,</w:t>
      </w:r>
      <w:r w:rsidRPr="00376C46">
        <w:t xml:space="preserve"> поскольку регламентационным постановлением о запрещении применения ацетохлора значительно уменьшается количество применяемого химического вещества, риски для здоровья человека и окружающей среды также будут существенно уменьшены.</w:t>
      </w:r>
    </w:p>
    <w:p w:rsidR="000000B0" w:rsidRPr="00376C46" w:rsidRDefault="000000B0" w:rsidP="000000B0">
      <w:pPr>
        <w:spacing w:after="120"/>
        <w:ind w:left="1247"/>
      </w:pPr>
      <w:r>
        <w:t>71.</w:t>
      </w:r>
      <w:r>
        <w:tab/>
      </w:r>
      <w:r w:rsidRPr="00376C46">
        <w:t xml:space="preserve">По этой причине Комитетом подтверждается соответствие критерию, изложенному в подпункте c) ii). </w:t>
      </w:r>
    </w:p>
    <w:p w:rsidR="000000B0" w:rsidRPr="002445FC" w:rsidRDefault="000000B0" w:rsidP="000000B0">
      <w:pPr>
        <w:spacing w:after="120"/>
        <w:ind w:left="3120" w:hanging="624"/>
        <w:rPr>
          <w:i/>
        </w:rPr>
      </w:pPr>
      <w:r w:rsidRPr="002445FC">
        <w:rPr>
          <w:i/>
        </w:rPr>
        <w:t>«iii)</w:t>
      </w:r>
      <w:r w:rsidRPr="002445FC">
        <w:rPr>
          <w:i/>
        </w:rPr>
        <w:tab/>
        <w:t>являются ли соображения, послужившие основой для принятия окончательного регламентационного постановления, применимыми лишь в ограниченном географическом регионе или в других ограниченных обстоятельствах;»</w:t>
      </w:r>
    </w:p>
    <w:p w:rsidR="000000B0" w:rsidRPr="00376C46" w:rsidRDefault="000000B0" w:rsidP="000000B0">
      <w:pPr>
        <w:spacing w:after="120"/>
        <w:ind w:left="1247"/>
      </w:pPr>
      <w:r>
        <w:t>72.</w:t>
      </w:r>
      <w:r>
        <w:tab/>
      </w:r>
      <w:r w:rsidRPr="00376C46">
        <w:t>В уведомлении указывается на вероятность возникновения аналогичных проблем для здоровья и окружающей среды в других странах, в которых применяется это вещество, особенно в развивающихся странах (UNEP/FAO/RC/CRC.13</w:t>
      </w:r>
      <w:r>
        <w:t>/3, приложение, часть B, раздел </w:t>
      </w:r>
      <w:r w:rsidRPr="00376C46">
        <w:t>2.5.2).</w:t>
      </w:r>
    </w:p>
    <w:p w:rsidR="000000B0" w:rsidRPr="00376C46" w:rsidRDefault="000000B0" w:rsidP="000000B0">
      <w:pPr>
        <w:spacing w:after="120"/>
        <w:ind w:left="1247"/>
      </w:pPr>
      <w:r>
        <w:t>73.</w:t>
      </w:r>
      <w:r>
        <w:tab/>
      </w:r>
      <w:r w:rsidRPr="00376C46">
        <w:t xml:space="preserve">По этой причине Комитетом подтверждается соответствие критерию, изложенному в подпункте c) iii). </w:t>
      </w:r>
    </w:p>
    <w:p w:rsidR="000000B0" w:rsidRPr="00C85C3D" w:rsidRDefault="000000B0" w:rsidP="000000B0">
      <w:pPr>
        <w:spacing w:after="120"/>
        <w:ind w:left="3120" w:hanging="624"/>
        <w:rPr>
          <w:i/>
        </w:rPr>
      </w:pPr>
      <w:r w:rsidRPr="00C85C3D">
        <w:rPr>
          <w:i/>
        </w:rPr>
        <w:t>«iv)</w:t>
      </w:r>
      <w:r w:rsidRPr="00C85C3D">
        <w:rPr>
          <w:i/>
        </w:rPr>
        <w:tab/>
        <w:t>имеются ли факты продолжающейся торговли этим химическим веществом на международном уровне;»</w:t>
      </w:r>
    </w:p>
    <w:p w:rsidR="000000B0" w:rsidRPr="00376C46" w:rsidRDefault="000000B0" w:rsidP="000000B0">
      <w:pPr>
        <w:spacing w:after="120"/>
        <w:ind w:left="1247"/>
      </w:pPr>
      <w:r>
        <w:t>74.</w:t>
      </w:r>
      <w:r>
        <w:tab/>
      </w:r>
      <w:r w:rsidRPr="00376C46">
        <w:t xml:space="preserve">В уведомлении Европейского союза отсутствует информация о расчетном количестве произведенного, импортированного, экспортированного и использованного ацетохлора. </w:t>
      </w:r>
    </w:p>
    <w:p w:rsidR="000000B0" w:rsidRPr="00376C46" w:rsidRDefault="000000B0" w:rsidP="000000B0">
      <w:pPr>
        <w:spacing w:after="120"/>
        <w:ind w:left="1247"/>
      </w:pPr>
      <w:r>
        <w:t>75.</w:t>
      </w:r>
      <w:r>
        <w:tab/>
      </w:r>
      <w:r w:rsidRPr="00376C46">
        <w:t>Вместе с тем поступившая в секретариат информация свидетельствует о том, что международная торговля ацетохлором продолжается (UNEP/FAO/RC/CRC.13/INF/5).</w:t>
      </w:r>
    </w:p>
    <w:p w:rsidR="000000B0" w:rsidRPr="00376C46" w:rsidRDefault="000000B0" w:rsidP="000000B0">
      <w:pPr>
        <w:spacing w:after="120"/>
        <w:ind w:left="1247"/>
      </w:pPr>
      <w:r>
        <w:t>76.</w:t>
      </w:r>
      <w:r>
        <w:tab/>
      </w:r>
      <w:r w:rsidRPr="00376C46">
        <w:t>По этой причине Комитетом подтверждается соответствие критерию, изложенному в подпункте c) iv).</w:t>
      </w:r>
    </w:p>
    <w:p w:rsidR="000000B0" w:rsidRPr="00C85C3D" w:rsidRDefault="000000B0" w:rsidP="000000B0">
      <w:pPr>
        <w:tabs>
          <w:tab w:val="right" w:pos="851"/>
        </w:tabs>
        <w:spacing w:after="120"/>
        <w:ind w:left="1247" w:right="284" w:hanging="1247"/>
        <w:rPr>
          <w:b/>
        </w:rPr>
      </w:pPr>
      <w:r>
        <w:rPr>
          <w:b/>
        </w:rPr>
        <w:tab/>
      </w:r>
      <w:r w:rsidRPr="00C85C3D">
        <w:rPr>
          <w:b/>
        </w:rPr>
        <w:t>e)</w:t>
      </w:r>
      <w:r w:rsidRPr="00C85C3D">
        <w:rPr>
          <w:b/>
        </w:rPr>
        <w:tab/>
        <w:t>Критерий пункта d) приложения II</w:t>
      </w:r>
    </w:p>
    <w:p w:rsidR="000000B0" w:rsidRPr="0008406E" w:rsidRDefault="000000B0" w:rsidP="000000B0">
      <w:pPr>
        <w:spacing w:after="120"/>
        <w:ind w:left="1248" w:firstLine="624"/>
        <w:rPr>
          <w:i/>
        </w:rPr>
      </w:pPr>
      <w:r w:rsidRPr="0008406E">
        <w:rPr>
          <w:i/>
        </w:rPr>
        <w:t>«d)</w:t>
      </w:r>
      <w:r>
        <w:rPr>
          <w:i/>
        </w:rPr>
        <w:tab/>
      </w:r>
      <w:r w:rsidRPr="0008406E">
        <w:rPr>
          <w:i/>
        </w:rPr>
        <w:t>учитывает, что преднамеренное неправильное использование не является само по себе достаточным основанием для включения химического вещества в приложение III.»</w:t>
      </w:r>
    </w:p>
    <w:p w:rsidR="000000B0" w:rsidRPr="00376C46" w:rsidRDefault="000000B0" w:rsidP="000000B0">
      <w:pPr>
        <w:spacing w:after="120"/>
        <w:ind w:left="1247"/>
      </w:pPr>
      <w:r>
        <w:t>77.</w:t>
      </w:r>
      <w:r>
        <w:tab/>
      </w:r>
      <w:r w:rsidRPr="00376C46">
        <w:t xml:space="preserve">В уведомлении отсутствует указание на то, что причиной для принятия регламентационного постановления послужили опасения по поводу преднамеренного неправильного использования. </w:t>
      </w:r>
    </w:p>
    <w:p w:rsidR="000000B0" w:rsidRPr="00376C46" w:rsidRDefault="000000B0" w:rsidP="000000B0">
      <w:pPr>
        <w:spacing w:after="120"/>
        <w:ind w:left="1247"/>
      </w:pPr>
      <w:r>
        <w:t>78.</w:t>
      </w:r>
      <w:r>
        <w:tab/>
      </w:r>
      <w:r w:rsidRPr="00376C46">
        <w:t xml:space="preserve">По этой причине Комитетом подтверждается соответствие критерию, указанному в пункте d). </w:t>
      </w:r>
    </w:p>
    <w:p w:rsidR="000000B0" w:rsidRPr="00C85C3D" w:rsidRDefault="000000B0" w:rsidP="000000B0">
      <w:pPr>
        <w:tabs>
          <w:tab w:val="right" w:pos="851"/>
        </w:tabs>
        <w:spacing w:after="120"/>
        <w:ind w:left="1247" w:right="284" w:hanging="1247"/>
        <w:rPr>
          <w:b/>
        </w:rPr>
      </w:pPr>
      <w:r>
        <w:rPr>
          <w:b/>
        </w:rPr>
        <w:tab/>
      </w:r>
      <w:r w:rsidRPr="00C85C3D">
        <w:rPr>
          <w:b/>
        </w:rPr>
        <w:t>f)</w:t>
      </w:r>
      <w:r w:rsidRPr="00C85C3D">
        <w:rPr>
          <w:b/>
        </w:rPr>
        <w:tab/>
        <w:t>Заключение</w:t>
      </w:r>
    </w:p>
    <w:p w:rsidR="000000B0" w:rsidRPr="00376C46" w:rsidRDefault="000000B0" w:rsidP="000000B0">
      <w:pPr>
        <w:spacing w:after="120"/>
        <w:ind w:left="1247"/>
      </w:pPr>
      <w:r>
        <w:t>79.</w:t>
      </w:r>
      <w:r>
        <w:tab/>
      </w:r>
      <w:r w:rsidRPr="00376C46">
        <w:t>Комитетом делается заключение, что представленное Европейским союзом уведомление об окончательном регламентационном постановлении соответствует критериям, изложенным в приложении II к Конвенции.</w:t>
      </w:r>
    </w:p>
    <w:p w:rsidR="000000B0" w:rsidRPr="0008406E" w:rsidRDefault="000000B0" w:rsidP="000000B0">
      <w:pPr>
        <w:spacing w:after="120"/>
        <w:ind w:left="1247"/>
        <w:rPr>
          <w:b/>
          <w:sz w:val="24"/>
          <w:szCs w:val="24"/>
        </w:rPr>
      </w:pPr>
      <w:r>
        <w:tab/>
      </w:r>
      <w:r w:rsidRPr="0008406E">
        <w:rPr>
          <w:b/>
          <w:sz w:val="24"/>
          <w:szCs w:val="24"/>
        </w:rPr>
        <w:t>Заключение</w:t>
      </w:r>
    </w:p>
    <w:p w:rsidR="000000B0" w:rsidRPr="00376C46" w:rsidRDefault="000000B0" w:rsidP="000000B0">
      <w:pPr>
        <w:spacing w:after="120"/>
        <w:ind w:left="1247"/>
      </w:pPr>
      <w:r>
        <w:t>80.</w:t>
      </w:r>
      <w:r>
        <w:tab/>
      </w:r>
      <w:r w:rsidRPr="00376C46">
        <w:t>Комитетом делается заключение, что представленные</w:t>
      </w:r>
      <w:r>
        <w:t xml:space="preserve"> Буркина-Фасо, Гамбией, Гвинее</w:t>
      </w:r>
      <w:r>
        <w:noBreakHyphen/>
      </w:r>
      <w:r w:rsidRPr="00376C46">
        <w:t xml:space="preserve">Бисау, Кабо-Верде, Мавританией, Мали, Нигером, Сенегалом, Того, Чадом и Европейским союзом уведомления об окончательном регламентационном постановлении </w:t>
      </w:r>
      <w:r w:rsidRPr="00376C46">
        <w:lastRenderedPageBreak/>
        <w:t>соответствуют критериям, изложенным в приложении II к Конвенции. Комитетом также делается заключение, что окончательные регламентационные постановления, принятые этими Сторонами, составляют достаточное основание для включения ацетохлора в приложение III к Роттердамско</w:t>
      </w:r>
      <w:r>
        <w:t>й конвенции в рамках категории «пестициды»</w:t>
      </w:r>
      <w:r w:rsidRPr="00376C46">
        <w:t xml:space="preserve"> и что на основе этих уведомлений следует подготовить проект документа для содействия принятию решения.</w:t>
      </w:r>
    </w:p>
    <w:p w:rsidR="000C080E" w:rsidRDefault="000C080E"/>
    <w:sectPr w:rsidR="000C080E" w:rsidSect="000C080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7C4A" w:rsidRDefault="00C67C4A" w:rsidP="000000B0">
      <w:r>
        <w:separator/>
      </w:r>
    </w:p>
  </w:endnote>
  <w:endnote w:type="continuationSeparator" w:id="0">
    <w:p w:rsidR="00C67C4A" w:rsidRDefault="00C67C4A" w:rsidP="000000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7C4A" w:rsidRDefault="00C67C4A" w:rsidP="000000B0">
      <w:r>
        <w:separator/>
      </w:r>
    </w:p>
  </w:footnote>
  <w:footnote w:type="continuationSeparator" w:id="0">
    <w:p w:rsidR="00C67C4A" w:rsidRDefault="00C67C4A" w:rsidP="000000B0">
      <w:r>
        <w:continuationSeparator/>
      </w:r>
    </w:p>
  </w:footnote>
  <w:footnote w:id="1">
    <w:p w:rsidR="000000B0" w:rsidRPr="00635BFC" w:rsidRDefault="000000B0" w:rsidP="000000B0">
      <w:pPr>
        <w:pStyle w:val="FootnoteText"/>
        <w:spacing w:before="20" w:after="40"/>
        <w:ind w:left="1247"/>
        <w:rPr>
          <w:sz w:val="18"/>
          <w:szCs w:val="18"/>
          <w:lang w:val="en-US"/>
        </w:rPr>
      </w:pPr>
      <w:r w:rsidRPr="00635BFC">
        <w:rPr>
          <w:rStyle w:val="FootnoteReference"/>
          <w:sz w:val="18"/>
          <w:szCs w:val="18"/>
        </w:rPr>
        <w:footnoteRef/>
      </w:r>
      <w:bookmarkStart w:id="0" w:name="footnoteBookmark_14"/>
      <w:r w:rsidRPr="00635BFC">
        <w:rPr>
          <w:sz w:val="18"/>
          <w:szCs w:val="18"/>
          <w:lang w:val="en-US"/>
        </w:rPr>
        <w:tab/>
      </w:r>
      <w:r w:rsidRPr="00635BFC">
        <w:rPr>
          <w:sz w:val="18"/>
          <w:szCs w:val="18"/>
        </w:rPr>
        <w:t>См</w:t>
      </w:r>
      <w:r w:rsidRPr="00635BFC">
        <w:rPr>
          <w:sz w:val="18"/>
          <w:szCs w:val="18"/>
          <w:lang w:val="en-US"/>
        </w:rPr>
        <w:t>. UNEP/FAO/RC/CRC.13/3.</w:t>
      </w:r>
      <w:bookmarkEnd w:id="0"/>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F6314"/>
    <w:multiLevelType w:val="hybridMultilevel"/>
    <w:tmpl w:val="406CC5D4"/>
    <w:lvl w:ilvl="0" w:tplc="04090001">
      <w:start w:val="1"/>
      <w:numFmt w:val="bullet"/>
      <w:lvlText w:val=""/>
      <w:lvlJc w:val="left"/>
      <w:pPr>
        <w:ind w:left="3308" w:hanging="360"/>
      </w:pPr>
      <w:rPr>
        <w:rFonts w:ascii="Symbol" w:hAnsi="Symbol" w:hint="default"/>
      </w:rPr>
    </w:lvl>
    <w:lvl w:ilvl="1" w:tplc="04090003" w:tentative="1">
      <w:start w:val="1"/>
      <w:numFmt w:val="bullet"/>
      <w:lvlText w:val="o"/>
      <w:lvlJc w:val="left"/>
      <w:pPr>
        <w:ind w:left="4028" w:hanging="360"/>
      </w:pPr>
      <w:rPr>
        <w:rFonts w:ascii="Courier New" w:hAnsi="Courier New" w:cs="Courier New" w:hint="default"/>
      </w:rPr>
    </w:lvl>
    <w:lvl w:ilvl="2" w:tplc="04090005" w:tentative="1">
      <w:start w:val="1"/>
      <w:numFmt w:val="bullet"/>
      <w:lvlText w:val=""/>
      <w:lvlJc w:val="left"/>
      <w:pPr>
        <w:ind w:left="4748" w:hanging="360"/>
      </w:pPr>
      <w:rPr>
        <w:rFonts w:ascii="Wingdings" w:hAnsi="Wingdings" w:hint="default"/>
      </w:rPr>
    </w:lvl>
    <w:lvl w:ilvl="3" w:tplc="04090001" w:tentative="1">
      <w:start w:val="1"/>
      <w:numFmt w:val="bullet"/>
      <w:lvlText w:val=""/>
      <w:lvlJc w:val="left"/>
      <w:pPr>
        <w:ind w:left="5468" w:hanging="360"/>
      </w:pPr>
      <w:rPr>
        <w:rFonts w:ascii="Symbol" w:hAnsi="Symbol" w:hint="default"/>
      </w:rPr>
    </w:lvl>
    <w:lvl w:ilvl="4" w:tplc="04090003" w:tentative="1">
      <w:start w:val="1"/>
      <w:numFmt w:val="bullet"/>
      <w:lvlText w:val="o"/>
      <w:lvlJc w:val="left"/>
      <w:pPr>
        <w:ind w:left="6188" w:hanging="360"/>
      </w:pPr>
      <w:rPr>
        <w:rFonts w:ascii="Courier New" w:hAnsi="Courier New" w:cs="Courier New" w:hint="default"/>
      </w:rPr>
    </w:lvl>
    <w:lvl w:ilvl="5" w:tplc="04090005" w:tentative="1">
      <w:start w:val="1"/>
      <w:numFmt w:val="bullet"/>
      <w:lvlText w:val=""/>
      <w:lvlJc w:val="left"/>
      <w:pPr>
        <w:ind w:left="6908" w:hanging="360"/>
      </w:pPr>
      <w:rPr>
        <w:rFonts w:ascii="Wingdings" w:hAnsi="Wingdings" w:hint="default"/>
      </w:rPr>
    </w:lvl>
    <w:lvl w:ilvl="6" w:tplc="04090001" w:tentative="1">
      <w:start w:val="1"/>
      <w:numFmt w:val="bullet"/>
      <w:lvlText w:val=""/>
      <w:lvlJc w:val="left"/>
      <w:pPr>
        <w:ind w:left="7628" w:hanging="360"/>
      </w:pPr>
      <w:rPr>
        <w:rFonts w:ascii="Symbol" w:hAnsi="Symbol" w:hint="default"/>
      </w:rPr>
    </w:lvl>
    <w:lvl w:ilvl="7" w:tplc="04090003" w:tentative="1">
      <w:start w:val="1"/>
      <w:numFmt w:val="bullet"/>
      <w:lvlText w:val="o"/>
      <w:lvlJc w:val="left"/>
      <w:pPr>
        <w:ind w:left="8348" w:hanging="360"/>
      </w:pPr>
      <w:rPr>
        <w:rFonts w:ascii="Courier New" w:hAnsi="Courier New" w:cs="Courier New" w:hint="default"/>
      </w:rPr>
    </w:lvl>
    <w:lvl w:ilvl="8" w:tplc="04090005" w:tentative="1">
      <w:start w:val="1"/>
      <w:numFmt w:val="bullet"/>
      <w:lvlText w:val=""/>
      <w:lvlJc w:val="left"/>
      <w:pPr>
        <w:ind w:left="9068" w:hanging="360"/>
      </w:pPr>
      <w:rPr>
        <w:rFonts w:ascii="Wingdings" w:hAnsi="Wingdings" w:hint="default"/>
      </w:rPr>
    </w:lvl>
  </w:abstractNum>
  <w:abstractNum w:abstractNumId="1">
    <w:nsid w:val="4E6E1951"/>
    <w:multiLevelType w:val="hybridMultilevel"/>
    <w:tmpl w:val="C85C0F32"/>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2">
    <w:nsid w:val="60555DED"/>
    <w:multiLevelType w:val="hybridMultilevel"/>
    <w:tmpl w:val="98928720"/>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3">
    <w:nsid w:val="6C3623A0"/>
    <w:multiLevelType w:val="hybridMultilevel"/>
    <w:tmpl w:val="3F5656B8"/>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619"/>
  <w:characterSpacingControl w:val="doNotCompress"/>
  <w:footnotePr>
    <w:footnote w:id="-1"/>
    <w:footnote w:id="0"/>
  </w:footnotePr>
  <w:endnotePr>
    <w:endnote w:id="-1"/>
    <w:endnote w:id="0"/>
  </w:endnotePr>
  <w:compat/>
  <w:rsids>
    <w:rsidRoot w:val="000000B0"/>
    <w:rsid w:val="000000B0"/>
    <w:rsid w:val="000C080E"/>
    <w:rsid w:val="00C67C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0B0"/>
    <w:pPr>
      <w:spacing w:after="0" w:line="240" w:lineRule="auto"/>
    </w:pPr>
    <w:rPr>
      <w:rFonts w:ascii="Times New Roman" w:eastAsia="Times New Roman" w:hAnsi="Times New Roman" w:cs="Times New Roman"/>
      <w:sz w:val="20"/>
      <w:szCs w:val="20"/>
      <w:lang w:val="ru-RU" w:eastAsia="ru-RU" w:bidi="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Geneva 9,Font: Geneva 9,Boston 10,f,93,single space,Footnote Text Rail EIS,ft,Char,footnote3,Footnotes,Footnote ak,fn cafc,Footnotes Char Char,Footnote Text Char Char,fn Char Char,Footnote Text Char Char Char Char,Footnote Text1,DNV-FT"/>
    <w:basedOn w:val="Normal"/>
    <w:link w:val="FootnoteTextChar"/>
    <w:uiPriority w:val="99"/>
    <w:rsid w:val="000000B0"/>
  </w:style>
  <w:style w:type="character" w:customStyle="1" w:styleId="FootnoteTextChar">
    <w:name w:val="Footnote Text Char"/>
    <w:aliases w:val="Geneva 9 Char,Font: Geneva 9 Char,Boston 10 Char,f Char,93 Char,single space Char,Footnote Text Rail EIS Char,ft Char,Char Char,footnote3 Char,Footnotes Char,Footnote ak Char,fn cafc Char,Footnotes Char Char Char,fn Char Char Char"/>
    <w:basedOn w:val="DefaultParagraphFont"/>
    <w:link w:val="FootnoteText"/>
    <w:uiPriority w:val="99"/>
    <w:rsid w:val="000000B0"/>
    <w:rPr>
      <w:rFonts w:ascii="Times New Roman" w:eastAsia="Times New Roman" w:hAnsi="Times New Roman" w:cs="Times New Roman"/>
      <w:sz w:val="20"/>
      <w:szCs w:val="20"/>
      <w:lang w:val="ru-RU" w:eastAsia="ru-RU" w:bidi="ru-RU"/>
    </w:rPr>
  </w:style>
  <w:style w:type="character" w:styleId="FootnoteReference">
    <w:name w:val="footnote reference"/>
    <w:aliases w:val="16 Point,Superscript 6 Point,ftref,(Ref. de nota al pie),number,SUPERS,Footnote Reference Superscript"/>
    <w:uiPriority w:val="99"/>
    <w:rsid w:val="000000B0"/>
    <w:rPr>
      <w:vertAlign w:val="superscript"/>
    </w:rPr>
  </w:style>
  <w:style w:type="paragraph" w:styleId="ListParagraph">
    <w:name w:val="List Paragraph"/>
    <w:basedOn w:val="Normal"/>
    <w:uiPriority w:val="34"/>
    <w:qFormat/>
    <w:rsid w:val="000000B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4779</Words>
  <Characters>27244</Characters>
  <Application>Microsoft Office Word</Application>
  <DocSecurity>0</DocSecurity>
  <Lines>227</Lines>
  <Paragraphs>63</Paragraphs>
  <ScaleCrop>false</ScaleCrop>
  <Company>BRS</Company>
  <LinksUpToDate>false</LinksUpToDate>
  <CharactersWithSpaces>31960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achakwera</dc:creator>
  <cp:lastModifiedBy>achakwera</cp:lastModifiedBy>
  <cp:revision>1</cp:revision>
  <dcterms:created xsi:type="dcterms:W3CDTF">2018-02-28T15:54:00Z</dcterms:created>
  <dcterms:modified xsi:type="dcterms:W3CDTF">2018-02-28T15:57:00Z</dcterms:modified>
</cp:coreProperties>
</file>