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431" w:rsidRPr="00C37791" w:rsidRDefault="00A84431" w:rsidP="00A84431">
      <w:pPr>
        <w:pStyle w:val="CH1"/>
      </w:pPr>
      <w:r>
        <w:tab/>
      </w:r>
      <w:r>
        <w:tab/>
      </w:r>
      <w:r w:rsidRPr="00C37791">
        <w:t>CRC-1</w:t>
      </w:r>
      <w:r>
        <w:t>3</w:t>
      </w:r>
      <w:r w:rsidRPr="00C37791">
        <w:t>/</w:t>
      </w:r>
      <w:r>
        <w:t>3</w:t>
      </w:r>
      <w:r w:rsidRPr="00C37791">
        <w:t xml:space="preserve">: </w:t>
      </w:r>
      <w:r>
        <w:t>Mirex</w:t>
      </w:r>
    </w:p>
    <w:p w:rsidR="00A84431" w:rsidRPr="00A40F99" w:rsidRDefault="00A84431" w:rsidP="00A84431">
      <w:pPr>
        <w:pStyle w:val="Normal-pool"/>
        <w:tabs>
          <w:tab w:val="clear" w:pos="1247"/>
          <w:tab w:val="clear" w:pos="1814"/>
          <w:tab w:val="clear" w:pos="2381"/>
          <w:tab w:val="clear" w:pos="2948"/>
          <w:tab w:val="clear" w:pos="3515"/>
          <w:tab w:val="left" w:pos="624"/>
        </w:tabs>
        <w:spacing w:after="120"/>
        <w:ind w:left="1247" w:firstLine="624"/>
        <w:rPr>
          <w:i/>
        </w:rPr>
      </w:pPr>
      <w:r w:rsidRPr="00A40F99">
        <w:rPr>
          <w:i/>
        </w:rPr>
        <w:t>The Chemical Review Committee,</w:t>
      </w:r>
    </w:p>
    <w:p w:rsidR="00A84431" w:rsidRPr="00A40F99" w:rsidRDefault="00A84431" w:rsidP="00A84431">
      <w:pPr>
        <w:pStyle w:val="Normal-pool"/>
        <w:tabs>
          <w:tab w:val="clear" w:pos="1247"/>
          <w:tab w:val="clear" w:pos="1814"/>
          <w:tab w:val="clear" w:pos="2381"/>
          <w:tab w:val="clear" w:pos="2948"/>
          <w:tab w:val="clear" w:pos="3515"/>
          <w:tab w:val="left" w:pos="624"/>
        </w:tabs>
        <w:spacing w:after="120"/>
        <w:ind w:left="1247" w:firstLine="624"/>
      </w:pPr>
      <w:r w:rsidRPr="00A40F99">
        <w:rPr>
          <w:i/>
        </w:rPr>
        <w:t xml:space="preserve">Recalling </w:t>
      </w:r>
      <w:r w:rsidRPr="00A40F99">
        <w:rPr>
          <w:rFonts w:eastAsia="MS Mincho"/>
        </w:rPr>
        <w:t>Article 5 of the Rotterdam Convention on the Prior Informed Consent Procedure for</w:t>
      </w:r>
      <w:r w:rsidRPr="00A40F99">
        <w:t xml:space="preserve"> </w:t>
      </w:r>
      <w:r w:rsidRPr="00A40F99">
        <w:rPr>
          <w:rFonts w:eastAsia="MS Mincho"/>
        </w:rPr>
        <w:t>Certain Hazardous Chemicals and Pesticides in International Trade</w:t>
      </w:r>
      <w:r w:rsidRPr="00A40F99">
        <w:t>,</w:t>
      </w:r>
    </w:p>
    <w:p w:rsidR="00A84431" w:rsidRPr="00A40F99" w:rsidRDefault="00A84431" w:rsidP="00A84431">
      <w:pPr>
        <w:pStyle w:val="Normal-pool"/>
        <w:tabs>
          <w:tab w:val="clear" w:pos="1247"/>
          <w:tab w:val="clear" w:pos="1814"/>
          <w:tab w:val="clear" w:pos="2381"/>
          <w:tab w:val="clear" w:pos="2948"/>
          <w:tab w:val="clear" w:pos="3515"/>
          <w:tab w:val="left" w:pos="624"/>
        </w:tabs>
        <w:spacing w:after="120"/>
        <w:ind w:left="1247" w:firstLine="624"/>
        <w:rPr>
          <w:b/>
        </w:rPr>
      </w:pPr>
      <w:r w:rsidRPr="00A40F99">
        <w:rPr>
          <w:i/>
        </w:rPr>
        <w:t>Having</w:t>
      </w:r>
      <w:r w:rsidRPr="00A40F99">
        <w:t xml:space="preserve"> </w:t>
      </w:r>
      <w:r w:rsidRPr="00A40F99">
        <w:rPr>
          <w:i/>
        </w:rPr>
        <w:t>reviewed</w:t>
      </w:r>
      <w:r w:rsidRPr="00A40F99">
        <w:t xml:space="preserve"> the notification of final regulatory action for mirex from Colombia and the new notification of final re</w:t>
      </w:r>
      <w:r w:rsidRPr="00D038F2">
        <w:t>gulatory action for mirex submitted by Canada, replacing the previous notification from that Party,</w:t>
      </w:r>
      <w:r w:rsidRPr="00EC2B49">
        <w:rPr>
          <w:vertAlign w:val="superscript"/>
        </w:rPr>
        <w:footnoteReference w:id="1"/>
      </w:r>
    </w:p>
    <w:p w:rsidR="00A84431" w:rsidRPr="00A40F99" w:rsidRDefault="00A84431" w:rsidP="00A84431">
      <w:pPr>
        <w:pStyle w:val="Normalnumber"/>
        <w:numPr>
          <w:ilvl w:val="0"/>
          <w:numId w:val="3"/>
        </w:numPr>
        <w:ind w:firstLine="624"/>
      </w:pPr>
      <w:r w:rsidRPr="00A40F99">
        <w:rPr>
          <w:i/>
        </w:rPr>
        <w:t>Concludes</w:t>
      </w:r>
      <w:r w:rsidRPr="00A40F99">
        <w:t xml:space="preserve"> that the new notification of final regulatory action for mirex submitted by Canada meets the criteria set out in Annex II to the Convention;</w:t>
      </w:r>
    </w:p>
    <w:p w:rsidR="00A84431" w:rsidRPr="00A40F99" w:rsidRDefault="00A84431" w:rsidP="00A84431">
      <w:pPr>
        <w:pStyle w:val="Normalnumber"/>
        <w:numPr>
          <w:ilvl w:val="0"/>
          <w:numId w:val="3"/>
        </w:numPr>
        <w:ind w:firstLine="624"/>
      </w:pPr>
      <w:r w:rsidRPr="00A40F99">
        <w:rPr>
          <w:i/>
        </w:rPr>
        <w:t>Adopts</w:t>
      </w:r>
      <w:r w:rsidRPr="00A40F99">
        <w:t xml:space="preserve"> the rationale for the Committee’s conclusion on the notification for mirex submitted by Canada set out in the annex to the present decision;</w:t>
      </w:r>
      <w:r w:rsidRPr="00A40F99">
        <w:rPr>
          <w:vertAlign w:val="superscript"/>
        </w:rPr>
        <w:footnoteReference w:id="2"/>
      </w:r>
    </w:p>
    <w:p w:rsidR="00A84431" w:rsidRPr="00A40F99" w:rsidRDefault="00A84431" w:rsidP="00A84431">
      <w:pPr>
        <w:pStyle w:val="Normalnumber"/>
        <w:numPr>
          <w:ilvl w:val="0"/>
          <w:numId w:val="3"/>
        </w:numPr>
        <w:ind w:firstLine="624"/>
      </w:pPr>
      <w:r w:rsidRPr="00A40F99">
        <w:rPr>
          <w:i/>
        </w:rPr>
        <w:t>Notes</w:t>
      </w:r>
      <w:r w:rsidRPr="00A40F99">
        <w:t xml:space="preserve"> that, as only one notification of final regulatory action in respect of mirex meets the criteria set out in Annex II to the Convention, it will take no further action on the chemical at present.</w:t>
      </w:r>
    </w:p>
    <w:p w:rsidR="00A84431" w:rsidRPr="00B04C2D" w:rsidRDefault="00A84431" w:rsidP="00A84431">
      <w:pPr>
        <w:pStyle w:val="CH1"/>
      </w:pPr>
      <w:r>
        <w:tab/>
      </w:r>
      <w:r>
        <w:tab/>
      </w:r>
      <w:r w:rsidRPr="00A40F99">
        <w:t>Annex to decision CRC</w:t>
      </w:r>
      <w:r w:rsidRPr="00A40F99">
        <w:noBreakHyphen/>
        <w:t>13/</w:t>
      </w:r>
      <w:r>
        <w:t>3</w:t>
      </w:r>
    </w:p>
    <w:p w:rsidR="00A84431" w:rsidRDefault="00A84431" w:rsidP="00A84431">
      <w:pPr>
        <w:pStyle w:val="CH1"/>
      </w:pPr>
      <w:r>
        <w:tab/>
      </w:r>
      <w:r>
        <w:tab/>
        <w:t>R</w:t>
      </w:r>
      <w:r w:rsidRPr="00821306">
        <w:t xml:space="preserve">ationale for the conclusion by the Chemical Review Committee that the notification of final regulatory action submitted by </w:t>
      </w:r>
      <w:r>
        <w:t>Canada</w:t>
      </w:r>
      <w:r w:rsidRPr="00821306">
        <w:t xml:space="preserve"> </w:t>
      </w:r>
      <w:r>
        <w:t>in respect of</w:t>
      </w:r>
      <w:r w:rsidRPr="00821306">
        <w:t xml:space="preserve"> mirex in the industrial category meets the criteria of Annex II to the Rotterdam Convention</w:t>
      </w:r>
    </w:p>
    <w:p w:rsidR="00A84431" w:rsidRPr="003E2B2D" w:rsidRDefault="00A84431" w:rsidP="00A84431">
      <w:pPr>
        <w:tabs>
          <w:tab w:val="clear" w:pos="1247"/>
          <w:tab w:val="clear" w:pos="1814"/>
          <w:tab w:val="clear" w:pos="2381"/>
          <w:tab w:val="clear" w:pos="2948"/>
          <w:tab w:val="clear" w:pos="3515"/>
          <w:tab w:val="left" w:pos="624"/>
        </w:tabs>
        <w:spacing w:after="120"/>
        <w:ind w:left="1247"/>
      </w:pPr>
      <w:r w:rsidRPr="00C1225F">
        <w:t>1.</w:t>
      </w:r>
      <w:r w:rsidRPr="00C1225F">
        <w:tab/>
        <w:t xml:space="preserve">The notification </w:t>
      </w:r>
      <w:r w:rsidRPr="00484676">
        <w:t xml:space="preserve">of final regulatory action for mirex in the industrial category submitted by Canada </w:t>
      </w:r>
      <w:r w:rsidRPr="003E2B2D">
        <w:t xml:space="preserve">has been verified by the Secretariat as containing the information required by Annex I to the Rotterdam Convention. The notification and supporting documentation were made available to the Chemical Review Committee </w:t>
      </w:r>
      <w:r>
        <w:t xml:space="preserve">for its </w:t>
      </w:r>
      <w:r w:rsidRPr="003E2B2D">
        <w:t>consideration (</w:t>
      </w:r>
      <w:r>
        <w:t>U</w:t>
      </w:r>
      <w:r w:rsidRPr="003E2B2D">
        <w:t>NEP/FAO/RC/CRC.13/10, UNEP/FAO/RC/CRC.13/INF/22).</w:t>
      </w:r>
    </w:p>
    <w:p w:rsidR="00A84431" w:rsidRPr="003E2B2D" w:rsidRDefault="00A84431" w:rsidP="00A84431">
      <w:pPr>
        <w:tabs>
          <w:tab w:val="clear" w:pos="1247"/>
          <w:tab w:val="clear" w:pos="1814"/>
          <w:tab w:val="clear" w:pos="2381"/>
          <w:tab w:val="clear" w:pos="2948"/>
          <w:tab w:val="clear" w:pos="3515"/>
          <w:tab w:val="left" w:pos="624"/>
        </w:tabs>
        <w:spacing w:after="120"/>
        <w:ind w:left="1247"/>
      </w:pPr>
      <w:r w:rsidRPr="003E2B2D">
        <w:t>2.</w:t>
      </w:r>
      <w:r w:rsidRPr="003E2B2D">
        <w:tab/>
        <w:t>In reviewing the notification of final regulatory action by Canada, together with the supporting documentation provided by the Party, the Committee was able to confirm that the action had been taken in order to protect human health and the environment. Mirex is persistent and bioaccumulative (stored mainly in fat tissues) and it is subject to long-range transport. It has been demonstrated to cause cancer in experimental animals and it is possibly carcinogenic to humans. Mirex was never registered for use as an agricultural pesticide in Canada. The notified decision concerns industrial uses. It has mainly been used as a fire</w:t>
      </w:r>
      <w:r w:rsidRPr="003E2B2D">
        <w:noBreakHyphen/>
        <w:t>retardant agent in plastics, rubber, paint</w:t>
      </w:r>
      <w:r>
        <w:t>,</w:t>
      </w:r>
      <w:r w:rsidRPr="003E2B2D">
        <w:t xml:space="preserve"> paper and electrical goods. It has also been used as a pyrotechnic for generating white smoke. Mirex contaminates several ecosystems in Canada. Human dietary exposure to mirex is generally low, with the possible exception of the group dependant on a diet of fish or fish-eating birds from Lake Ontario and the St. Lawrence River and of hunters eating game birds. </w:t>
      </w:r>
    </w:p>
    <w:p w:rsidR="00A84431" w:rsidRPr="003E2B2D" w:rsidRDefault="00A84431" w:rsidP="00A84431">
      <w:pPr>
        <w:tabs>
          <w:tab w:val="clear" w:pos="1247"/>
          <w:tab w:val="clear" w:pos="1814"/>
          <w:tab w:val="clear" w:pos="2381"/>
          <w:tab w:val="clear" w:pos="2948"/>
          <w:tab w:val="clear" w:pos="3515"/>
          <w:tab w:val="left" w:pos="624"/>
        </w:tabs>
        <w:spacing w:after="120"/>
        <w:ind w:left="1247"/>
      </w:pPr>
      <w:r w:rsidRPr="003E2B2D">
        <w:t>3.</w:t>
      </w:r>
      <w:r w:rsidRPr="003E2B2D">
        <w:tab/>
        <w:t>The Committee established that the final regulatory action had been taken on the basis of risk evaluation and that the evaluation had been based on a review of scientific data. The available documentation demonstrated that the data had been generated in accordance with scientifically recognized methods and that the data reviews had been performed and documented in accordance with generally recognized scientific principles and procedures. It also showed that the final regulatory action had been based on chemical</w:t>
      </w:r>
      <w:r w:rsidRPr="003E2B2D">
        <w:noBreakHyphen/>
        <w:t xml:space="preserve">specific risk evaluations, taking into account the </w:t>
      </w:r>
      <w:r w:rsidRPr="003E2B2D">
        <w:lastRenderedPageBreak/>
        <w:t>conditions of exposure within Canada. A task force had evaluated the risks in 1997. The main conclusions were:</w:t>
      </w:r>
    </w:p>
    <w:p w:rsidR="00A84431" w:rsidRPr="003E2B2D" w:rsidRDefault="00A84431" w:rsidP="00A84431">
      <w:pPr>
        <w:pStyle w:val="ListParagraph"/>
        <w:numPr>
          <w:ilvl w:val="0"/>
          <w:numId w:val="4"/>
        </w:numPr>
        <w:tabs>
          <w:tab w:val="clear" w:pos="1247"/>
          <w:tab w:val="clear" w:pos="1814"/>
          <w:tab w:val="clear" w:pos="2381"/>
          <w:tab w:val="clear" w:pos="2948"/>
          <w:tab w:val="clear" w:pos="3515"/>
          <w:tab w:val="left" w:pos="624"/>
        </w:tabs>
        <w:spacing w:after="120"/>
        <w:ind w:left="1247" w:firstLine="624"/>
        <w:contextualSpacing w:val="0"/>
      </w:pPr>
      <w:r w:rsidRPr="003E2B2D">
        <w:t>Mirex contaminates several ecosystems in Canada;</w:t>
      </w:r>
    </w:p>
    <w:p w:rsidR="00A84431" w:rsidRPr="003E2B2D" w:rsidRDefault="00A84431" w:rsidP="00A84431">
      <w:pPr>
        <w:pStyle w:val="ListParagraph"/>
        <w:numPr>
          <w:ilvl w:val="0"/>
          <w:numId w:val="4"/>
        </w:numPr>
        <w:tabs>
          <w:tab w:val="clear" w:pos="1247"/>
          <w:tab w:val="clear" w:pos="1814"/>
          <w:tab w:val="clear" w:pos="2381"/>
          <w:tab w:val="clear" w:pos="2948"/>
          <w:tab w:val="clear" w:pos="3515"/>
          <w:tab w:val="left" w:pos="624"/>
        </w:tabs>
        <w:spacing w:after="120"/>
        <w:ind w:left="1247" w:firstLine="624"/>
        <w:contextualSpacing w:val="0"/>
      </w:pPr>
      <w:r w:rsidRPr="003E2B2D">
        <w:t>Mirex is not known to occur in the environment as a natural product;</w:t>
      </w:r>
    </w:p>
    <w:p w:rsidR="00A84431" w:rsidRPr="003E2B2D" w:rsidRDefault="00A84431" w:rsidP="00A84431">
      <w:pPr>
        <w:pStyle w:val="ListParagraph"/>
        <w:numPr>
          <w:ilvl w:val="0"/>
          <w:numId w:val="4"/>
        </w:numPr>
        <w:tabs>
          <w:tab w:val="clear" w:pos="1247"/>
          <w:tab w:val="clear" w:pos="1814"/>
          <w:tab w:val="clear" w:pos="2381"/>
          <w:tab w:val="clear" w:pos="2948"/>
          <w:tab w:val="clear" w:pos="3515"/>
          <w:tab w:val="left" w:pos="624"/>
        </w:tabs>
        <w:spacing w:after="120"/>
        <w:ind w:left="1247" w:firstLine="624"/>
        <w:contextualSpacing w:val="0"/>
      </w:pPr>
      <w:r w:rsidRPr="003E2B2D">
        <w:t>The main sources of mirex in Canada are located in New York State</w:t>
      </w:r>
      <w:r>
        <w:t xml:space="preserve">, </w:t>
      </w:r>
      <w:r w:rsidRPr="003E2B2D">
        <w:t>U</w:t>
      </w:r>
      <w:r>
        <w:t>nited States,</w:t>
      </w:r>
      <w:r w:rsidRPr="003E2B2D">
        <w:t xml:space="preserve"> in the Niagara River and the Oswego River where chemical manufacturing and fire retardant plants were located;</w:t>
      </w:r>
    </w:p>
    <w:p w:rsidR="00A84431" w:rsidRPr="003E2B2D" w:rsidRDefault="00A84431" w:rsidP="00A84431">
      <w:pPr>
        <w:pStyle w:val="ListParagraph"/>
        <w:numPr>
          <w:ilvl w:val="0"/>
          <w:numId w:val="4"/>
        </w:numPr>
        <w:tabs>
          <w:tab w:val="clear" w:pos="1247"/>
          <w:tab w:val="clear" w:pos="1814"/>
          <w:tab w:val="clear" w:pos="2381"/>
          <w:tab w:val="clear" w:pos="2948"/>
          <w:tab w:val="clear" w:pos="3515"/>
          <w:tab w:val="left" w:pos="624"/>
        </w:tabs>
        <w:spacing w:after="120"/>
        <w:ind w:left="1247" w:firstLine="624"/>
        <w:contextualSpacing w:val="0"/>
      </w:pPr>
      <w:r w:rsidRPr="003E2B2D">
        <w:t>The transboundary movement of mirex in the Lake Ontario ecosystem has resulted in the contamination of fish and fish feeding birds in Canada;</w:t>
      </w:r>
    </w:p>
    <w:p w:rsidR="00A84431" w:rsidRPr="003E2B2D" w:rsidRDefault="00A84431" w:rsidP="00A84431">
      <w:pPr>
        <w:pStyle w:val="ListParagraph"/>
        <w:numPr>
          <w:ilvl w:val="0"/>
          <w:numId w:val="4"/>
        </w:numPr>
        <w:tabs>
          <w:tab w:val="clear" w:pos="1247"/>
          <w:tab w:val="clear" w:pos="1814"/>
          <w:tab w:val="clear" w:pos="2381"/>
          <w:tab w:val="clear" w:pos="2948"/>
          <w:tab w:val="clear" w:pos="3515"/>
          <w:tab w:val="left" w:pos="624"/>
        </w:tabs>
        <w:spacing w:after="120"/>
        <w:ind w:left="1247" w:firstLine="624"/>
        <w:contextualSpacing w:val="0"/>
      </w:pPr>
      <w:r w:rsidRPr="003E2B2D">
        <w:t>Human dietary exposure to mirex is generally very low in Canada with the possible exception of a critical subpopulation partly or wholly dependent on a diet of fish or fish-feeding birds from Lake Ontario and the St. Lawrence River;</w:t>
      </w:r>
    </w:p>
    <w:p w:rsidR="00A84431" w:rsidRPr="003E2B2D" w:rsidRDefault="00A84431" w:rsidP="00A84431">
      <w:pPr>
        <w:pStyle w:val="ListParagraph"/>
        <w:numPr>
          <w:ilvl w:val="0"/>
          <w:numId w:val="4"/>
        </w:numPr>
        <w:tabs>
          <w:tab w:val="clear" w:pos="1247"/>
          <w:tab w:val="clear" w:pos="1814"/>
          <w:tab w:val="clear" w:pos="2381"/>
          <w:tab w:val="clear" w:pos="2948"/>
          <w:tab w:val="clear" w:pos="3515"/>
          <w:tab w:val="left" w:pos="624"/>
        </w:tabs>
        <w:spacing w:after="120"/>
        <w:ind w:left="1247" w:firstLine="624"/>
        <w:contextualSpacing w:val="0"/>
      </w:pPr>
      <w:r w:rsidRPr="003E2B2D">
        <w:t>Mirex is biologically active, accumulates in food chains, is extremely persistent and dispersed in the environment.</w:t>
      </w:r>
    </w:p>
    <w:p w:rsidR="00A84431" w:rsidRPr="003E2B2D" w:rsidRDefault="00A84431" w:rsidP="00A84431">
      <w:pPr>
        <w:spacing w:after="120"/>
        <w:ind w:left="1247"/>
      </w:pPr>
      <w:r w:rsidRPr="003E2B2D">
        <w:t>4.</w:t>
      </w:r>
      <w:r w:rsidRPr="003E2B2D">
        <w:tab/>
        <w:t>The Committee concluded that the final regulatory action provided a sufficiently broad basis to merit including mirex in Annex III</w:t>
      </w:r>
      <w:r>
        <w:t xml:space="preserve"> to</w:t>
      </w:r>
      <w:r w:rsidRPr="003E2B2D">
        <w:t xml:space="preserve"> the Rotterdam Convention in the industrial category. It noted that the action had led to a decrease in the quantities of the chemicals used in the notifying Party. The chemical has not been registered or used as an insecticide in Canada and had never been produced</w:t>
      </w:r>
      <w:r>
        <w:t xml:space="preserve"> in the country</w:t>
      </w:r>
      <w:r w:rsidRPr="003E2B2D">
        <w:t>. By the notified decision, all other uses had been banned. Over the period 1963–1973, about 146 metric tonnes had been imported to Canada for industrial uses. The Stockholm Convention</w:t>
      </w:r>
      <w:r>
        <w:t>,</w:t>
      </w:r>
      <w:r w:rsidRPr="003E2B2D">
        <w:t xml:space="preserve"> to which Canada is a Party</w:t>
      </w:r>
      <w:r>
        <w:t>,</w:t>
      </w:r>
      <w:r w:rsidRPr="003E2B2D">
        <w:t xml:space="preserve"> prohibits both </w:t>
      </w:r>
      <w:r>
        <w:t xml:space="preserve">the </w:t>
      </w:r>
      <w:r w:rsidRPr="003E2B2D">
        <w:t>production and use</w:t>
      </w:r>
      <w:r>
        <w:t xml:space="preserve"> of mirex</w:t>
      </w:r>
      <w:r w:rsidRPr="003E2B2D">
        <w:t>. Accordingly, the risk for human health or environment in the notifying Party had been significantly reduced.</w:t>
      </w:r>
    </w:p>
    <w:p w:rsidR="00A84431" w:rsidRPr="00801E85" w:rsidRDefault="00A84431" w:rsidP="00A84431">
      <w:pPr>
        <w:pStyle w:val="Paralevel1"/>
        <w:rPr>
          <w:snapToGrid/>
          <w:lang w:val="en-GB"/>
        </w:rPr>
      </w:pPr>
      <w:r w:rsidRPr="00801E85">
        <w:rPr>
          <w:snapToGrid/>
          <w:lang w:val="en-GB"/>
        </w:rPr>
        <w:t>5.</w:t>
      </w:r>
      <w:r w:rsidRPr="00801E85">
        <w:rPr>
          <w:snapToGrid/>
          <w:lang w:val="en-GB"/>
        </w:rPr>
        <w:tab/>
        <w:t xml:space="preserve">The Committee took into account that the considerations underlying the final regulatory action were not of limited applicability since mirex was subject to long-range transport and persistent; therefore also found in monitoring in areas where it had never been used. Although there is no information on the ongoing trade of the chemical available to the Committee, it cannot be excluded that international trade takes place. </w:t>
      </w:r>
    </w:p>
    <w:p w:rsidR="00A84431" w:rsidRPr="003E2B2D" w:rsidRDefault="00A84431" w:rsidP="00A84431">
      <w:pPr>
        <w:spacing w:after="120"/>
        <w:ind w:left="1247"/>
      </w:pPr>
      <w:r w:rsidRPr="003E2B2D">
        <w:t>6.</w:t>
      </w:r>
      <w:r w:rsidRPr="003E2B2D">
        <w:tab/>
        <w:t xml:space="preserve">The Committee noted that the final regulatory action had not been based on concerns </w:t>
      </w:r>
      <w:r>
        <w:t>over the</w:t>
      </w:r>
      <w:r w:rsidRPr="003E2B2D">
        <w:t xml:space="preserve"> intentional misuse of mirex.</w:t>
      </w:r>
    </w:p>
    <w:p w:rsidR="00A84431" w:rsidRPr="003E2B2D" w:rsidRDefault="00A84431" w:rsidP="00A84431">
      <w:pPr>
        <w:spacing w:after="120"/>
        <w:ind w:left="1247"/>
      </w:pPr>
      <w:r w:rsidRPr="003E2B2D">
        <w:t>7.</w:t>
      </w:r>
      <w:r w:rsidRPr="003E2B2D">
        <w:tab/>
        <w:t xml:space="preserve">At its </w:t>
      </w:r>
      <w:r>
        <w:t>thirteenth</w:t>
      </w:r>
      <w:r w:rsidRPr="003E2B2D">
        <w:t xml:space="preserve"> meeting, the Committee concluded that the notification of final regulatory action by Canada met the information requirements of Annex I and the criteria set out in Annex II to the Convention. When a second notification for the same chemical from a Party in a region other than North America will be found by the Committee </w:t>
      </w:r>
      <w:r>
        <w:t>to meet</w:t>
      </w:r>
      <w:r w:rsidRPr="003E2B2D">
        <w:t xml:space="preserve"> the criteria of Annex II, the Committee will recommend to the Conference of the Parties that mirex should be included in Annex III to the Rotterdam Convention.</w:t>
      </w:r>
    </w:p>
    <w:p w:rsidR="00B01B12" w:rsidRDefault="00B01B12" w:rsidP="00A84431"/>
    <w:sectPr w:rsidR="00B01B12" w:rsidSect="00B01B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4DF0" w:rsidRDefault="00594DF0" w:rsidP="00A84431">
      <w:r>
        <w:separator/>
      </w:r>
    </w:p>
  </w:endnote>
  <w:endnote w:type="continuationSeparator" w:id="0">
    <w:p w:rsidR="00594DF0" w:rsidRDefault="00594DF0" w:rsidP="00A844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4DF0" w:rsidRDefault="00594DF0" w:rsidP="00A84431">
      <w:r>
        <w:separator/>
      </w:r>
    </w:p>
  </w:footnote>
  <w:footnote w:type="continuationSeparator" w:id="0">
    <w:p w:rsidR="00594DF0" w:rsidRDefault="00594DF0" w:rsidP="00A84431">
      <w:r>
        <w:continuationSeparator/>
      </w:r>
    </w:p>
  </w:footnote>
  <w:footnote w:id="1">
    <w:p w:rsidR="00A84431" w:rsidRPr="00D038F2" w:rsidRDefault="00A84431" w:rsidP="00A84431">
      <w:pPr>
        <w:pStyle w:val="FootnoteText"/>
        <w:rPr>
          <w:rFonts w:eastAsia="Calibri"/>
          <w:szCs w:val="18"/>
          <w:highlight w:val="yellow"/>
          <w:lang w:val="en-US"/>
        </w:rPr>
      </w:pPr>
      <w:r>
        <w:rPr>
          <w:rStyle w:val="FootnoteReference"/>
          <w:rFonts w:eastAsia="SimSun"/>
        </w:rPr>
        <w:footnoteRef/>
      </w:r>
      <w:r>
        <w:rPr>
          <w:rStyle w:val="FootnoteReference"/>
          <w:rFonts w:eastAsia="SimSun"/>
          <w:lang w:val="en-US"/>
        </w:rPr>
        <w:t xml:space="preserve"> </w:t>
      </w:r>
      <w:r w:rsidRPr="00D038F2">
        <w:rPr>
          <w:rFonts w:eastAsia="Calibri"/>
          <w:lang w:val="en-US"/>
        </w:rPr>
        <w:t>See UNEP/FAO/RC/CRC.13/10.</w:t>
      </w:r>
    </w:p>
  </w:footnote>
  <w:footnote w:id="2">
    <w:p w:rsidR="00A84431" w:rsidRPr="00E954A5" w:rsidRDefault="00A84431" w:rsidP="00A84431">
      <w:pPr>
        <w:pStyle w:val="FootnoteText"/>
        <w:rPr>
          <w:rFonts w:eastAsia="Calibri"/>
          <w:szCs w:val="18"/>
          <w:lang w:val="en-US"/>
        </w:rPr>
      </w:pPr>
      <w:r>
        <w:rPr>
          <w:rStyle w:val="FootnoteReference"/>
          <w:rFonts w:eastAsia="Calibri"/>
        </w:rPr>
        <w:footnoteRef/>
      </w:r>
      <w:r w:rsidRPr="00D038F2">
        <w:rPr>
          <w:rFonts w:eastAsia="Calibri"/>
          <w:szCs w:val="18"/>
          <w:lang w:val="en-US"/>
        </w:rPr>
        <w:t xml:space="preserve"> The rationale annexed to the present decision replaces the rationale developed by the Committee at its second meeting (UNEP/FAO/RC/CRC.2/20, annex III, sect. D).</w:t>
      </w:r>
      <w:r w:rsidRPr="00E954A5">
        <w:rPr>
          <w:rFonts w:eastAsia="Calibri"/>
          <w:szCs w:val="18"/>
          <w:lang w:val="en-US"/>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7BB"/>
    <w:multiLevelType w:val="hybridMultilevel"/>
    <w:tmpl w:val="3EE8BFB0"/>
    <w:lvl w:ilvl="0" w:tplc="FFFFFFFF">
      <w:start w:val="1"/>
      <w:numFmt w:val="lowerLetter"/>
      <w:lvlText w:val="(%1)"/>
      <w:lvlJc w:val="left"/>
      <w:pPr>
        <w:ind w:left="2579" w:hanging="360"/>
      </w:pPr>
      <w:rPr>
        <w:rFonts w:hint="default"/>
      </w:rPr>
    </w:lvl>
    <w:lvl w:ilvl="1" w:tplc="04090019" w:tentative="1">
      <w:start w:val="1"/>
      <w:numFmt w:val="lowerLetter"/>
      <w:lvlText w:val="%2."/>
      <w:lvlJc w:val="left"/>
      <w:pPr>
        <w:ind w:left="3299" w:hanging="360"/>
      </w:pPr>
    </w:lvl>
    <w:lvl w:ilvl="2" w:tplc="0409001B" w:tentative="1">
      <w:start w:val="1"/>
      <w:numFmt w:val="lowerRoman"/>
      <w:lvlText w:val="%3."/>
      <w:lvlJc w:val="right"/>
      <w:pPr>
        <w:ind w:left="4019" w:hanging="180"/>
      </w:pPr>
    </w:lvl>
    <w:lvl w:ilvl="3" w:tplc="0409000F" w:tentative="1">
      <w:start w:val="1"/>
      <w:numFmt w:val="decimal"/>
      <w:lvlText w:val="%4."/>
      <w:lvlJc w:val="left"/>
      <w:pPr>
        <w:ind w:left="4739" w:hanging="360"/>
      </w:pPr>
    </w:lvl>
    <w:lvl w:ilvl="4" w:tplc="04090019" w:tentative="1">
      <w:start w:val="1"/>
      <w:numFmt w:val="lowerLetter"/>
      <w:lvlText w:val="%5."/>
      <w:lvlJc w:val="left"/>
      <w:pPr>
        <w:ind w:left="5459" w:hanging="360"/>
      </w:pPr>
    </w:lvl>
    <w:lvl w:ilvl="5" w:tplc="0409001B" w:tentative="1">
      <w:start w:val="1"/>
      <w:numFmt w:val="lowerRoman"/>
      <w:lvlText w:val="%6."/>
      <w:lvlJc w:val="right"/>
      <w:pPr>
        <w:ind w:left="6179" w:hanging="180"/>
      </w:pPr>
    </w:lvl>
    <w:lvl w:ilvl="6" w:tplc="0409000F" w:tentative="1">
      <w:start w:val="1"/>
      <w:numFmt w:val="decimal"/>
      <w:lvlText w:val="%7."/>
      <w:lvlJc w:val="left"/>
      <w:pPr>
        <w:ind w:left="6899" w:hanging="360"/>
      </w:pPr>
    </w:lvl>
    <w:lvl w:ilvl="7" w:tplc="04090019" w:tentative="1">
      <w:start w:val="1"/>
      <w:numFmt w:val="lowerLetter"/>
      <w:lvlText w:val="%8."/>
      <w:lvlJc w:val="left"/>
      <w:pPr>
        <w:ind w:left="7619" w:hanging="360"/>
      </w:pPr>
    </w:lvl>
    <w:lvl w:ilvl="8" w:tplc="0409001B" w:tentative="1">
      <w:start w:val="1"/>
      <w:numFmt w:val="lowerRoman"/>
      <w:lvlText w:val="%9."/>
      <w:lvlJc w:val="right"/>
      <w:pPr>
        <w:ind w:left="8339" w:hanging="180"/>
      </w:pPr>
    </w:lvl>
  </w:abstractNum>
  <w:abstractNum w:abstractNumId="1">
    <w:nsid w:val="171113A7"/>
    <w:multiLevelType w:val="multilevel"/>
    <w:tmpl w:val="48241D10"/>
    <w:lvl w:ilvl="0">
      <w:start w:val="1"/>
      <w:numFmt w:val="decimal"/>
      <w:lvlText w:val="%1."/>
      <w:lvlJc w:val="left"/>
      <w:pPr>
        <w:tabs>
          <w:tab w:val="num" w:pos="567"/>
        </w:tabs>
        <w:ind w:left="1247" w:firstLine="0"/>
      </w:pPr>
      <w:rPr>
        <w:rFonts w:hint="default"/>
      </w:rPr>
    </w:lvl>
    <w:lvl w:ilvl="1">
      <w:start w:val="1"/>
      <w:numFmt w:val="lowerLetter"/>
      <w:lvlText w:val="(%2)"/>
      <w:lvlJc w:val="left"/>
      <w:pPr>
        <w:tabs>
          <w:tab w:val="num" w:pos="567"/>
        </w:tabs>
        <w:ind w:left="1247" w:firstLine="567"/>
      </w:pPr>
      <w:rPr>
        <w:rFonts w:hint="default"/>
      </w:rPr>
    </w:lvl>
    <w:lvl w:ilvl="2">
      <w:start w:val="1"/>
      <w:numFmt w:val="lowerRoman"/>
      <w:lvlText w:val="(%3)"/>
      <w:lvlJc w:val="left"/>
      <w:pPr>
        <w:tabs>
          <w:tab w:val="num" w:pos="706"/>
        </w:tabs>
        <w:ind w:left="3087" w:hanging="567"/>
      </w:pPr>
      <w:rPr>
        <w:rFonts w:hint="default"/>
      </w:rPr>
    </w:lvl>
    <w:lvl w:ilvl="3">
      <w:start w:val="1"/>
      <w:numFmt w:val="lowerLetter"/>
      <w:lvlText w:val="%4."/>
      <w:lvlJc w:val="left"/>
      <w:pPr>
        <w:tabs>
          <w:tab w:val="num" w:pos="567"/>
        </w:tabs>
        <w:ind w:left="3515" w:hanging="567"/>
      </w:pPr>
      <w:rPr>
        <w:rFonts w:hint="default"/>
      </w:rPr>
    </w:lvl>
    <w:lvl w:ilvl="4">
      <w:start w:val="1"/>
      <w:numFmt w:val="lowerLetter"/>
      <w:lvlText w:val="%5."/>
      <w:lvlJc w:val="left"/>
      <w:pPr>
        <w:tabs>
          <w:tab w:val="num" w:pos="6548"/>
        </w:tabs>
        <w:ind w:left="6548" w:hanging="360"/>
      </w:pPr>
      <w:rPr>
        <w:rFonts w:hint="default"/>
      </w:rPr>
    </w:lvl>
    <w:lvl w:ilvl="5">
      <w:start w:val="1"/>
      <w:numFmt w:val="lowerRoman"/>
      <w:lvlText w:val="%6."/>
      <w:lvlJc w:val="right"/>
      <w:pPr>
        <w:tabs>
          <w:tab w:val="num" w:pos="7268"/>
        </w:tabs>
        <w:ind w:left="7268" w:hanging="180"/>
      </w:pPr>
      <w:rPr>
        <w:rFonts w:hint="default"/>
      </w:rPr>
    </w:lvl>
    <w:lvl w:ilvl="6">
      <w:start w:val="1"/>
      <w:numFmt w:val="decimal"/>
      <w:lvlText w:val="%7."/>
      <w:lvlJc w:val="left"/>
      <w:pPr>
        <w:tabs>
          <w:tab w:val="num" w:pos="7988"/>
        </w:tabs>
        <w:ind w:left="7988" w:hanging="360"/>
      </w:pPr>
      <w:rPr>
        <w:rFonts w:hint="default"/>
      </w:rPr>
    </w:lvl>
    <w:lvl w:ilvl="7">
      <w:start w:val="1"/>
      <w:numFmt w:val="lowerLetter"/>
      <w:lvlText w:val="%8."/>
      <w:lvlJc w:val="left"/>
      <w:pPr>
        <w:tabs>
          <w:tab w:val="num" w:pos="8708"/>
        </w:tabs>
        <w:ind w:left="8708" w:hanging="360"/>
      </w:pPr>
      <w:rPr>
        <w:rFonts w:hint="default"/>
      </w:rPr>
    </w:lvl>
    <w:lvl w:ilvl="8">
      <w:start w:val="1"/>
      <w:numFmt w:val="lowerRoman"/>
      <w:lvlText w:val="%9."/>
      <w:lvlJc w:val="right"/>
      <w:pPr>
        <w:tabs>
          <w:tab w:val="num" w:pos="9428"/>
        </w:tabs>
        <w:ind w:left="9428" w:hanging="180"/>
      </w:pPr>
      <w:rPr>
        <w:rFonts w:hint="default"/>
      </w:rPr>
    </w:lvl>
  </w:abstractNum>
  <w:abstractNum w:abstractNumId="2">
    <w:nsid w:val="52A66A9D"/>
    <w:multiLevelType w:val="multilevel"/>
    <w:tmpl w:val="4E3E3288"/>
    <w:styleLink w:val="Normallist"/>
    <w:lvl w:ilvl="0">
      <w:start w:val="1"/>
      <w:numFmt w:val="decimal"/>
      <w:pStyle w:val="Normalnumber"/>
      <w:lvlText w:val="%1."/>
      <w:lvlJc w:val="left"/>
      <w:pPr>
        <w:tabs>
          <w:tab w:val="num" w:pos="1134"/>
        </w:tabs>
        <w:ind w:left="1247" w:firstLine="0"/>
      </w:pPr>
      <w:rPr>
        <w:rFonts w:hint="default"/>
      </w:rPr>
    </w:lvl>
    <w:lvl w:ilvl="1">
      <w:start w:val="1"/>
      <w:numFmt w:val="lowerLetter"/>
      <w:lvlText w:val="(%2)"/>
      <w:lvlJc w:val="left"/>
      <w:pPr>
        <w:tabs>
          <w:tab w:val="num" w:pos="1134"/>
        </w:tabs>
        <w:ind w:left="1247" w:firstLine="567"/>
      </w:pPr>
      <w:rPr>
        <w:rFonts w:hint="default"/>
      </w:rPr>
    </w:lvl>
    <w:lvl w:ilvl="2">
      <w:start w:val="1"/>
      <w:numFmt w:val="lowerRoman"/>
      <w:lvlText w:val="(%3)"/>
      <w:lvlJc w:val="left"/>
      <w:pPr>
        <w:tabs>
          <w:tab w:val="num" w:pos="1134"/>
        </w:tabs>
        <w:ind w:left="2948" w:hanging="567"/>
      </w:pPr>
      <w:rPr>
        <w:rFonts w:hint="default"/>
      </w:rPr>
    </w:lvl>
    <w:lvl w:ilvl="3">
      <w:start w:val="1"/>
      <w:numFmt w:val="lowerLetter"/>
      <w:lvlText w:val="%4."/>
      <w:lvlJc w:val="left"/>
      <w:pPr>
        <w:tabs>
          <w:tab w:val="num" w:pos="1134"/>
        </w:tabs>
        <w:ind w:left="3515" w:hanging="567"/>
      </w:pPr>
      <w:rPr>
        <w:rFonts w:hint="default"/>
      </w:rPr>
    </w:lvl>
    <w:lvl w:ilvl="4">
      <w:start w:val="1"/>
      <w:numFmt w:val="lowerRoman"/>
      <w:lvlText w:val="%5."/>
      <w:lvlJc w:val="left"/>
      <w:pPr>
        <w:tabs>
          <w:tab w:val="num" w:pos="1134"/>
        </w:tabs>
        <w:ind w:left="4082" w:hanging="567"/>
      </w:pPr>
      <w:rPr>
        <w:rFonts w:hint="default"/>
      </w:rPr>
    </w:lvl>
    <w:lvl w:ilvl="5">
      <w:start w:val="1"/>
      <w:numFmt w:val="lowerRoman"/>
      <w:lvlText w:val="%6."/>
      <w:lvlJc w:val="right"/>
      <w:pPr>
        <w:tabs>
          <w:tab w:val="num" w:pos="7835"/>
        </w:tabs>
        <w:ind w:left="7835" w:hanging="180"/>
      </w:pPr>
      <w:rPr>
        <w:rFonts w:hint="default"/>
      </w:rPr>
    </w:lvl>
    <w:lvl w:ilvl="6">
      <w:start w:val="1"/>
      <w:numFmt w:val="decimal"/>
      <w:lvlText w:val="%7."/>
      <w:lvlJc w:val="left"/>
      <w:pPr>
        <w:tabs>
          <w:tab w:val="num" w:pos="8555"/>
        </w:tabs>
        <w:ind w:left="8555" w:hanging="360"/>
      </w:pPr>
      <w:rPr>
        <w:rFonts w:hint="default"/>
      </w:rPr>
    </w:lvl>
    <w:lvl w:ilvl="7">
      <w:start w:val="1"/>
      <w:numFmt w:val="lowerLetter"/>
      <w:lvlText w:val="%8."/>
      <w:lvlJc w:val="left"/>
      <w:pPr>
        <w:tabs>
          <w:tab w:val="num" w:pos="9275"/>
        </w:tabs>
        <w:ind w:left="9275" w:hanging="360"/>
      </w:pPr>
      <w:rPr>
        <w:rFonts w:hint="default"/>
      </w:rPr>
    </w:lvl>
    <w:lvl w:ilvl="8">
      <w:start w:val="1"/>
      <w:numFmt w:val="lowerRoman"/>
      <w:lvlText w:val="%9."/>
      <w:lvlJc w:val="right"/>
      <w:pPr>
        <w:tabs>
          <w:tab w:val="num" w:pos="9995"/>
        </w:tabs>
        <w:ind w:left="9995" w:hanging="180"/>
      </w:pPr>
      <w:rPr>
        <w:rFonts w:hint="default"/>
      </w:rPr>
    </w:lvl>
  </w:abstractNum>
  <w:num w:numId="1">
    <w:abstractNumId w:val="2"/>
  </w:num>
  <w:num w:numId="2">
    <w:abstractNumId w:val="2"/>
    <w:lvlOverride w:ilvl="0">
      <w:lvl w:ilvl="0">
        <w:start w:val="1"/>
        <w:numFmt w:val="decimal"/>
        <w:pStyle w:val="Normalnumber"/>
        <w:lvlText w:val="%1."/>
        <w:lvlJc w:val="left"/>
        <w:pPr>
          <w:tabs>
            <w:tab w:val="num" w:pos="1134"/>
          </w:tabs>
          <w:ind w:left="1247" w:firstLine="0"/>
        </w:pPr>
        <w:rPr>
          <w:rFonts w:hint="default"/>
          <w:i w:val="0"/>
          <w:sz w:val="20"/>
          <w:szCs w:val="20"/>
        </w:rPr>
      </w:lvl>
    </w:lvlOverride>
    <w:lvlOverride w:ilvl="1">
      <w:lvl w:ilvl="1">
        <w:start w:val="1"/>
        <w:numFmt w:val="lowerLetter"/>
        <w:lvlText w:val="(%2)"/>
        <w:lvlJc w:val="left"/>
        <w:pPr>
          <w:tabs>
            <w:tab w:val="num" w:pos="1134"/>
          </w:tabs>
          <w:ind w:left="1247" w:firstLine="567"/>
        </w:pPr>
        <w:rPr>
          <w:rFonts w:hint="default"/>
        </w:rPr>
      </w:lvl>
    </w:lvlOverride>
    <w:lvlOverride w:ilvl="2">
      <w:lvl w:ilvl="2">
        <w:start w:val="1"/>
        <w:numFmt w:val="lowerRoman"/>
        <w:lvlText w:val="(%3)"/>
        <w:lvlJc w:val="left"/>
        <w:pPr>
          <w:tabs>
            <w:tab w:val="num" w:pos="1134"/>
          </w:tabs>
          <w:ind w:left="2948" w:hanging="567"/>
        </w:pPr>
        <w:rPr>
          <w:rFonts w:hint="default"/>
        </w:rPr>
      </w:lvl>
    </w:lvlOverride>
    <w:lvlOverride w:ilvl="3">
      <w:lvl w:ilvl="3">
        <w:start w:val="1"/>
        <w:numFmt w:val="lowerLetter"/>
        <w:lvlText w:val="%4."/>
        <w:lvlJc w:val="left"/>
        <w:pPr>
          <w:tabs>
            <w:tab w:val="num" w:pos="1134"/>
          </w:tabs>
          <w:ind w:left="3515" w:hanging="567"/>
        </w:pPr>
        <w:rPr>
          <w:rFonts w:hint="default"/>
        </w:rPr>
      </w:lvl>
    </w:lvlOverride>
    <w:lvlOverride w:ilvl="4">
      <w:lvl w:ilvl="4">
        <w:start w:val="1"/>
        <w:numFmt w:val="lowerRoman"/>
        <w:lvlText w:val="%5."/>
        <w:lvlJc w:val="left"/>
        <w:pPr>
          <w:tabs>
            <w:tab w:val="num" w:pos="1134"/>
          </w:tabs>
          <w:ind w:left="4082" w:hanging="567"/>
        </w:pPr>
        <w:rPr>
          <w:rFonts w:hint="default"/>
        </w:rPr>
      </w:lvl>
    </w:lvlOverride>
    <w:lvlOverride w:ilvl="5">
      <w:lvl w:ilvl="5">
        <w:start w:val="1"/>
        <w:numFmt w:val="lowerRoman"/>
        <w:lvlText w:val="%6."/>
        <w:lvlJc w:val="right"/>
        <w:pPr>
          <w:tabs>
            <w:tab w:val="num" w:pos="7835"/>
          </w:tabs>
          <w:ind w:left="7835" w:hanging="180"/>
        </w:pPr>
        <w:rPr>
          <w:rFonts w:hint="default"/>
        </w:rPr>
      </w:lvl>
    </w:lvlOverride>
    <w:lvlOverride w:ilvl="6">
      <w:lvl w:ilvl="6">
        <w:start w:val="1"/>
        <w:numFmt w:val="decimal"/>
        <w:lvlText w:val="%7."/>
        <w:lvlJc w:val="left"/>
        <w:pPr>
          <w:tabs>
            <w:tab w:val="num" w:pos="8555"/>
          </w:tabs>
          <w:ind w:left="8555" w:hanging="360"/>
        </w:pPr>
        <w:rPr>
          <w:rFonts w:hint="default"/>
        </w:rPr>
      </w:lvl>
    </w:lvlOverride>
    <w:lvlOverride w:ilvl="7">
      <w:lvl w:ilvl="7">
        <w:start w:val="1"/>
        <w:numFmt w:val="lowerLetter"/>
        <w:lvlText w:val="%8."/>
        <w:lvlJc w:val="left"/>
        <w:pPr>
          <w:tabs>
            <w:tab w:val="num" w:pos="9275"/>
          </w:tabs>
          <w:ind w:left="9275" w:hanging="360"/>
        </w:pPr>
        <w:rPr>
          <w:rFonts w:hint="default"/>
        </w:rPr>
      </w:lvl>
    </w:lvlOverride>
    <w:lvlOverride w:ilvl="8">
      <w:lvl w:ilvl="8">
        <w:start w:val="1"/>
        <w:numFmt w:val="lowerRoman"/>
        <w:lvlText w:val="%9."/>
        <w:lvlJc w:val="right"/>
        <w:pPr>
          <w:tabs>
            <w:tab w:val="num" w:pos="9995"/>
          </w:tabs>
          <w:ind w:left="9995" w:hanging="180"/>
        </w:pPr>
        <w:rPr>
          <w:rFonts w:hint="default"/>
        </w:rPr>
      </w:lvl>
    </w:lvlOverride>
  </w:num>
  <w:num w:numId="3">
    <w:abstractNumId w:val="1"/>
    <w:lvlOverride w:ilvl="0">
      <w:lvl w:ilvl="0">
        <w:start w:val="1"/>
        <w:numFmt w:val="decimal"/>
        <w:lvlText w:val="%1."/>
        <w:lvlJc w:val="left"/>
        <w:pPr>
          <w:tabs>
            <w:tab w:val="num" w:pos="567"/>
          </w:tabs>
          <w:ind w:left="1247"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lowerLetter"/>
        <w:lvlText w:val="(%2)"/>
        <w:lvlJc w:val="left"/>
        <w:pPr>
          <w:tabs>
            <w:tab w:val="num" w:pos="567"/>
          </w:tabs>
          <w:ind w:left="1247" w:firstLine="567"/>
        </w:pPr>
        <w:rPr>
          <w:rFonts w:hint="default"/>
        </w:rPr>
      </w:lvl>
    </w:lvlOverride>
    <w:lvlOverride w:ilvl="2">
      <w:lvl w:ilvl="2">
        <w:start w:val="1"/>
        <w:numFmt w:val="lowerRoman"/>
        <w:lvlText w:val="(%3)"/>
        <w:lvlJc w:val="left"/>
        <w:pPr>
          <w:tabs>
            <w:tab w:val="num" w:pos="567"/>
          </w:tabs>
          <w:ind w:left="2948" w:hanging="567"/>
        </w:pPr>
        <w:rPr>
          <w:rFonts w:hint="default"/>
        </w:rPr>
      </w:lvl>
    </w:lvlOverride>
    <w:lvlOverride w:ilvl="3">
      <w:lvl w:ilvl="3">
        <w:start w:val="1"/>
        <w:numFmt w:val="lowerLetter"/>
        <w:lvlText w:val="%4."/>
        <w:lvlJc w:val="left"/>
        <w:pPr>
          <w:tabs>
            <w:tab w:val="num" w:pos="567"/>
          </w:tabs>
          <w:ind w:left="3515" w:hanging="567"/>
        </w:pPr>
        <w:rPr>
          <w:rFonts w:hint="default"/>
        </w:rPr>
      </w:lvl>
    </w:lvlOverride>
    <w:lvlOverride w:ilvl="4">
      <w:lvl w:ilvl="4">
        <w:start w:val="1"/>
        <w:numFmt w:val="lowerLetter"/>
        <w:lvlText w:val="%5."/>
        <w:lvlJc w:val="left"/>
        <w:pPr>
          <w:tabs>
            <w:tab w:val="num" w:pos="6548"/>
          </w:tabs>
          <w:ind w:left="6548" w:hanging="360"/>
        </w:pPr>
        <w:rPr>
          <w:rFonts w:hint="default"/>
        </w:rPr>
      </w:lvl>
    </w:lvlOverride>
    <w:lvlOverride w:ilvl="5">
      <w:lvl w:ilvl="5">
        <w:start w:val="1"/>
        <w:numFmt w:val="lowerRoman"/>
        <w:lvlText w:val="%6."/>
        <w:lvlJc w:val="right"/>
        <w:pPr>
          <w:tabs>
            <w:tab w:val="num" w:pos="7268"/>
          </w:tabs>
          <w:ind w:left="7268" w:hanging="180"/>
        </w:pPr>
        <w:rPr>
          <w:rFonts w:hint="default"/>
        </w:rPr>
      </w:lvl>
    </w:lvlOverride>
    <w:lvlOverride w:ilvl="6">
      <w:lvl w:ilvl="6">
        <w:start w:val="1"/>
        <w:numFmt w:val="decimal"/>
        <w:lvlText w:val="%7."/>
        <w:lvlJc w:val="left"/>
        <w:pPr>
          <w:tabs>
            <w:tab w:val="num" w:pos="7988"/>
          </w:tabs>
          <w:ind w:left="7988" w:hanging="360"/>
        </w:pPr>
        <w:rPr>
          <w:rFonts w:hint="default"/>
        </w:rPr>
      </w:lvl>
    </w:lvlOverride>
    <w:lvlOverride w:ilvl="7">
      <w:lvl w:ilvl="7">
        <w:start w:val="1"/>
        <w:numFmt w:val="lowerLetter"/>
        <w:lvlText w:val="%8."/>
        <w:lvlJc w:val="left"/>
        <w:pPr>
          <w:tabs>
            <w:tab w:val="num" w:pos="8708"/>
          </w:tabs>
          <w:ind w:left="8708" w:hanging="360"/>
        </w:pPr>
        <w:rPr>
          <w:rFonts w:hint="default"/>
        </w:rPr>
      </w:lvl>
    </w:lvlOverride>
    <w:lvlOverride w:ilvl="8">
      <w:lvl w:ilvl="8">
        <w:start w:val="1"/>
        <w:numFmt w:val="lowerRoman"/>
        <w:lvlText w:val="%9."/>
        <w:lvlJc w:val="right"/>
        <w:pPr>
          <w:tabs>
            <w:tab w:val="num" w:pos="9428"/>
          </w:tabs>
          <w:ind w:left="9428" w:hanging="180"/>
        </w:pPr>
        <w:rPr>
          <w:rFonts w:hint="default"/>
        </w:rPr>
      </w:lvl>
    </w:lvlOverride>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619"/>
  <w:characterSpacingControl w:val="doNotCompress"/>
  <w:footnotePr>
    <w:footnote w:id="-1"/>
    <w:footnote w:id="0"/>
  </w:footnotePr>
  <w:endnotePr>
    <w:endnote w:id="-1"/>
    <w:endnote w:id="0"/>
  </w:endnotePr>
  <w:compat/>
  <w:rsids>
    <w:rsidRoot w:val="00A84431"/>
    <w:rsid w:val="00594DF0"/>
    <w:rsid w:val="00A84431"/>
    <w:rsid w:val="00B01B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431"/>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1">
    <w:name w:val="CH1"/>
    <w:basedOn w:val="Normal"/>
    <w:next w:val="Normal"/>
    <w:rsid w:val="00A84431"/>
    <w:pPr>
      <w:keepNext/>
      <w:keepLines/>
      <w:tabs>
        <w:tab w:val="right" w:pos="851"/>
        <w:tab w:val="left" w:pos="4082"/>
      </w:tabs>
      <w:suppressAutoHyphens/>
      <w:spacing w:before="240" w:after="120"/>
      <w:ind w:left="1247" w:right="284" w:hanging="1247"/>
    </w:pPr>
    <w:rPr>
      <w:b/>
      <w:sz w:val="28"/>
      <w:szCs w:val="28"/>
    </w:rPr>
  </w:style>
  <w:style w:type="paragraph" w:customStyle="1" w:styleId="Normal-pool">
    <w:name w:val="Normal-pool"/>
    <w:link w:val="Normal-poolChar"/>
    <w:rsid w:val="00A84431"/>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rPr>
  </w:style>
  <w:style w:type="character" w:styleId="FootnoteReference">
    <w:name w:val="footnote reference"/>
    <w:aliases w:val="16 Point,Superscript 6 Point,ftref,(Ref. de nota al pie),number,SUPERS,Footnote Reference Superscript"/>
    <w:basedOn w:val="DefaultParagraphFont"/>
    <w:uiPriority w:val="99"/>
    <w:rsid w:val="00A84431"/>
    <w:rPr>
      <w:rFonts w:ascii="Times New Roman" w:hAnsi="Times New Roman"/>
      <w:color w:val="auto"/>
      <w:sz w:val="20"/>
      <w:szCs w:val="18"/>
      <w:vertAlign w:val="superscript"/>
    </w:rPr>
  </w:style>
  <w:style w:type="paragraph" w:styleId="FootnoteText">
    <w:name w:val="footnote text"/>
    <w:aliases w:val="Geneva 9,Font: Geneva 9,Boston 10,f,93,single space,Footnote Text Rail EIS,ft,Char,footnote3,Footnotes,Footnote ak,fn cafc,Footnotes Char Char,Footnote Text Char Char,fn Char Char,Footnote Text Char Char Char Char,Footnote Text1"/>
    <w:basedOn w:val="Normal"/>
    <w:link w:val="FootnoteTextChar"/>
    <w:uiPriority w:val="99"/>
    <w:rsid w:val="00A84431"/>
    <w:pPr>
      <w:tabs>
        <w:tab w:val="left" w:pos="4082"/>
      </w:tabs>
      <w:spacing w:before="20" w:after="40"/>
      <w:ind w:left="1247"/>
    </w:pPr>
    <w:rPr>
      <w:sz w:val="18"/>
      <w:lang w:val="fr-FR"/>
    </w:rPr>
  </w:style>
  <w:style w:type="character" w:customStyle="1" w:styleId="FootnoteTextChar">
    <w:name w:val="Footnote Text Char"/>
    <w:aliases w:val="Geneva 9 Char,Font: Geneva 9 Char,Boston 10 Char,f Char,93 Char,single space Char,Footnote Text Rail EIS Char,ft Char,Char Char,footnote3 Char,Footnotes Char,Footnote ak Char,fn cafc Char,Footnotes Char Char Char,fn Char Char Char"/>
    <w:basedOn w:val="DefaultParagraphFont"/>
    <w:link w:val="FootnoteText"/>
    <w:uiPriority w:val="99"/>
    <w:rsid w:val="00A84431"/>
    <w:rPr>
      <w:rFonts w:ascii="Times New Roman" w:eastAsia="Times New Roman" w:hAnsi="Times New Roman" w:cs="Times New Roman"/>
      <w:sz w:val="18"/>
      <w:szCs w:val="20"/>
      <w:lang w:val="fr-FR"/>
    </w:rPr>
  </w:style>
  <w:style w:type="numbering" w:customStyle="1" w:styleId="Normallist">
    <w:name w:val="Normal_list"/>
    <w:basedOn w:val="NoList"/>
    <w:rsid w:val="00A84431"/>
    <w:pPr>
      <w:numPr>
        <w:numId w:val="1"/>
      </w:numPr>
    </w:pPr>
  </w:style>
  <w:style w:type="paragraph" w:customStyle="1" w:styleId="Normalnumber">
    <w:name w:val="Normal_number"/>
    <w:basedOn w:val="Normal"/>
    <w:link w:val="NormalnumberChar"/>
    <w:rsid w:val="00A84431"/>
    <w:pPr>
      <w:numPr>
        <w:numId w:val="1"/>
      </w:numPr>
      <w:tabs>
        <w:tab w:val="clear" w:pos="1247"/>
        <w:tab w:val="clear" w:pos="1814"/>
        <w:tab w:val="clear" w:pos="2381"/>
        <w:tab w:val="clear" w:pos="2948"/>
        <w:tab w:val="clear" w:pos="3515"/>
        <w:tab w:val="left" w:pos="624"/>
      </w:tabs>
      <w:spacing w:after="120"/>
    </w:pPr>
  </w:style>
  <w:style w:type="character" w:customStyle="1" w:styleId="NormalnumberChar">
    <w:name w:val="Normal_number Char"/>
    <w:link w:val="Normalnumber"/>
    <w:locked/>
    <w:rsid w:val="00A84431"/>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A84431"/>
    <w:pPr>
      <w:ind w:left="720"/>
      <w:contextualSpacing/>
    </w:pPr>
  </w:style>
  <w:style w:type="character" w:customStyle="1" w:styleId="Normal-poolChar">
    <w:name w:val="Normal-pool Char"/>
    <w:link w:val="Normal-pool"/>
    <w:locked/>
    <w:rsid w:val="00A84431"/>
    <w:rPr>
      <w:rFonts w:ascii="Times New Roman" w:eastAsia="Times New Roman" w:hAnsi="Times New Roman" w:cs="Times New Roman"/>
      <w:sz w:val="20"/>
      <w:szCs w:val="20"/>
      <w:lang w:val="en-GB"/>
    </w:rPr>
  </w:style>
  <w:style w:type="paragraph" w:customStyle="1" w:styleId="Paralevel1">
    <w:name w:val="Para level1"/>
    <w:basedOn w:val="Normal"/>
    <w:autoRedefine/>
    <w:rsid w:val="00A84431"/>
    <w:pPr>
      <w:tabs>
        <w:tab w:val="clear" w:pos="1247"/>
        <w:tab w:val="clear" w:pos="1814"/>
        <w:tab w:val="clear" w:pos="2381"/>
        <w:tab w:val="clear" w:pos="2948"/>
        <w:tab w:val="clear" w:pos="3515"/>
        <w:tab w:val="left" w:pos="1800"/>
      </w:tabs>
      <w:spacing w:after="120"/>
      <w:ind w:left="1247"/>
    </w:pPr>
    <w:rPr>
      <w:snapToGrid w:val="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891</Words>
  <Characters>5080</Characters>
  <Application>Microsoft Office Word</Application>
  <DocSecurity>0</DocSecurity>
  <Lines>42</Lines>
  <Paragraphs>11</Paragraphs>
  <ScaleCrop>false</ScaleCrop>
  <Company>BRS</Company>
  <LinksUpToDate>false</LinksUpToDate>
  <CharactersWithSpaces>5960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achakwera</dc:creator>
  <cp:lastModifiedBy>achakwera</cp:lastModifiedBy>
  <cp:revision>1</cp:revision>
  <dcterms:created xsi:type="dcterms:W3CDTF">2018-03-01T14:11:00Z</dcterms:created>
  <dcterms:modified xsi:type="dcterms:W3CDTF">2018-03-01T14:11:00Z</dcterms:modified>
</cp:coreProperties>
</file>