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EF" w:rsidRPr="002E764E" w:rsidRDefault="00DF4FEF" w:rsidP="00DF4FEF">
      <w:pPr>
        <w:pStyle w:val="CH1"/>
        <w:ind w:firstLine="0"/>
        <w:rPr>
          <w:i/>
        </w:rPr>
      </w:pPr>
      <w:r>
        <w:t>C</w:t>
      </w:r>
      <w:r w:rsidRPr="002E764E">
        <w:t>RC-</w:t>
      </w:r>
      <w:r w:rsidRPr="002E764E">
        <w:rPr>
          <w:lang w:eastAsia="ja-JP"/>
        </w:rPr>
        <w:t>1</w:t>
      </w:r>
      <w:r>
        <w:rPr>
          <w:lang w:eastAsia="ja-JP"/>
        </w:rPr>
        <w:t>1</w:t>
      </w:r>
      <w:r w:rsidRPr="002E764E">
        <w:t>/</w:t>
      </w:r>
      <w:r>
        <w:rPr>
          <w:lang w:eastAsia="ja-JP"/>
        </w:rPr>
        <w:t>4</w:t>
      </w:r>
      <w:r w:rsidRPr="002E764E">
        <w:t xml:space="preserve">: </w:t>
      </w:r>
      <w:proofErr w:type="spellStart"/>
      <w:r>
        <w:t>Carbosulfan</w:t>
      </w:r>
      <w:proofErr w:type="spellEnd"/>
    </w:p>
    <w:p w:rsidR="00DF4FEF" w:rsidRPr="00A45CCF" w:rsidRDefault="00DF4FEF" w:rsidP="00DF4FEF">
      <w:pPr>
        <w:pStyle w:val="NormalNonumber"/>
        <w:tabs>
          <w:tab w:val="left" w:pos="624"/>
        </w:tabs>
        <w:ind w:firstLine="624"/>
        <w:rPr>
          <w:i/>
        </w:rPr>
      </w:pPr>
      <w:r w:rsidRPr="00A45CCF">
        <w:rPr>
          <w:i/>
        </w:rPr>
        <w:t>The Chemical Review Committee</w:t>
      </w:r>
      <w:r>
        <w:rPr>
          <w:i/>
        </w:rPr>
        <w:t>,</w:t>
      </w:r>
    </w:p>
    <w:p w:rsidR="00DF4FEF" w:rsidRPr="00A45CCF" w:rsidRDefault="00DF4FEF" w:rsidP="00DF4FEF">
      <w:pPr>
        <w:pStyle w:val="NormalNonumber"/>
        <w:tabs>
          <w:tab w:val="left" w:pos="624"/>
        </w:tabs>
        <w:ind w:firstLine="624"/>
      </w:pPr>
      <w:r w:rsidRPr="00A45CCF">
        <w:rPr>
          <w:i/>
        </w:rPr>
        <w:t>Recalling</w:t>
      </w:r>
      <w:r w:rsidRPr="00A45CCF">
        <w:t xml:space="preserve"> Article 5 of the Rotterdam Convention on the Prior Informed Consent Procedure for Certain Hazardous Chemicals and Pesticides in International Trade,</w:t>
      </w:r>
    </w:p>
    <w:p w:rsidR="00DF4FEF" w:rsidRPr="009770A2" w:rsidRDefault="00DF4FEF" w:rsidP="00DF4FEF">
      <w:pPr>
        <w:tabs>
          <w:tab w:val="clear" w:pos="2381"/>
          <w:tab w:val="left" w:pos="624"/>
          <w:tab w:val="left" w:pos="2520"/>
        </w:tabs>
        <w:spacing w:after="120"/>
        <w:ind w:left="1247" w:firstLine="624"/>
      </w:pPr>
      <w:r w:rsidRPr="009770A2">
        <w:rPr>
          <w:iCs/>
        </w:rPr>
        <w:t>1.</w:t>
      </w:r>
      <w:r w:rsidRPr="009770A2">
        <w:rPr>
          <w:iCs/>
        </w:rPr>
        <w:tab/>
      </w:r>
      <w:r w:rsidRPr="009770A2">
        <w:rPr>
          <w:i/>
          <w:iCs/>
        </w:rPr>
        <w:t>Concludes</w:t>
      </w:r>
      <w:r w:rsidRPr="009770A2">
        <w:t xml:space="preserve"> that the notification</w:t>
      </w:r>
      <w:r>
        <w:t>s</w:t>
      </w:r>
      <w:r w:rsidRPr="009770A2">
        <w:t xml:space="preserve"> of final regulatory action for </w:t>
      </w:r>
      <w:proofErr w:type="spellStart"/>
      <w:r>
        <w:t>carbosulfan</w:t>
      </w:r>
      <w:proofErr w:type="spellEnd"/>
      <w:r>
        <w:t xml:space="preserve"> </w:t>
      </w:r>
      <w:r w:rsidRPr="009770A2">
        <w:t xml:space="preserve">submitted by </w:t>
      </w:r>
      <w:r>
        <w:t xml:space="preserve">the European Union </w:t>
      </w:r>
      <w:r w:rsidRPr="009770A2">
        <w:t xml:space="preserve">and </w:t>
      </w:r>
      <w:r>
        <w:t xml:space="preserve">by </w:t>
      </w:r>
      <w:r w:rsidRPr="00373EB2">
        <w:t xml:space="preserve">Burkina Faso, </w:t>
      </w:r>
      <w:proofErr w:type="spellStart"/>
      <w:r w:rsidRPr="009770A2">
        <w:t>Cabo</w:t>
      </w:r>
      <w:proofErr w:type="spellEnd"/>
      <w:r w:rsidRPr="009770A2">
        <w:t xml:space="preserve"> Verde, Chad, the Gambia, Mauritania, Niger, Senegal and Togo meet the criteria set out in Annex II to the Convention;</w:t>
      </w:r>
    </w:p>
    <w:p w:rsidR="00DF4FEF" w:rsidRPr="00214B97" w:rsidRDefault="00DF4FEF" w:rsidP="00DF4FEF">
      <w:pPr>
        <w:pStyle w:val="Normal-pool"/>
        <w:tabs>
          <w:tab w:val="clear" w:pos="1247"/>
          <w:tab w:val="clear" w:pos="1814"/>
          <w:tab w:val="clear" w:pos="2381"/>
          <w:tab w:val="clear" w:pos="2948"/>
          <w:tab w:val="clear" w:pos="3515"/>
          <w:tab w:val="left" w:pos="624"/>
          <w:tab w:val="left" w:pos="2520"/>
        </w:tabs>
        <w:spacing w:after="120"/>
        <w:ind w:left="1247" w:firstLine="624"/>
      </w:pPr>
      <w:r w:rsidRPr="00214B97">
        <w:rPr>
          <w:iCs/>
        </w:rPr>
        <w:t>2.</w:t>
      </w:r>
      <w:r w:rsidRPr="00214B97">
        <w:rPr>
          <w:i/>
          <w:iCs/>
        </w:rPr>
        <w:tab/>
        <w:t>Adopts</w:t>
      </w:r>
      <w:r w:rsidRPr="00214B97">
        <w:t xml:space="preserve"> the rationale for the Committee’s conclusion set out in the annex to the present decision;</w:t>
      </w:r>
    </w:p>
    <w:p w:rsidR="00DF4FEF" w:rsidRPr="00214B97" w:rsidRDefault="00DF4FEF" w:rsidP="00DF4FEF">
      <w:pPr>
        <w:pStyle w:val="Normal-pool"/>
        <w:tabs>
          <w:tab w:val="clear" w:pos="1247"/>
          <w:tab w:val="clear" w:pos="1814"/>
          <w:tab w:val="clear" w:pos="2381"/>
          <w:tab w:val="clear" w:pos="2948"/>
          <w:tab w:val="clear" w:pos="3515"/>
          <w:tab w:val="left" w:pos="624"/>
          <w:tab w:val="left" w:pos="2520"/>
        </w:tabs>
        <w:spacing w:after="120"/>
        <w:ind w:left="1247" w:firstLine="624"/>
      </w:pPr>
      <w:r w:rsidRPr="00214B97">
        <w:rPr>
          <w:iCs/>
        </w:rPr>
        <w:t>4.</w:t>
      </w:r>
      <w:r w:rsidRPr="00214B97">
        <w:rPr>
          <w:iCs/>
        </w:rPr>
        <w:tab/>
      </w:r>
      <w:proofErr w:type="gramStart"/>
      <w:r w:rsidRPr="00214B97">
        <w:rPr>
          <w:i/>
          <w:iCs/>
        </w:rPr>
        <w:t>Recommends</w:t>
      </w:r>
      <w:proofErr w:type="gramEnd"/>
      <w:r w:rsidRPr="00214B97">
        <w:rPr>
          <w:i/>
          <w:iCs/>
        </w:rPr>
        <w:t xml:space="preserve">, </w:t>
      </w:r>
      <w:r w:rsidRPr="00214B97">
        <w:t xml:space="preserve">in accordance with paragraph 6 of Article 5 of the Convention, that the Conference of the Parties should list </w:t>
      </w:r>
      <w:proofErr w:type="spellStart"/>
      <w:r>
        <w:t>carbosulfan</w:t>
      </w:r>
      <w:proofErr w:type="spellEnd"/>
      <w:r w:rsidRPr="00214B97">
        <w:t xml:space="preserve"> in Annex III to the Convention as </w:t>
      </w:r>
      <w:r>
        <w:t>a pesticide</w:t>
      </w:r>
      <w:r w:rsidRPr="00214B97">
        <w:t>;</w:t>
      </w:r>
    </w:p>
    <w:p w:rsidR="00DF4FEF" w:rsidRDefault="00DF4FEF" w:rsidP="00DF4FEF">
      <w:pPr>
        <w:pStyle w:val="Normal-pool"/>
        <w:tabs>
          <w:tab w:val="clear" w:pos="1247"/>
          <w:tab w:val="clear" w:pos="1814"/>
          <w:tab w:val="clear" w:pos="2381"/>
          <w:tab w:val="clear" w:pos="2948"/>
          <w:tab w:val="clear" w:pos="3515"/>
          <w:tab w:val="left" w:pos="624"/>
          <w:tab w:val="left" w:pos="2520"/>
        </w:tabs>
        <w:spacing w:after="120"/>
        <w:ind w:left="1247" w:firstLine="624"/>
      </w:pPr>
      <w:r w:rsidRPr="00214B97">
        <w:rPr>
          <w:iCs/>
        </w:rPr>
        <w:t>5.</w:t>
      </w:r>
      <w:r w:rsidRPr="00214B97">
        <w:rPr>
          <w:iCs/>
        </w:rPr>
        <w:tab/>
      </w:r>
      <w:r w:rsidRPr="00214B97">
        <w:rPr>
          <w:i/>
          <w:iCs/>
        </w:rPr>
        <w:t xml:space="preserve">Decides, </w:t>
      </w:r>
      <w:r w:rsidRPr="00214B97">
        <w:t xml:space="preserve">in accordance with paragraph 1 of Article 7 of the Convention, to prepare a draft decision guidance document for </w:t>
      </w:r>
      <w:proofErr w:type="spellStart"/>
      <w:r>
        <w:t>carbosulfan</w:t>
      </w:r>
      <w:proofErr w:type="spellEnd"/>
      <w:r w:rsidRPr="00214B97">
        <w:t>;</w:t>
      </w:r>
    </w:p>
    <w:p w:rsidR="00DF4FEF" w:rsidRPr="00D720AB" w:rsidRDefault="00DF4FEF" w:rsidP="00DF4FEF">
      <w:pPr>
        <w:pStyle w:val="Normal-pool"/>
        <w:tabs>
          <w:tab w:val="clear" w:pos="1247"/>
          <w:tab w:val="clear" w:pos="1814"/>
          <w:tab w:val="clear" w:pos="2381"/>
          <w:tab w:val="clear" w:pos="2948"/>
          <w:tab w:val="clear" w:pos="3515"/>
          <w:tab w:val="left" w:pos="624"/>
          <w:tab w:val="left" w:pos="2520"/>
        </w:tabs>
        <w:spacing w:after="120"/>
        <w:ind w:left="1247" w:firstLine="624"/>
      </w:pPr>
      <w:r>
        <w:t>6.</w:t>
      </w:r>
      <w:r>
        <w:tab/>
      </w:r>
      <w:r w:rsidRPr="006F3485">
        <w:rPr>
          <w:i/>
        </w:rPr>
        <w:t>Also d</w:t>
      </w:r>
      <w:r w:rsidRPr="00214B97">
        <w:rPr>
          <w:i/>
          <w:iCs/>
        </w:rPr>
        <w:t>ecides</w:t>
      </w:r>
      <w:r w:rsidRPr="00214B97">
        <w:t xml:space="preserve">, in accordance with the process for drafting decision guidance documents set out in decision RC-2/2, that the composition of the </w:t>
      </w:r>
      <w:proofErr w:type="spellStart"/>
      <w:r w:rsidRPr="00214B97">
        <w:t>intersessional</w:t>
      </w:r>
      <w:proofErr w:type="spellEnd"/>
      <w:r w:rsidRPr="00214B97">
        <w:t xml:space="preserve"> drafting group to prepare the draft decision guidance document for </w:t>
      </w:r>
      <w:proofErr w:type="spellStart"/>
      <w:r>
        <w:t>carbosulfan</w:t>
      </w:r>
      <w:proofErr w:type="spellEnd"/>
      <w:r w:rsidRPr="00214B97">
        <w:t xml:space="preserve"> and the </w:t>
      </w:r>
      <w:proofErr w:type="spellStart"/>
      <w:r w:rsidRPr="00214B97">
        <w:t>workplan</w:t>
      </w:r>
      <w:proofErr w:type="spellEnd"/>
      <w:r w:rsidRPr="00214B97">
        <w:t xml:space="preserve"> of the group shall be as set out in annexes </w:t>
      </w:r>
      <w:r>
        <w:t>II</w:t>
      </w:r>
      <w:r w:rsidRPr="00214B97">
        <w:t xml:space="preserve"> and </w:t>
      </w:r>
      <w:r>
        <w:t>III</w:t>
      </w:r>
      <w:r w:rsidRPr="00214B97">
        <w:t xml:space="preserve"> to the report of the Committee’s </w:t>
      </w:r>
      <w:r>
        <w:t>eleventh</w:t>
      </w:r>
      <w:r w:rsidRPr="00214B97">
        <w:t xml:space="preserve"> meeting</w:t>
      </w:r>
      <w:r w:rsidRPr="002B18A6">
        <w:t>, respectively</w:t>
      </w:r>
      <w:r w:rsidRPr="00A26605">
        <w:t>.</w:t>
      </w:r>
    </w:p>
    <w:p w:rsidR="00DF4FEF" w:rsidRPr="009F0C86" w:rsidRDefault="00DF4FEF" w:rsidP="00DF4FEF">
      <w:pPr>
        <w:pStyle w:val="Subtitle"/>
        <w:tabs>
          <w:tab w:val="left" w:pos="624"/>
          <w:tab w:val="left" w:pos="1247"/>
          <w:tab w:val="left" w:pos="1871"/>
          <w:tab w:val="left" w:pos="2495"/>
        </w:tabs>
        <w:spacing w:before="120" w:after="120"/>
        <w:ind w:left="624"/>
        <w:rPr>
          <w:lang w:val="en-US"/>
        </w:rPr>
      </w:pPr>
      <w:r w:rsidRPr="009F0C86">
        <w:rPr>
          <w:lang w:val="en-US"/>
        </w:rPr>
        <w:t xml:space="preserve">Annex to decision </w:t>
      </w:r>
      <w:r>
        <w:rPr>
          <w:lang w:val="en-US"/>
        </w:rPr>
        <w:t>C</w:t>
      </w:r>
      <w:r w:rsidRPr="009F0C86">
        <w:rPr>
          <w:lang w:val="en-US"/>
        </w:rPr>
        <w:t>RC-11</w:t>
      </w:r>
      <w:r>
        <w:rPr>
          <w:lang w:val="en-US"/>
        </w:rPr>
        <w:t>/4</w:t>
      </w:r>
    </w:p>
    <w:p w:rsidR="00DF4FEF" w:rsidRPr="009F0C86" w:rsidRDefault="00DF4FEF" w:rsidP="00DF4FEF">
      <w:pPr>
        <w:pStyle w:val="Subtitle"/>
        <w:tabs>
          <w:tab w:val="left" w:pos="624"/>
          <w:tab w:val="left" w:pos="1247"/>
          <w:tab w:val="left" w:pos="1871"/>
          <w:tab w:val="left" w:pos="2495"/>
        </w:tabs>
        <w:spacing w:before="120" w:after="120"/>
        <w:rPr>
          <w:lang w:val="en-US"/>
        </w:rPr>
      </w:pPr>
      <w:r>
        <w:t>R</w:t>
      </w:r>
      <w:r w:rsidRPr="00220AAA">
        <w:t>ationale for the conclusion by the Chemical Review Committee that the notification</w:t>
      </w:r>
      <w:r>
        <w:t>s</w:t>
      </w:r>
      <w:r w:rsidRPr="00220AAA">
        <w:t xml:space="preserve"> of final regulatory action submitted by the European Union, Burkina Faso, </w:t>
      </w:r>
      <w:proofErr w:type="spellStart"/>
      <w:r w:rsidRPr="00220AAA">
        <w:t>Cabo</w:t>
      </w:r>
      <w:proofErr w:type="spellEnd"/>
      <w:r w:rsidRPr="00220AAA">
        <w:t xml:space="preserve"> Verde, Chad, the Gambia, Mauritania, Niger, Senegal and Togo in respect of </w:t>
      </w:r>
      <w:proofErr w:type="spellStart"/>
      <w:r w:rsidRPr="00220AAA">
        <w:t>carbosulfan</w:t>
      </w:r>
      <w:proofErr w:type="spellEnd"/>
      <w:r w:rsidRPr="00220AAA">
        <w:t xml:space="preserve"> meet the criteria of Annex II to the Rotterdam Convention</w:t>
      </w:r>
    </w:p>
    <w:p w:rsidR="00DF4FEF" w:rsidRPr="00586E25"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586E25">
        <w:rPr>
          <w:snapToGrid w:val="0"/>
        </w:rPr>
        <w:t xml:space="preserve">In reviewing the notifications of final regulatory action by the European Union, Burkina Faso, </w:t>
      </w:r>
      <w:proofErr w:type="spellStart"/>
      <w:r w:rsidRPr="00586E25">
        <w:rPr>
          <w:snapToGrid w:val="0"/>
        </w:rPr>
        <w:t>Cabo</w:t>
      </w:r>
      <w:proofErr w:type="spellEnd"/>
      <w:r w:rsidRPr="00586E25">
        <w:rPr>
          <w:snapToGrid w:val="0"/>
        </w:rPr>
        <w:t xml:space="preserve"> Verde, Chad, the Gambia, Mauritania, Niger, Senegal and Togo to ban </w:t>
      </w:r>
      <w:proofErr w:type="spellStart"/>
      <w:r w:rsidRPr="00586E25">
        <w:rPr>
          <w:snapToGrid w:val="0"/>
        </w:rPr>
        <w:t>carbosulfan</w:t>
      </w:r>
      <w:proofErr w:type="spellEnd"/>
      <w:r w:rsidRPr="00586E25">
        <w:rPr>
          <w:snapToGrid w:val="0"/>
        </w:rPr>
        <w:t xml:space="preserve"> as a pesticide, together with the supporting documentation provided by those parties, the Committee was able to confirm that the final regulatory actions had been taken to protect human health and the environment. The notifications from those parties were found to meet the information requirements of Annex I to the Rotterdam Convention. </w:t>
      </w:r>
    </w:p>
    <w:p w:rsidR="00DF4FEF" w:rsidRPr="00586E25"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586E25">
        <w:rPr>
          <w:snapToGrid w:val="0"/>
        </w:rPr>
        <w:t xml:space="preserve">The notifications and supporting documentation were made available to the Committee for its consideration in documents </w:t>
      </w:r>
      <w:r w:rsidRPr="00697294">
        <w:rPr>
          <w:snapToGrid w:val="0"/>
        </w:rPr>
        <w:t>UNEP/FAO/RC/CRC.11/4, UNEP/FAO/RC/CRC.11/7, UNEP/FAO/RC/CRC.11/INF/5, UNEP/FAO/RC/CRC.11/INF/14 and UNEP/FAO/RC/CRC.11/INF/15.</w:t>
      </w:r>
    </w:p>
    <w:p w:rsidR="00DF4FEF" w:rsidRPr="00220AAA" w:rsidRDefault="00DF4FEF" w:rsidP="00DF4FEF">
      <w:pPr>
        <w:keepNext/>
        <w:numPr>
          <w:ilvl w:val="0"/>
          <w:numId w:val="1"/>
        </w:numPr>
        <w:tabs>
          <w:tab w:val="clear" w:pos="1247"/>
          <w:tab w:val="clear" w:pos="1814"/>
          <w:tab w:val="clear" w:pos="2381"/>
          <w:tab w:val="clear" w:pos="2948"/>
          <w:tab w:val="clear" w:pos="3515"/>
        </w:tabs>
        <w:snapToGrid w:val="0"/>
        <w:spacing w:before="240" w:after="120"/>
        <w:rPr>
          <w:b/>
          <w:bCs/>
          <w:sz w:val="28"/>
          <w:szCs w:val="28"/>
        </w:rPr>
      </w:pPr>
      <w:r w:rsidRPr="00220AAA">
        <w:rPr>
          <w:b/>
          <w:bCs/>
          <w:sz w:val="28"/>
          <w:szCs w:val="28"/>
        </w:rPr>
        <w:t xml:space="preserve">European Union </w:t>
      </w:r>
    </w:p>
    <w:p w:rsidR="00DF4FEF" w:rsidRPr="00220AAA" w:rsidRDefault="00DF4FEF" w:rsidP="00DF4FEF">
      <w:pPr>
        <w:keepNext/>
        <w:numPr>
          <w:ilvl w:val="0"/>
          <w:numId w:val="4"/>
        </w:numPr>
        <w:tabs>
          <w:tab w:val="clear" w:pos="1247"/>
          <w:tab w:val="clear" w:pos="1814"/>
          <w:tab w:val="clear" w:pos="2381"/>
          <w:tab w:val="clear" w:pos="2948"/>
          <w:tab w:val="clear" w:pos="3515"/>
          <w:tab w:val="left" w:pos="-1440"/>
          <w:tab w:val="left" w:pos="-720"/>
          <w:tab w:val="left" w:pos="1260"/>
        </w:tabs>
        <w:snapToGrid w:val="0"/>
        <w:spacing w:after="120"/>
        <w:ind w:left="1260" w:hanging="693"/>
        <w:rPr>
          <w:b/>
          <w:snapToGrid w:val="0"/>
        </w:rPr>
      </w:pPr>
      <w:r w:rsidRPr="00220AAA">
        <w:rPr>
          <w:b/>
          <w:snapToGrid w:val="0"/>
        </w:rPr>
        <w:t>Scope of the notified regulatory action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regulatory action notified by the </w:t>
      </w:r>
      <w:r>
        <w:rPr>
          <w:snapToGrid w:val="0"/>
        </w:rPr>
        <w:t>European Union</w:t>
      </w:r>
      <w:r w:rsidRPr="00152600">
        <w:rPr>
          <w:snapToGrid w:val="0"/>
        </w:rPr>
        <w:t xml:space="preserve"> relates to the use of </w:t>
      </w:r>
      <w:proofErr w:type="spellStart"/>
      <w:r w:rsidRPr="00152600">
        <w:rPr>
          <w:snapToGrid w:val="0"/>
        </w:rPr>
        <w:t>carbosulfan</w:t>
      </w:r>
      <w:proofErr w:type="spellEnd"/>
      <w:r w:rsidRPr="00152600">
        <w:rPr>
          <w:snapToGrid w:val="0"/>
        </w:rPr>
        <w:t xml:space="preserve"> as a pesticide. The marketing or use of </w:t>
      </w:r>
      <w:proofErr w:type="spellStart"/>
      <w:r w:rsidRPr="00152600">
        <w:rPr>
          <w:snapToGrid w:val="0"/>
        </w:rPr>
        <w:t>carbosulfan</w:t>
      </w:r>
      <w:proofErr w:type="spellEnd"/>
      <w:r w:rsidRPr="00152600">
        <w:rPr>
          <w:snapToGrid w:val="0"/>
        </w:rPr>
        <w:t xml:space="preserve"> is banned by the final regulatory action</w:t>
      </w:r>
      <w:r>
        <w:rPr>
          <w:snapToGrid w:val="0"/>
        </w:rPr>
        <w:t>,</w:t>
      </w:r>
      <w:r w:rsidRPr="00152600">
        <w:rPr>
          <w:snapToGrid w:val="0"/>
        </w:rPr>
        <w:t xml:space="preserve"> which states that it is prohibited to place on the market or use plant protection products containing </w:t>
      </w:r>
      <w:proofErr w:type="spellStart"/>
      <w:r w:rsidRPr="00152600">
        <w:rPr>
          <w:snapToGrid w:val="0"/>
        </w:rPr>
        <w:t>carbosulfan</w:t>
      </w:r>
      <w:proofErr w:type="spellEnd"/>
      <w:r w:rsidRPr="00152600">
        <w:rPr>
          <w:snapToGrid w:val="0"/>
        </w:rPr>
        <w:t xml:space="preserve"> and that the substance is not included in the list of approved active ingredients under Regulation (EC) No</w:t>
      </w:r>
      <w:r>
        <w:rPr>
          <w:snapToGrid w:val="0"/>
        </w:rPr>
        <w:t>.</w:t>
      </w:r>
      <w:r w:rsidRPr="00152600">
        <w:rPr>
          <w:snapToGrid w:val="0"/>
        </w:rPr>
        <w:t xml:space="preserve"> 1107/2009</w:t>
      </w:r>
      <w:r>
        <w:rPr>
          <w:snapToGrid w:val="0"/>
        </w:rPr>
        <w:t>,</w:t>
      </w:r>
      <w:r w:rsidRPr="00152600">
        <w:rPr>
          <w:snapToGrid w:val="0"/>
        </w:rPr>
        <w:t xml:space="preserve"> which replaces Council Directive 91/414/EEC. The authori</w:t>
      </w:r>
      <w:r>
        <w:rPr>
          <w:snapToGrid w:val="0"/>
        </w:rPr>
        <w:t>z</w:t>
      </w:r>
      <w:r w:rsidRPr="00152600">
        <w:rPr>
          <w:snapToGrid w:val="0"/>
        </w:rPr>
        <w:t xml:space="preserve">ations for plant protection products containing </w:t>
      </w:r>
      <w:proofErr w:type="spellStart"/>
      <w:r w:rsidRPr="00152600">
        <w:rPr>
          <w:snapToGrid w:val="0"/>
        </w:rPr>
        <w:t>carbosulfan</w:t>
      </w:r>
      <w:proofErr w:type="spellEnd"/>
      <w:r w:rsidRPr="00152600">
        <w:rPr>
          <w:snapToGrid w:val="0"/>
        </w:rPr>
        <w:t xml:space="preserve"> had to be withdrawn by 13 December 2007. As of 16 June 2007 no authori</w:t>
      </w:r>
      <w:r>
        <w:rPr>
          <w:snapToGrid w:val="0"/>
        </w:rPr>
        <w:t>z</w:t>
      </w:r>
      <w:r w:rsidRPr="00152600">
        <w:rPr>
          <w:snapToGrid w:val="0"/>
        </w:rPr>
        <w:t xml:space="preserve">ations for plant protection products containing </w:t>
      </w:r>
      <w:proofErr w:type="spellStart"/>
      <w:r w:rsidRPr="00152600">
        <w:rPr>
          <w:snapToGrid w:val="0"/>
        </w:rPr>
        <w:t>carbosulfan</w:t>
      </w:r>
      <w:proofErr w:type="spellEnd"/>
      <w:r w:rsidRPr="00152600">
        <w:rPr>
          <w:snapToGrid w:val="0"/>
        </w:rPr>
        <w:t xml:space="preserve"> were allowed to be granted or renewed by the </w:t>
      </w:r>
      <w:r>
        <w:rPr>
          <w:snapToGrid w:val="0"/>
        </w:rPr>
        <w:t>m</w:t>
      </w:r>
      <w:r w:rsidRPr="00152600">
        <w:rPr>
          <w:snapToGrid w:val="0"/>
        </w:rPr>
        <w:t xml:space="preserve">ember States and all uses of plant protection products containing </w:t>
      </w:r>
      <w:proofErr w:type="spellStart"/>
      <w:r w:rsidRPr="00152600">
        <w:rPr>
          <w:snapToGrid w:val="0"/>
        </w:rPr>
        <w:t>carbosulfan</w:t>
      </w:r>
      <w:proofErr w:type="spellEnd"/>
      <w:r w:rsidRPr="00152600">
        <w:rPr>
          <w:snapToGrid w:val="0"/>
        </w:rPr>
        <w:t xml:space="preserve"> were prohibited as from 13 December 2008 (UNEP/FAO/RC/CRC.11/7</w:t>
      </w:r>
      <w:r>
        <w:rPr>
          <w:snapToGrid w:val="0"/>
        </w:rPr>
        <w:t>,</w:t>
      </w:r>
      <w:r w:rsidRPr="00152600">
        <w:rPr>
          <w:snapToGrid w:val="0"/>
        </w:rPr>
        <w:t xml:space="preserve"> section 2.2.1 of the </w:t>
      </w:r>
      <w:r>
        <w:rPr>
          <w:snapToGrid w:val="0"/>
        </w:rPr>
        <w:t>European Union</w:t>
      </w:r>
      <w:r w:rsidRPr="00152600">
        <w:rPr>
          <w:snapToGrid w:val="0"/>
        </w:rPr>
        <w:t xml:space="preserve"> notification).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Pr>
          <w:snapToGrid w:val="0"/>
        </w:rPr>
        <w:t>E</w:t>
      </w:r>
      <w:r w:rsidRPr="00152600">
        <w:rPr>
          <w:snapToGrid w:val="0"/>
        </w:rPr>
        <w:t xml:space="preserve">ntry into force of all provisions of Commission Decision 2007/415/EC of 13 June 2007 </w:t>
      </w:r>
      <w:r>
        <w:rPr>
          <w:snapToGrid w:val="0"/>
        </w:rPr>
        <w:t>pertaining to the</w:t>
      </w:r>
      <w:r w:rsidRPr="00152600">
        <w:rPr>
          <w:snapToGrid w:val="0"/>
        </w:rPr>
        <w:t xml:space="preserve"> non-inclusion of </w:t>
      </w:r>
      <w:proofErr w:type="spellStart"/>
      <w:r w:rsidRPr="00152600">
        <w:rPr>
          <w:snapToGrid w:val="0"/>
        </w:rPr>
        <w:t>carbosulfan</w:t>
      </w:r>
      <w:proofErr w:type="spellEnd"/>
      <w:r w:rsidRPr="00152600">
        <w:rPr>
          <w:snapToGrid w:val="0"/>
        </w:rPr>
        <w:t xml:space="preserve"> in Annex I to Council Directive 91/414/EEC and the withdrawal of authori</w:t>
      </w:r>
      <w:r>
        <w:rPr>
          <w:snapToGrid w:val="0"/>
        </w:rPr>
        <w:t>z</w:t>
      </w:r>
      <w:r w:rsidRPr="00152600">
        <w:rPr>
          <w:snapToGrid w:val="0"/>
        </w:rPr>
        <w:t xml:space="preserve">ations for plant protection products containing that substance </w:t>
      </w:r>
      <w:r>
        <w:rPr>
          <w:snapToGrid w:val="0"/>
        </w:rPr>
        <w:t>occurred on</w:t>
      </w:r>
      <w:r w:rsidRPr="00152600">
        <w:rPr>
          <w:snapToGrid w:val="0"/>
        </w:rPr>
        <w:t xml:space="preserve"> 13 December 2008, since all uses of plant protection products containing </w:t>
      </w:r>
      <w:proofErr w:type="spellStart"/>
      <w:r w:rsidRPr="00152600">
        <w:rPr>
          <w:snapToGrid w:val="0"/>
        </w:rPr>
        <w:t>carbosulfan</w:t>
      </w:r>
      <w:proofErr w:type="spellEnd"/>
      <w:r w:rsidRPr="00152600">
        <w:rPr>
          <w:snapToGrid w:val="0"/>
        </w:rPr>
        <w:t xml:space="preserve"> were prohibited as from that date at the latest (UNEP/FAO/RC/CRC/11/7</w:t>
      </w:r>
      <w:r>
        <w:rPr>
          <w:snapToGrid w:val="0"/>
        </w:rPr>
        <w:t>,</w:t>
      </w:r>
      <w:r w:rsidRPr="00152600">
        <w:rPr>
          <w:snapToGrid w:val="0"/>
        </w:rPr>
        <w:t xml:space="preserve"> section 2.2.3 of the </w:t>
      </w:r>
      <w:r>
        <w:rPr>
          <w:snapToGrid w:val="0"/>
        </w:rPr>
        <w:t>European Union</w:t>
      </w:r>
      <w:r w:rsidRPr="00152600">
        <w:rPr>
          <w:snapToGrid w:val="0"/>
        </w:rPr>
        <w:t xml:space="preserve"> notification)</w:t>
      </w:r>
      <w:r>
        <w:rPr>
          <w:snapToGrid w:val="0"/>
        </w:rPr>
        <w:t>.</w:t>
      </w:r>
    </w:p>
    <w:p w:rsidR="00DF4FEF" w:rsidRPr="00220AAA"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notification was found to comply with the information requirements of Annex I. </w:t>
      </w:r>
    </w:p>
    <w:p w:rsidR="00DF4FEF" w:rsidRPr="00220AAA" w:rsidRDefault="00DF4FEF" w:rsidP="00DF4FEF">
      <w:pPr>
        <w:numPr>
          <w:ilvl w:val="0"/>
          <w:numId w:val="4"/>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rPr>
      </w:pPr>
      <w:r w:rsidRPr="00220AAA">
        <w:rPr>
          <w:b/>
        </w:rPr>
        <w:lastRenderedPageBreak/>
        <w:t>Annex II paragraph (a) criterion</w:t>
      </w:r>
    </w:p>
    <w:p w:rsidR="00DF4FEF" w:rsidRPr="00295923" w:rsidRDefault="00DF4FEF" w:rsidP="00DF4FEF">
      <w:pPr>
        <w:tabs>
          <w:tab w:val="clear" w:pos="1247"/>
          <w:tab w:val="clear" w:pos="1814"/>
          <w:tab w:val="clear" w:pos="2381"/>
          <w:tab w:val="clear" w:pos="2948"/>
          <w:tab w:val="clear" w:pos="3515"/>
          <w:tab w:val="left" w:pos="624"/>
        </w:tabs>
        <w:snapToGrid w:val="0"/>
        <w:spacing w:after="120"/>
        <w:ind w:left="1247" w:firstLine="624"/>
        <w:rPr>
          <w:i/>
        </w:rPr>
      </w:pPr>
      <w:r w:rsidRPr="00295923">
        <w:rPr>
          <w:i/>
        </w:rPr>
        <w:t>(a)</w:t>
      </w:r>
      <w:r w:rsidRPr="00295923">
        <w:rPr>
          <w:i/>
        </w:rPr>
        <w:tab/>
        <w:t>Confirm that the final regulatory action has been taken in order to protect human health or the environment;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The Committee confirms that the regulatory action was taken to protect human health and the environment (UNEP/FAO/RC/CRC.11/7</w:t>
      </w:r>
      <w:r>
        <w:rPr>
          <w:snapToGrid w:val="0"/>
        </w:rPr>
        <w:t>,</w:t>
      </w:r>
      <w:r w:rsidRPr="00152600">
        <w:rPr>
          <w:snapToGrid w:val="0"/>
        </w:rPr>
        <w:t xml:space="preserve"> section 2.4.2 of the </w:t>
      </w:r>
      <w:r>
        <w:rPr>
          <w:snapToGrid w:val="0"/>
        </w:rPr>
        <w:t>European Union</w:t>
      </w:r>
      <w:r w:rsidRPr="00152600">
        <w:rPr>
          <w:snapToGrid w:val="0"/>
        </w:rPr>
        <w:t xml:space="preserv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proofErr w:type="spellStart"/>
      <w:r w:rsidRPr="00152600">
        <w:rPr>
          <w:snapToGrid w:val="0"/>
        </w:rPr>
        <w:t>Carbosulfan</w:t>
      </w:r>
      <w:proofErr w:type="spellEnd"/>
      <w:r w:rsidRPr="00152600">
        <w:rPr>
          <w:snapToGrid w:val="0"/>
        </w:rPr>
        <w:t xml:space="preserve"> </w:t>
      </w:r>
      <w:r>
        <w:rPr>
          <w:snapToGrid w:val="0"/>
        </w:rPr>
        <w:t>was</w:t>
      </w:r>
      <w:r w:rsidRPr="00152600">
        <w:rPr>
          <w:snapToGrid w:val="0"/>
        </w:rPr>
        <w:t xml:space="preserve"> used in the </w:t>
      </w:r>
      <w:r>
        <w:rPr>
          <w:snapToGrid w:val="0"/>
        </w:rPr>
        <w:t>European Union</w:t>
      </w:r>
      <w:r w:rsidRPr="00152600">
        <w:rPr>
          <w:snapToGrid w:val="0"/>
        </w:rPr>
        <w:t xml:space="preserve"> as a systemic insecticide. It was used for incorporation into soil (at drilling) at sites where maize and sugar beet</w:t>
      </w:r>
      <w:r>
        <w:rPr>
          <w:snapToGrid w:val="0"/>
        </w:rPr>
        <w:t>s</w:t>
      </w:r>
      <w:r w:rsidRPr="00152600">
        <w:rPr>
          <w:snapToGrid w:val="0"/>
        </w:rPr>
        <w:t xml:space="preserve"> were grown, as well as on citrus and cotton. The substance can be used as insecticide and </w:t>
      </w:r>
      <w:proofErr w:type="spellStart"/>
      <w:r w:rsidRPr="00152600">
        <w:rPr>
          <w:snapToGrid w:val="0"/>
        </w:rPr>
        <w:t>nematicide</w:t>
      </w:r>
      <w:proofErr w:type="spellEnd"/>
      <w:r w:rsidRPr="00152600">
        <w:rPr>
          <w:snapToGrid w:val="0"/>
        </w:rPr>
        <w:t xml:space="preserve"> (UNEP/FAO/RC/CRC.11/7</w:t>
      </w:r>
      <w:r>
        <w:rPr>
          <w:snapToGrid w:val="0"/>
        </w:rPr>
        <w:t>,</w:t>
      </w:r>
      <w:r w:rsidRPr="00152600">
        <w:rPr>
          <w:snapToGrid w:val="0"/>
        </w:rPr>
        <w:t xml:space="preserve"> section 2.3.1 of the </w:t>
      </w:r>
      <w:r>
        <w:rPr>
          <w:snapToGrid w:val="0"/>
        </w:rPr>
        <w:t>European Union</w:t>
      </w:r>
      <w:r w:rsidRPr="00152600">
        <w:rPr>
          <w:snapToGrid w:val="0"/>
        </w:rPr>
        <w:t xml:space="preserv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risk evaluation concluded that </w:t>
      </w:r>
      <w:proofErr w:type="spellStart"/>
      <w:r w:rsidRPr="00152600">
        <w:rPr>
          <w:snapToGrid w:val="0"/>
        </w:rPr>
        <w:t>carbosulfan</w:t>
      </w:r>
      <w:proofErr w:type="spellEnd"/>
      <w:r w:rsidRPr="00152600">
        <w:rPr>
          <w:snapToGrid w:val="0"/>
        </w:rPr>
        <w:t xml:space="preserve"> was not </w:t>
      </w:r>
      <w:r>
        <w:rPr>
          <w:snapToGrid w:val="0"/>
        </w:rPr>
        <w:t>shown</w:t>
      </w:r>
      <w:r w:rsidRPr="00152600">
        <w:rPr>
          <w:snapToGrid w:val="0"/>
        </w:rPr>
        <w:t xml:space="preserve"> to meet the safety requirements of Article 5</w:t>
      </w:r>
      <w:r>
        <w:rPr>
          <w:snapToGrid w:val="0"/>
        </w:rPr>
        <w:t xml:space="preserve"> </w:t>
      </w:r>
      <w:r w:rsidRPr="00152600">
        <w:rPr>
          <w:snapToGrid w:val="0"/>
        </w:rPr>
        <w:t>(1) (a) and (b) of Directive 91/414/EEC. Certain metabolites with hazardous profile</w:t>
      </w:r>
      <w:r>
        <w:rPr>
          <w:snapToGrid w:val="0"/>
        </w:rPr>
        <w:t>s</w:t>
      </w:r>
      <w:r w:rsidRPr="00152600">
        <w:rPr>
          <w:snapToGrid w:val="0"/>
        </w:rPr>
        <w:t xml:space="preserve"> (some of which </w:t>
      </w:r>
      <w:r>
        <w:rPr>
          <w:snapToGrid w:val="0"/>
        </w:rPr>
        <w:t>are potentially</w:t>
      </w:r>
      <w:r w:rsidRPr="00152600">
        <w:rPr>
          <w:snapToGrid w:val="0"/>
        </w:rPr>
        <w:t xml:space="preserve"> </w:t>
      </w:r>
      <w:proofErr w:type="spellStart"/>
      <w:r w:rsidRPr="00152600">
        <w:rPr>
          <w:snapToGrid w:val="0"/>
        </w:rPr>
        <w:t>genotoxic</w:t>
      </w:r>
      <w:proofErr w:type="spellEnd"/>
      <w:r w:rsidRPr="00152600">
        <w:rPr>
          <w:snapToGrid w:val="0"/>
        </w:rPr>
        <w:t xml:space="preserve">) </w:t>
      </w:r>
      <w:r>
        <w:rPr>
          <w:snapToGrid w:val="0"/>
        </w:rPr>
        <w:t xml:space="preserve">result from </w:t>
      </w:r>
      <w:r w:rsidRPr="00295923">
        <w:rPr>
          <w:snapToGrid w:val="0"/>
        </w:rPr>
        <w:t>the</w:t>
      </w:r>
      <w:r w:rsidRPr="00152600">
        <w:rPr>
          <w:snapToGrid w:val="0"/>
        </w:rPr>
        <w:t xml:space="preserve"> use of </w:t>
      </w:r>
      <w:proofErr w:type="spellStart"/>
      <w:r w:rsidRPr="00152600">
        <w:rPr>
          <w:snapToGrid w:val="0"/>
        </w:rPr>
        <w:t>carbosulfan</w:t>
      </w:r>
      <w:proofErr w:type="spellEnd"/>
      <w:r>
        <w:rPr>
          <w:snapToGrid w:val="0"/>
        </w:rPr>
        <w:t>,</w:t>
      </w:r>
      <w:r w:rsidRPr="00152600">
        <w:rPr>
          <w:snapToGrid w:val="0"/>
        </w:rPr>
        <w:t xml:space="preserve"> which leads to concerns about the exposure of consumers and </w:t>
      </w:r>
      <w:r>
        <w:rPr>
          <w:snapToGrid w:val="0"/>
        </w:rPr>
        <w:t xml:space="preserve">the </w:t>
      </w:r>
      <w:r w:rsidRPr="00152600">
        <w:rPr>
          <w:snapToGrid w:val="0"/>
        </w:rPr>
        <w:t>possible risk of groundwater contamination. In addition, impurities, of which at least one is carcinogenic (N-</w:t>
      </w:r>
      <w:proofErr w:type="spellStart"/>
      <w:r w:rsidRPr="00152600">
        <w:rPr>
          <w:snapToGrid w:val="0"/>
        </w:rPr>
        <w:t>nitrosodibutylamine</w:t>
      </w:r>
      <w:proofErr w:type="spellEnd"/>
      <w:r w:rsidRPr="00152600">
        <w:rPr>
          <w:snapToGrid w:val="0"/>
        </w:rPr>
        <w:t xml:space="preserve">), </w:t>
      </w:r>
      <w:r>
        <w:rPr>
          <w:snapToGrid w:val="0"/>
        </w:rPr>
        <w:t>have been</w:t>
      </w:r>
      <w:r w:rsidRPr="00152600">
        <w:rPr>
          <w:snapToGrid w:val="0"/>
        </w:rPr>
        <w:t xml:space="preserve"> found in the active substance as sold </w:t>
      </w:r>
      <w:r>
        <w:rPr>
          <w:snapToGrid w:val="0"/>
        </w:rPr>
        <w:t>on</w:t>
      </w:r>
      <w:r w:rsidRPr="00152600">
        <w:rPr>
          <w:snapToGrid w:val="0"/>
        </w:rPr>
        <w:t xml:space="preserve"> the market (technical material) at levels raising concerns. The presence of unknown carcinogenic impurities in the technical substance may increase during storage, but the data submitted by the </w:t>
      </w:r>
      <w:proofErr w:type="spellStart"/>
      <w:r w:rsidRPr="00152600">
        <w:rPr>
          <w:snapToGrid w:val="0"/>
        </w:rPr>
        <w:t>notifier</w:t>
      </w:r>
      <w:r>
        <w:rPr>
          <w:snapToGrid w:val="0"/>
        </w:rPr>
        <w:t>s</w:t>
      </w:r>
      <w:proofErr w:type="spellEnd"/>
      <w:r w:rsidRPr="00152600">
        <w:rPr>
          <w:snapToGrid w:val="0"/>
        </w:rPr>
        <w:t xml:space="preserve"> </w:t>
      </w:r>
      <w:r>
        <w:rPr>
          <w:snapToGrid w:val="0"/>
        </w:rPr>
        <w:t>were</w:t>
      </w:r>
      <w:r w:rsidRPr="00152600">
        <w:rPr>
          <w:snapToGrid w:val="0"/>
        </w:rPr>
        <w:t xml:space="preserve"> not sufficient to address this concern and adequately assess the related risks for operators.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A further review in 2009 noted </w:t>
      </w:r>
      <w:r>
        <w:rPr>
          <w:snapToGrid w:val="0"/>
        </w:rPr>
        <w:t>that intake by toddlers might exceed the a</w:t>
      </w:r>
      <w:r w:rsidRPr="00152600">
        <w:rPr>
          <w:snapToGrid w:val="0"/>
        </w:rPr>
        <w:t xml:space="preserve">cceptable </w:t>
      </w:r>
      <w:r>
        <w:rPr>
          <w:snapToGrid w:val="0"/>
        </w:rPr>
        <w:t>d</w:t>
      </w:r>
      <w:r w:rsidRPr="00152600">
        <w:rPr>
          <w:snapToGrid w:val="0"/>
        </w:rPr>
        <w:t xml:space="preserve">aily </w:t>
      </w:r>
      <w:r>
        <w:rPr>
          <w:snapToGrid w:val="0"/>
        </w:rPr>
        <w:t>i</w:t>
      </w:r>
      <w:r w:rsidRPr="00152600">
        <w:rPr>
          <w:snapToGrid w:val="0"/>
        </w:rPr>
        <w:t xml:space="preserve">ntake and </w:t>
      </w:r>
      <w:r>
        <w:rPr>
          <w:snapToGrid w:val="0"/>
        </w:rPr>
        <w:t xml:space="preserve">that </w:t>
      </w:r>
      <w:r w:rsidRPr="00152600">
        <w:rPr>
          <w:snapToGrid w:val="0"/>
        </w:rPr>
        <w:t>consumption of a number of crops</w:t>
      </w:r>
      <w:r>
        <w:rPr>
          <w:snapToGrid w:val="0"/>
        </w:rPr>
        <w:t xml:space="preserve"> might pose an acute risk to children and adults</w:t>
      </w:r>
      <w:r w:rsidRPr="00152600">
        <w:rPr>
          <w:snapToGrid w:val="0"/>
        </w:rPr>
        <w:t xml:space="preserve">. The risk evaluation raised concerns </w:t>
      </w:r>
      <w:r>
        <w:rPr>
          <w:snapToGrid w:val="0"/>
        </w:rPr>
        <w:t>regarding</w:t>
      </w:r>
      <w:r w:rsidRPr="00152600">
        <w:rPr>
          <w:snapToGrid w:val="0"/>
        </w:rPr>
        <w:t xml:space="preserve"> a possible risk to groundwater due to potential contamination by the parent substance and a number of relevant metabolites. Concerns remained regard</w:t>
      </w:r>
      <w:r>
        <w:rPr>
          <w:snapToGrid w:val="0"/>
        </w:rPr>
        <w:t>ing</w:t>
      </w:r>
      <w:r w:rsidRPr="00152600">
        <w:rPr>
          <w:snapToGrid w:val="0"/>
        </w:rPr>
        <w:t xml:space="preserve"> the risk for birds and mammals, aquatic organisms, bees and earthworms (UNEP/FAO/RC/CRC.11/7</w:t>
      </w:r>
      <w:r>
        <w:rPr>
          <w:snapToGrid w:val="0"/>
        </w:rPr>
        <w:t>,</w:t>
      </w:r>
      <w:r w:rsidRPr="00152600">
        <w:rPr>
          <w:snapToGrid w:val="0"/>
        </w:rPr>
        <w:t xml:space="preserve"> section 2.4.2 of the </w:t>
      </w:r>
      <w:r>
        <w:rPr>
          <w:snapToGrid w:val="0"/>
        </w:rPr>
        <w:t>European Union</w:t>
      </w:r>
      <w:r w:rsidRPr="00152600">
        <w:rPr>
          <w:snapToGrid w:val="0"/>
        </w:rPr>
        <w:t xml:space="preserve"> notification; UNEP/FAO/RC/CRC/11/INF/14). </w:t>
      </w:r>
      <w:r>
        <w:rPr>
          <w:snapToGrid w:val="0"/>
        </w:rPr>
        <w:t>T</w:t>
      </w:r>
      <w:r w:rsidRPr="00152600">
        <w:rPr>
          <w:snapToGrid w:val="0"/>
        </w:rPr>
        <w:t>he results of this second review from 2009</w:t>
      </w:r>
      <w:r>
        <w:rPr>
          <w:snapToGrid w:val="0"/>
        </w:rPr>
        <w:t>, however,</w:t>
      </w:r>
      <w:r w:rsidRPr="00152600">
        <w:rPr>
          <w:snapToGrid w:val="0"/>
        </w:rPr>
        <w:t xml:space="preserve"> have not resulted in another regulatory action (see introduction to chapter 2.3).</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notification describes that the final regulatory action prohibits all uses of </w:t>
      </w:r>
      <w:proofErr w:type="spellStart"/>
      <w:r w:rsidRPr="00152600">
        <w:rPr>
          <w:snapToGrid w:val="0"/>
        </w:rPr>
        <w:t>carbosulfan</w:t>
      </w:r>
      <w:proofErr w:type="spellEnd"/>
      <w:r w:rsidRPr="00152600">
        <w:rPr>
          <w:snapToGrid w:val="0"/>
        </w:rPr>
        <w:t xml:space="preserve"> as a plant protection product</w:t>
      </w:r>
      <w:r>
        <w:rPr>
          <w:snapToGrid w:val="0"/>
        </w:rPr>
        <w:t xml:space="preserve">; </w:t>
      </w:r>
      <w:r w:rsidRPr="00152600">
        <w:rPr>
          <w:snapToGrid w:val="0"/>
        </w:rPr>
        <w:t xml:space="preserve">this is expected to lead to a significant decrease in the quantity of the chemical used, resulting in </w:t>
      </w:r>
      <w:r>
        <w:rPr>
          <w:snapToGrid w:val="0"/>
        </w:rPr>
        <w:t xml:space="preserve">a </w:t>
      </w:r>
      <w:r w:rsidRPr="00152600">
        <w:rPr>
          <w:snapToGrid w:val="0"/>
        </w:rPr>
        <w:t>significant reduction of risk to human health and the environment.</w:t>
      </w:r>
    </w:p>
    <w:p w:rsidR="00DF4FEF" w:rsidRPr="00220AAA"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Therefore the Committee confirms that th</w:t>
      </w:r>
      <w:r>
        <w:rPr>
          <w:snapToGrid w:val="0"/>
        </w:rPr>
        <w:t>e</w:t>
      </w:r>
      <w:r w:rsidRPr="00152600">
        <w:rPr>
          <w:snapToGrid w:val="0"/>
        </w:rPr>
        <w:t xml:space="preserve"> criterion </w:t>
      </w:r>
      <w:r>
        <w:rPr>
          <w:snapToGrid w:val="0"/>
        </w:rPr>
        <w:t xml:space="preserve">in paragraph (a) </w:t>
      </w:r>
      <w:r w:rsidRPr="00152600">
        <w:rPr>
          <w:snapToGrid w:val="0"/>
        </w:rPr>
        <w:t>is met.</w:t>
      </w:r>
    </w:p>
    <w:p w:rsidR="00DF4FEF" w:rsidRPr="00152600" w:rsidRDefault="00DF4FEF" w:rsidP="00DF4FEF">
      <w:pPr>
        <w:keepNext/>
        <w:numPr>
          <w:ilvl w:val="0"/>
          <w:numId w:val="4"/>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rPr>
      </w:pPr>
      <w:r w:rsidRPr="00152600">
        <w:rPr>
          <w:b/>
        </w:rPr>
        <w:t xml:space="preserve">Annex II paragraph (b) criteria </w:t>
      </w:r>
    </w:p>
    <w:p w:rsidR="00DF4FEF" w:rsidRPr="00295923" w:rsidRDefault="00DF4FEF" w:rsidP="00DF4FEF">
      <w:pPr>
        <w:tabs>
          <w:tab w:val="clear" w:pos="1247"/>
          <w:tab w:val="clear" w:pos="1814"/>
          <w:tab w:val="clear" w:pos="2381"/>
          <w:tab w:val="clear" w:pos="2948"/>
          <w:tab w:val="clear" w:pos="3515"/>
          <w:tab w:val="left" w:pos="624"/>
        </w:tabs>
        <w:snapToGrid w:val="0"/>
        <w:spacing w:after="120"/>
        <w:ind w:left="1247" w:firstLine="624"/>
        <w:rPr>
          <w:i/>
        </w:rPr>
      </w:pPr>
      <w:r w:rsidRPr="00220AAA">
        <w:rPr>
          <w:i/>
          <w:sz w:val="22"/>
          <w:szCs w:val="22"/>
        </w:rPr>
        <w:t>(b)</w:t>
      </w:r>
      <w:r w:rsidRPr="00220AAA">
        <w:rPr>
          <w:i/>
          <w:sz w:val="22"/>
          <w:szCs w:val="22"/>
        </w:rPr>
        <w:tab/>
      </w:r>
      <w:r w:rsidRPr="00295923">
        <w:rPr>
          <w:i/>
        </w:rPr>
        <w:t>Establish that the final regulatory action has been taken as a consequence of a risk evaluation. This evaluation shall be based on a review of scientific data in the context of the conditions prevailing in the Party in question. For this purpose, the documentation provided shall demonstrate that:</w:t>
      </w:r>
    </w:p>
    <w:p w:rsidR="00DF4FEF" w:rsidRPr="00295923"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rPr>
      </w:pPr>
      <w:r w:rsidRPr="00295923">
        <w:rPr>
          <w:i/>
        </w:rPr>
        <w:t>(</w:t>
      </w:r>
      <w:proofErr w:type="spellStart"/>
      <w:r w:rsidRPr="00295923">
        <w:rPr>
          <w:i/>
        </w:rPr>
        <w:t>i</w:t>
      </w:r>
      <w:proofErr w:type="spellEnd"/>
      <w:r w:rsidRPr="00295923">
        <w:rPr>
          <w:i/>
        </w:rPr>
        <w:t>)</w:t>
      </w:r>
      <w:r w:rsidRPr="00295923">
        <w:rPr>
          <w:i/>
        </w:rPr>
        <w:tab/>
        <w:t>Data have been generated according to scientifically recognized methods;</w:t>
      </w:r>
    </w:p>
    <w:p w:rsidR="00DF4FEF" w:rsidRPr="00295923"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rPr>
      </w:pPr>
      <w:r w:rsidRPr="00295923">
        <w:rPr>
          <w:i/>
        </w:rPr>
        <w:t>(ii)</w:t>
      </w:r>
      <w:r w:rsidRPr="00295923">
        <w:rPr>
          <w:i/>
        </w:rPr>
        <w:tab/>
        <w:t>Data reviews have been performed and documented according to generally recognized scientific principles and procedures;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Prior to the regulatory action, a risk assessment was carried out on the basis of Directive 91/414/EEC, replaced by Regulation (EC) 1107/2009, which provide</w:t>
      </w:r>
      <w:r>
        <w:rPr>
          <w:snapToGrid w:val="0"/>
        </w:rPr>
        <w:t>d</w:t>
      </w:r>
      <w:r w:rsidRPr="00152600">
        <w:rPr>
          <w:snapToGrid w:val="0"/>
        </w:rPr>
        <w:t xml:space="preserve"> for the European Commission to issue a work programme for the examination of existing active substances used in plant protection products with a view to their possible inclusion in Annex I to th</w:t>
      </w:r>
      <w:r>
        <w:rPr>
          <w:snapToGrid w:val="0"/>
        </w:rPr>
        <w:t>e</w:t>
      </w:r>
      <w:r w:rsidRPr="00152600">
        <w:rPr>
          <w:snapToGrid w:val="0"/>
        </w:rPr>
        <w:t xml:space="preserve"> Directive in accordance with the provisions of Article 8</w:t>
      </w:r>
      <w:r>
        <w:rPr>
          <w:snapToGrid w:val="0"/>
        </w:rPr>
        <w:t xml:space="preserve"> </w:t>
      </w:r>
      <w:r w:rsidRPr="00152600">
        <w:rPr>
          <w:snapToGrid w:val="0"/>
        </w:rPr>
        <w:t>(7) of Regulation (EC) No 451/2000.</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A </w:t>
      </w:r>
      <w:r>
        <w:rPr>
          <w:snapToGrid w:val="0"/>
        </w:rPr>
        <w:t>m</w:t>
      </w:r>
      <w:r w:rsidRPr="00152600">
        <w:rPr>
          <w:snapToGrid w:val="0"/>
        </w:rPr>
        <w:t xml:space="preserve">ember State (Belgium) was designated to undertake the risk assessment based on the information submitted by the </w:t>
      </w:r>
      <w:proofErr w:type="spellStart"/>
      <w:r w:rsidRPr="00152600">
        <w:rPr>
          <w:snapToGrid w:val="0"/>
        </w:rPr>
        <w:t>notifiers</w:t>
      </w:r>
      <w:proofErr w:type="spellEnd"/>
      <w:r w:rsidRPr="00152600">
        <w:rPr>
          <w:snapToGrid w:val="0"/>
        </w:rPr>
        <w:t xml:space="preserve"> and to establish a draft assessment report, which was subject to peer review organi</w:t>
      </w:r>
      <w:r>
        <w:rPr>
          <w:snapToGrid w:val="0"/>
        </w:rPr>
        <w:t>z</w:t>
      </w:r>
      <w:r w:rsidRPr="00152600">
        <w:rPr>
          <w:snapToGrid w:val="0"/>
        </w:rPr>
        <w:t xml:space="preserve">ed by the European Food Safety Authority (EFSA). The conclusions provided by EFSA were reviewed by the </w:t>
      </w:r>
      <w:r>
        <w:rPr>
          <w:snapToGrid w:val="0"/>
        </w:rPr>
        <w:t>m</w:t>
      </w:r>
      <w:r w:rsidRPr="00152600">
        <w:rPr>
          <w:snapToGrid w:val="0"/>
        </w:rPr>
        <w:t>ember States and the Commission and submitted to the Standing Committee on the Food Chain and Animal Health.</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evaluation of </w:t>
      </w:r>
      <w:proofErr w:type="spellStart"/>
      <w:r w:rsidRPr="00152600">
        <w:rPr>
          <w:snapToGrid w:val="0"/>
        </w:rPr>
        <w:t>carbosulfan</w:t>
      </w:r>
      <w:proofErr w:type="spellEnd"/>
      <w:r w:rsidRPr="00152600">
        <w:rPr>
          <w:snapToGrid w:val="0"/>
        </w:rPr>
        <w:t xml:space="preserve"> was based on a review of scientific data taking into account the conditions prevailing in the European Union</w:t>
      </w:r>
      <w:r>
        <w:rPr>
          <w:snapToGrid w:val="0"/>
        </w:rPr>
        <w:t>, including</w:t>
      </w:r>
      <w:r w:rsidRPr="00152600">
        <w:rPr>
          <w:snapToGrid w:val="0"/>
        </w:rPr>
        <w:t xml:space="preserve"> intended uses, recommended application rates</w:t>
      </w:r>
      <w:r>
        <w:rPr>
          <w:snapToGrid w:val="0"/>
        </w:rPr>
        <w:t xml:space="preserve"> and</w:t>
      </w:r>
      <w:r w:rsidRPr="00152600">
        <w:rPr>
          <w:snapToGrid w:val="0"/>
        </w:rPr>
        <w:t xml:space="preserve"> good agricultural practices. Only data generated according to scientifically recogni</w:t>
      </w:r>
      <w:r>
        <w:rPr>
          <w:snapToGrid w:val="0"/>
        </w:rPr>
        <w:t>z</w:t>
      </w:r>
      <w:r w:rsidRPr="00152600">
        <w:rPr>
          <w:snapToGrid w:val="0"/>
        </w:rPr>
        <w:t>ed methods were validated and used for the evaluation. Moreover, data reviews were performed and documented according to generally recogni</w:t>
      </w:r>
      <w:r>
        <w:rPr>
          <w:snapToGrid w:val="0"/>
        </w:rPr>
        <w:t>z</w:t>
      </w:r>
      <w:r w:rsidRPr="00152600">
        <w:rPr>
          <w:snapToGrid w:val="0"/>
        </w:rPr>
        <w:t xml:space="preserve">ed scientific principles and procedures (UNEP/FAO/RC/CRC/11/7, section 2.4.1 of the </w:t>
      </w:r>
      <w:r>
        <w:rPr>
          <w:snapToGrid w:val="0"/>
        </w:rPr>
        <w:t>European Union</w:t>
      </w:r>
      <w:r w:rsidRPr="00152600">
        <w:rPr>
          <w:snapToGrid w:val="0"/>
        </w:rPr>
        <w:t xml:space="preserv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lastRenderedPageBreak/>
        <w:t xml:space="preserve">The conclusions on the effects of </w:t>
      </w:r>
      <w:proofErr w:type="spellStart"/>
      <w:r w:rsidRPr="00152600">
        <w:rPr>
          <w:snapToGrid w:val="0"/>
        </w:rPr>
        <w:t>carbosulfan</w:t>
      </w:r>
      <w:proofErr w:type="spellEnd"/>
      <w:r w:rsidRPr="00152600">
        <w:rPr>
          <w:snapToGrid w:val="0"/>
        </w:rPr>
        <w:t xml:space="preserve"> on human health and the environment were reached on the basis of the evaluation of representative uses of </w:t>
      </w:r>
      <w:proofErr w:type="spellStart"/>
      <w:r w:rsidRPr="00152600">
        <w:rPr>
          <w:snapToGrid w:val="0"/>
        </w:rPr>
        <w:t>carbosulfan</w:t>
      </w:r>
      <w:proofErr w:type="spellEnd"/>
      <w:r w:rsidRPr="00152600">
        <w:rPr>
          <w:snapToGrid w:val="0"/>
        </w:rPr>
        <w:t xml:space="preserve"> as an insecticide as proposed by the applicant</w:t>
      </w:r>
      <w:r>
        <w:rPr>
          <w:snapToGrid w:val="0"/>
        </w:rPr>
        <w:t>,</w:t>
      </w:r>
      <w:r w:rsidRPr="00152600">
        <w:rPr>
          <w:snapToGrid w:val="0"/>
        </w:rPr>
        <w:t xml:space="preserve"> </w:t>
      </w:r>
      <w:r>
        <w:rPr>
          <w:snapToGrid w:val="0"/>
        </w:rPr>
        <w:t>including</w:t>
      </w:r>
      <w:r w:rsidRPr="00152600">
        <w:rPr>
          <w:snapToGrid w:val="0"/>
        </w:rPr>
        <w:t xml:space="preserve"> incorporation into soil (at drilling) to control soil insects where maize and sugar beet</w:t>
      </w:r>
      <w:r>
        <w:rPr>
          <w:snapToGrid w:val="0"/>
        </w:rPr>
        <w:t>s</w:t>
      </w:r>
      <w:r w:rsidRPr="00152600">
        <w:rPr>
          <w:snapToGrid w:val="0"/>
        </w:rPr>
        <w:t xml:space="preserve"> </w:t>
      </w:r>
      <w:r>
        <w:rPr>
          <w:snapToGrid w:val="0"/>
        </w:rPr>
        <w:t>were</w:t>
      </w:r>
      <w:r w:rsidRPr="00152600">
        <w:rPr>
          <w:snapToGrid w:val="0"/>
        </w:rPr>
        <w:t xml:space="preserve"> grown. Sufficient analytical methods as well as methods and data relating to physical, chemical and technical properties are available to ensure that at least limited quality control measurements of the plant protection product are possible. Analytical methods for the data provided are summari</w:t>
      </w:r>
      <w:r>
        <w:rPr>
          <w:snapToGrid w:val="0"/>
        </w:rPr>
        <w:t>z</w:t>
      </w:r>
      <w:r w:rsidRPr="00152600">
        <w:rPr>
          <w:snapToGrid w:val="0"/>
        </w:rPr>
        <w:t xml:space="preserve">ed in the supporting documentation from the </w:t>
      </w:r>
      <w:r>
        <w:rPr>
          <w:snapToGrid w:val="0"/>
        </w:rPr>
        <w:t>European Union</w:t>
      </w:r>
      <w:r w:rsidRPr="00152600">
        <w:rPr>
          <w:snapToGrid w:val="0"/>
        </w:rPr>
        <w:t>. Data includes toxicity endpoints, no observed adverse effect level</w:t>
      </w:r>
      <w:r>
        <w:rPr>
          <w:snapToGrid w:val="0"/>
        </w:rPr>
        <w:t>s</w:t>
      </w:r>
      <w:r w:rsidRPr="00152600">
        <w:rPr>
          <w:snapToGrid w:val="0"/>
        </w:rPr>
        <w:t>, acceptable daily intake, acceptable operator exposure level</w:t>
      </w:r>
      <w:r>
        <w:rPr>
          <w:snapToGrid w:val="0"/>
        </w:rPr>
        <w:t>s</w:t>
      </w:r>
      <w:r w:rsidRPr="00152600">
        <w:rPr>
          <w:snapToGrid w:val="0"/>
        </w:rPr>
        <w:t xml:space="preserve"> </w:t>
      </w:r>
      <w:r>
        <w:rPr>
          <w:snapToGrid w:val="0"/>
        </w:rPr>
        <w:t>and</w:t>
      </w:r>
      <w:r w:rsidRPr="00152600">
        <w:rPr>
          <w:snapToGrid w:val="0"/>
        </w:rPr>
        <w:t xml:space="preserve"> determinations and comparison</w:t>
      </w:r>
      <w:r>
        <w:rPr>
          <w:snapToGrid w:val="0"/>
        </w:rPr>
        <w:t>s</w:t>
      </w:r>
      <w:r w:rsidRPr="00152600">
        <w:rPr>
          <w:snapToGrid w:val="0"/>
        </w:rPr>
        <w:t xml:space="preserve"> to expected exposure of humans and various organisms (UNEP/FAO/RC/CRC/11/INF/14).</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Thus, the Committee established that the data reviewed for the risk evaluation were generated according to scientifically recognized methods and that the data reviews were performed according to generally recognized scientific principles and procedures.</w:t>
      </w:r>
    </w:p>
    <w:p w:rsidR="00DF4FEF" w:rsidRPr="00220AAA"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z w:val="22"/>
          <w:szCs w:val="22"/>
        </w:rPr>
      </w:pPr>
      <w:r w:rsidRPr="00152600">
        <w:rPr>
          <w:snapToGrid w:val="0"/>
        </w:rPr>
        <w:t xml:space="preserve">Consequently, the Committee confirms that the criteria </w:t>
      </w:r>
      <w:r>
        <w:rPr>
          <w:snapToGrid w:val="0"/>
        </w:rPr>
        <w:t xml:space="preserve">in subparagraphs </w:t>
      </w:r>
      <w:r w:rsidRPr="00152600">
        <w:rPr>
          <w:snapToGrid w:val="0"/>
        </w:rPr>
        <w:t xml:space="preserve">(b) </w:t>
      </w:r>
      <w:r>
        <w:rPr>
          <w:snapToGrid w:val="0"/>
        </w:rPr>
        <w:t>(</w:t>
      </w:r>
      <w:proofErr w:type="spellStart"/>
      <w:r w:rsidRPr="00152600">
        <w:rPr>
          <w:snapToGrid w:val="0"/>
        </w:rPr>
        <w:t>i</w:t>
      </w:r>
      <w:proofErr w:type="spellEnd"/>
      <w:r w:rsidRPr="00152600">
        <w:rPr>
          <w:snapToGrid w:val="0"/>
        </w:rPr>
        <w:t xml:space="preserve">) and (b) </w:t>
      </w:r>
      <w:r>
        <w:rPr>
          <w:snapToGrid w:val="0"/>
        </w:rPr>
        <w:t>(</w:t>
      </w:r>
      <w:r w:rsidRPr="00152600">
        <w:rPr>
          <w:snapToGrid w:val="0"/>
        </w:rPr>
        <w:t>ii) are met.</w:t>
      </w:r>
    </w:p>
    <w:p w:rsidR="00DF4FEF" w:rsidRPr="00295923"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rPr>
      </w:pPr>
      <w:r w:rsidRPr="00220AAA">
        <w:rPr>
          <w:i/>
          <w:sz w:val="22"/>
          <w:szCs w:val="22"/>
        </w:rPr>
        <w:t>(iii)</w:t>
      </w:r>
      <w:r w:rsidRPr="00220AAA">
        <w:rPr>
          <w:i/>
          <w:sz w:val="22"/>
          <w:szCs w:val="22"/>
        </w:rPr>
        <w:tab/>
      </w:r>
      <w:r w:rsidRPr="00295923">
        <w:rPr>
          <w:i/>
        </w:rPr>
        <w:t>The final regulatory action was based on a risk evaluation involving prevailing conditions within the Party taking the action;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final regulatory action to ban </w:t>
      </w:r>
      <w:proofErr w:type="spellStart"/>
      <w:r w:rsidRPr="00152600">
        <w:rPr>
          <w:snapToGrid w:val="0"/>
        </w:rPr>
        <w:t>carbosulfan</w:t>
      </w:r>
      <w:proofErr w:type="spellEnd"/>
      <w:r w:rsidRPr="00152600">
        <w:rPr>
          <w:snapToGrid w:val="0"/>
        </w:rPr>
        <w:t xml:space="preserve"> was based on a risk evaluation, in which the proposed conditions of use within the </w:t>
      </w:r>
      <w:r>
        <w:rPr>
          <w:snapToGrid w:val="0"/>
        </w:rPr>
        <w:t>European Union</w:t>
      </w:r>
      <w:r w:rsidRPr="00152600">
        <w:rPr>
          <w:snapToGrid w:val="0"/>
        </w:rPr>
        <w:t xml:space="preserve">, including intended uses, recommended application rates and good agricultural practices, </w:t>
      </w:r>
      <w:r>
        <w:rPr>
          <w:snapToGrid w:val="0"/>
        </w:rPr>
        <w:t>were</w:t>
      </w:r>
      <w:r w:rsidRPr="00152600">
        <w:rPr>
          <w:snapToGrid w:val="0"/>
        </w:rPr>
        <w:t xml:space="preserve"> taken into account. The risk analysis considered the representative insecticide uses as proposed by the applicant for incorporation into soil (at drilling) to control soil insects, where maize and sugar beet</w:t>
      </w:r>
      <w:r>
        <w:rPr>
          <w:snapToGrid w:val="0"/>
        </w:rPr>
        <w:t>s</w:t>
      </w:r>
      <w:r w:rsidRPr="00152600">
        <w:rPr>
          <w:snapToGrid w:val="0"/>
        </w:rPr>
        <w:t xml:space="preserve"> </w:t>
      </w:r>
      <w:r>
        <w:rPr>
          <w:snapToGrid w:val="0"/>
        </w:rPr>
        <w:t>would</w:t>
      </w:r>
      <w:r w:rsidRPr="00152600">
        <w:rPr>
          <w:snapToGrid w:val="0"/>
        </w:rPr>
        <w:t xml:space="preserve"> be grown. The conclusions </w:t>
      </w:r>
      <w:r>
        <w:rPr>
          <w:snapToGrid w:val="0"/>
        </w:rPr>
        <w:t xml:space="preserve">of EFSA </w:t>
      </w:r>
      <w:r w:rsidRPr="00152600">
        <w:rPr>
          <w:snapToGrid w:val="0"/>
        </w:rPr>
        <w:t>were reached on the basis of the evaluation of the representative use</w:t>
      </w:r>
      <w:r>
        <w:rPr>
          <w:snapToGrid w:val="0"/>
        </w:rPr>
        <w:t>s</w:t>
      </w:r>
      <w:r w:rsidRPr="00152600">
        <w:rPr>
          <w:snapToGrid w:val="0"/>
        </w:rPr>
        <w:t xml:space="preserve"> in the </w:t>
      </w:r>
      <w:r>
        <w:rPr>
          <w:snapToGrid w:val="0"/>
        </w:rPr>
        <w:t>European Union</w:t>
      </w:r>
      <w:r w:rsidRPr="00152600">
        <w:rPr>
          <w:snapToGrid w:val="0"/>
        </w:rPr>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Assessments made on the basis of the data on </w:t>
      </w:r>
      <w:proofErr w:type="spellStart"/>
      <w:r w:rsidRPr="00152600">
        <w:rPr>
          <w:snapToGrid w:val="0"/>
        </w:rPr>
        <w:t>carbosulfan</w:t>
      </w:r>
      <w:proofErr w:type="spellEnd"/>
      <w:r w:rsidRPr="00152600">
        <w:rPr>
          <w:snapToGrid w:val="0"/>
        </w:rPr>
        <w:t xml:space="preserve"> submitted by the applicant did not demonstrate that it </w:t>
      </w:r>
      <w:r>
        <w:rPr>
          <w:snapToGrid w:val="0"/>
        </w:rPr>
        <w:t>might</w:t>
      </w:r>
      <w:r w:rsidRPr="00152600">
        <w:rPr>
          <w:snapToGrid w:val="0"/>
        </w:rPr>
        <w:t xml:space="preserve"> be expected that, under the proposed conditions of use, plant protection products containing </w:t>
      </w:r>
      <w:proofErr w:type="spellStart"/>
      <w:r w:rsidRPr="00152600">
        <w:rPr>
          <w:snapToGrid w:val="0"/>
        </w:rPr>
        <w:t>carbosulfan</w:t>
      </w:r>
      <w:proofErr w:type="spellEnd"/>
      <w:r w:rsidRPr="00152600">
        <w:rPr>
          <w:snapToGrid w:val="0"/>
        </w:rPr>
        <w:t xml:space="preserve"> </w:t>
      </w:r>
      <w:r>
        <w:rPr>
          <w:snapToGrid w:val="0"/>
        </w:rPr>
        <w:t xml:space="preserve">would </w:t>
      </w:r>
      <w:r w:rsidRPr="00152600">
        <w:rPr>
          <w:snapToGrid w:val="0"/>
        </w:rPr>
        <w:t>satisfy in general the requirements laid down in Article 5</w:t>
      </w:r>
      <w:r>
        <w:rPr>
          <w:snapToGrid w:val="0"/>
        </w:rPr>
        <w:t xml:space="preserve"> </w:t>
      </w:r>
      <w:r w:rsidRPr="00152600">
        <w:rPr>
          <w:snapToGrid w:val="0"/>
        </w:rPr>
        <w:t>(1)</w:t>
      </w:r>
      <w:r>
        <w:rPr>
          <w:snapToGrid w:val="0"/>
        </w:rPr>
        <w:t xml:space="preserve"> (</w:t>
      </w:r>
      <w:r w:rsidRPr="00152600">
        <w:rPr>
          <w:snapToGrid w:val="0"/>
        </w:rPr>
        <w:t>a</w:t>
      </w:r>
      <w:r>
        <w:rPr>
          <w:snapToGrid w:val="0"/>
        </w:rPr>
        <w:t>)</w:t>
      </w:r>
      <w:r w:rsidRPr="00152600">
        <w:rPr>
          <w:snapToGrid w:val="0"/>
        </w:rPr>
        <w:t xml:space="preserve"> and (b) of Directive 91/414/EEC. In particular, concerns were identified with regard to:</w:t>
      </w:r>
    </w:p>
    <w:p w:rsidR="00DF4FEF" w:rsidRPr="00152600" w:rsidRDefault="00DF4FEF" w:rsidP="00DF4FEF">
      <w:pPr>
        <w:keepNext/>
        <w:numPr>
          <w:ilvl w:val="0"/>
          <w:numId w:val="5"/>
        </w:numPr>
        <w:tabs>
          <w:tab w:val="clear" w:pos="1247"/>
          <w:tab w:val="clear" w:pos="1814"/>
          <w:tab w:val="clear" w:pos="2381"/>
          <w:tab w:val="clear" w:pos="2948"/>
          <w:tab w:val="clear" w:pos="3515"/>
          <w:tab w:val="left" w:pos="624"/>
        </w:tabs>
        <w:snapToGrid w:val="0"/>
        <w:spacing w:after="120"/>
        <w:ind w:left="1247" w:firstLine="624"/>
      </w:pPr>
      <w:r w:rsidRPr="00152600">
        <w:t>The toxicity of the substance and the presence of unknown levels of carcinogenic impurities in the technical substance</w:t>
      </w:r>
      <w:r>
        <w:t>,</w:t>
      </w:r>
      <w:r w:rsidRPr="00152600">
        <w:t xml:space="preserve"> which </w:t>
      </w:r>
      <w:r>
        <w:t>might</w:t>
      </w:r>
      <w:r w:rsidRPr="00152600">
        <w:t xml:space="preserve"> increase during storage;</w:t>
      </w:r>
    </w:p>
    <w:p w:rsidR="00DF4FEF" w:rsidRPr="00152600" w:rsidRDefault="00DF4FEF" w:rsidP="00DF4FEF">
      <w:pPr>
        <w:numPr>
          <w:ilvl w:val="0"/>
          <w:numId w:val="5"/>
        </w:numPr>
        <w:tabs>
          <w:tab w:val="clear" w:pos="1247"/>
          <w:tab w:val="clear" w:pos="1814"/>
          <w:tab w:val="clear" w:pos="2381"/>
          <w:tab w:val="clear" w:pos="2948"/>
          <w:tab w:val="clear" w:pos="3515"/>
          <w:tab w:val="left" w:pos="624"/>
        </w:tabs>
        <w:snapToGrid w:val="0"/>
        <w:spacing w:after="120"/>
        <w:ind w:left="1247" w:firstLine="624"/>
      </w:pPr>
      <w:r>
        <w:t>W</w:t>
      </w:r>
      <w:r w:rsidRPr="00152600">
        <w:t>orker exposure</w:t>
      </w:r>
      <w:r>
        <w:t>,</w:t>
      </w:r>
      <w:r w:rsidRPr="00152600">
        <w:t xml:space="preserve"> which remains inconclusive due to uncertainties regarding the presence of the above impurities;</w:t>
      </w:r>
    </w:p>
    <w:p w:rsidR="00DF4FEF" w:rsidRPr="00152600" w:rsidRDefault="00DF4FEF" w:rsidP="00DF4FEF">
      <w:pPr>
        <w:numPr>
          <w:ilvl w:val="0"/>
          <w:numId w:val="5"/>
        </w:numPr>
        <w:tabs>
          <w:tab w:val="clear" w:pos="1247"/>
          <w:tab w:val="clear" w:pos="1814"/>
          <w:tab w:val="clear" w:pos="2381"/>
          <w:tab w:val="clear" w:pos="2948"/>
          <w:tab w:val="clear" w:pos="3515"/>
          <w:tab w:val="left" w:pos="624"/>
        </w:tabs>
        <w:snapToGrid w:val="0"/>
        <w:spacing w:after="120"/>
        <w:ind w:left="1247" w:firstLine="624"/>
      </w:pPr>
      <w:r>
        <w:t>C</w:t>
      </w:r>
      <w:r w:rsidRPr="00152600">
        <w:t>onsumer exposure</w:t>
      </w:r>
      <w:r>
        <w:t>,</w:t>
      </w:r>
      <w:r w:rsidRPr="00152600">
        <w:t xml:space="preserve"> which remains inconclusive due to uncertainties regarding the effects of certain metabolites, some of which could be </w:t>
      </w:r>
      <w:proofErr w:type="spellStart"/>
      <w:r w:rsidRPr="00152600">
        <w:t>genotoxic</w:t>
      </w:r>
      <w:proofErr w:type="spellEnd"/>
      <w:r w:rsidRPr="00152600">
        <w:t>;</w:t>
      </w:r>
    </w:p>
    <w:p w:rsidR="00DF4FEF" w:rsidRPr="00152600" w:rsidRDefault="00DF4FEF" w:rsidP="00DF4FEF">
      <w:pPr>
        <w:numPr>
          <w:ilvl w:val="0"/>
          <w:numId w:val="5"/>
        </w:numPr>
        <w:tabs>
          <w:tab w:val="clear" w:pos="1247"/>
          <w:tab w:val="clear" w:pos="1814"/>
          <w:tab w:val="clear" w:pos="2381"/>
          <w:tab w:val="clear" w:pos="2948"/>
          <w:tab w:val="clear" w:pos="3515"/>
          <w:tab w:val="left" w:pos="624"/>
        </w:tabs>
        <w:snapToGrid w:val="0"/>
        <w:spacing w:after="120"/>
        <w:ind w:left="1247" w:firstLine="624"/>
      </w:pPr>
      <w:r>
        <w:t>P</w:t>
      </w:r>
      <w:r w:rsidRPr="00152600">
        <w:t>ossible contamination of groundwater by the parent substance and by a number of relevant metabolites;</w:t>
      </w:r>
    </w:p>
    <w:p w:rsidR="00DF4FEF" w:rsidRPr="00152600" w:rsidRDefault="00DF4FEF" w:rsidP="00DF4FEF">
      <w:pPr>
        <w:numPr>
          <w:ilvl w:val="0"/>
          <w:numId w:val="5"/>
        </w:numPr>
        <w:tabs>
          <w:tab w:val="clear" w:pos="1247"/>
          <w:tab w:val="clear" w:pos="1814"/>
          <w:tab w:val="clear" w:pos="2381"/>
          <w:tab w:val="clear" w:pos="2948"/>
          <w:tab w:val="clear" w:pos="3515"/>
          <w:tab w:val="left" w:pos="624"/>
        </w:tabs>
        <w:snapToGrid w:val="0"/>
        <w:spacing w:after="120"/>
        <w:ind w:left="1247" w:firstLine="624"/>
      </w:pPr>
      <w:r>
        <w:t>A</w:t>
      </w:r>
      <w:r w:rsidRPr="00152600">
        <w:t xml:space="preserve"> substantial lack of data for almost all groups </w:t>
      </w:r>
      <w:r>
        <w:t>with regard to</w:t>
      </w:r>
      <w:r w:rsidRPr="00152600">
        <w:t xml:space="preserve"> </w:t>
      </w:r>
      <w:proofErr w:type="spellStart"/>
      <w:r w:rsidRPr="00152600">
        <w:t>ecotoxicolog</w:t>
      </w:r>
      <w:r>
        <w:t>y</w:t>
      </w:r>
      <w:proofErr w:type="spellEnd"/>
      <w:r w:rsidRPr="00152600">
        <w:t xml:space="preserve"> (UNEP/FAO/RC/CRC/11/INF/14, p. 91)</w:t>
      </w:r>
      <w:r>
        <w:t>, including i</w:t>
      </w:r>
      <w:r w:rsidRPr="00152600">
        <w:t>n particular for birds, mammals, aquatic organisms and bees (except in sugar beet</w:t>
      </w:r>
      <w:r>
        <w:t>s</w:t>
      </w:r>
      <w:r w:rsidRPr="00152600">
        <w:t>)</w:t>
      </w:r>
      <w:r>
        <w:t>, for which</w:t>
      </w:r>
      <w:r w:rsidRPr="00152600">
        <w:t xml:space="preserve"> a first tier high risk was identified (UNEP/FAO/RC/CRC/11/INF/14, p. 49).</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Consequently, the Committee confirms that the criterion </w:t>
      </w:r>
      <w:r>
        <w:rPr>
          <w:snapToGrid w:val="0"/>
        </w:rPr>
        <w:t>in subparagraph (</w:t>
      </w:r>
      <w:r w:rsidRPr="00152600">
        <w:rPr>
          <w:snapToGrid w:val="0"/>
        </w:rPr>
        <w:t>b) iii) is met.</w:t>
      </w:r>
    </w:p>
    <w:p w:rsidR="00DF4FEF" w:rsidRPr="00220AAA"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Committee confirms that </w:t>
      </w:r>
      <w:r>
        <w:rPr>
          <w:snapToGrid w:val="0"/>
        </w:rPr>
        <w:t xml:space="preserve">the </w:t>
      </w:r>
      <w:r w:rsidRPr="00152600">
        <w:rPr>
          <w:snapToGrid w:val="0"/>
        </w:rPr>
        <w:t>criteri</w:t>
      </w:r>
      <w:r>
        <w:rPr>
          <w:snapToGrid w:val="0"/>
        </w:rPr>
        <w:t>a in paragraph</w:t>
      </w:r>
      <w:r w:rsidRPr="00152600">
        <w:rPr>
          <w:snapToGrid w:val="0"/>
        </w:rPr>
        <w:t xml:space="preserve"> (b) a</w:t>
      </w:r>
      <w:r>
        <w:rPr>
          <w:snapToGrid w:val="0"/>
        </w:rPr>
        <w:t>re</w:t>
      </w:r>
      <w:r w:rsidRPr="00152600">
        <w:rPr>
          <w:snapToGrid w:val="0"/>
        </w:rPr>
        <w:t xml:space="preserve"> met.</w:t>
      </w:r>
    </w:p>
    <w:p w:rsidR="00DF4FEF" w:rsidRPr="00F16407" w:rsidRDefault="00DF4FEF" w:rsidP="00DF4FEF">
      <w:pPr>
        <w:keepNext/>
        <w:numPr>
          <w:ilvl w:val="0"/>
          <w:numId w:val="4"/>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lang w:val="it-IT"/>
        </w:rPr>
      </w:pPr>
      <w:r w:rsidRPr="00DA7368">
        <w:rPr>
          <w:b/>
        </w:rPr>
        <w:t>Annex</w:t>
      </w:r>
      <w:r w:rsidRPr="00697294">
        <w:rPr>
          <w:b/>
          <w:lang w:val="it-IT"/>
        </w:rPr>
        <w:t xml:space="preserve"> II paragraph (c) criteria</w:t>
      </w:r>
    </w:p>
    <w:p w:rsidR="00DF4FEF" w:rsidRPr="00295923" w:rsidRDefault="00DF4FEF" w:rsidP="00DF4FEF">
      <w:pPr>
        <w:keepNext/>
        <w:tabs>
          <w:tab w:val="clear" w:pos="1247"/>
          <w:tab w:val="clear" w:pos="1814"/>
          <w:tab w:val="clear" w:pos="2381"/>
          <w:tab w:val="clear" w:pos="2948"/>
          <w:tab w:val="clear" w:pos="3515"/>
          <w:tab w:val="left" w:pos="624"/>
        </w:tabs>
        <w:snapToGrid w:val="0"/>
        <w:spacing w:after="120"/>
        <w:ind w:left="1247" w:firstLine="624"/>
        <w:rPr>
          <w:i/>
        </w:rPr>
      </w:pPr>
      <w:r w:rsidRPr="00220AAA">
        <w:rPr>
          <w:i/>
          <w:sz w:val="22"/>
          <w:szCs w:val="22"/>
        </w:rPr>
        <w:t>(c)</w:t>
      </w:r>
      <w:r w:rsidRPr="00220AAA">
        <w:rPr>
          <w:i/>
          <w:sz w:val="22"/>
          <w:szCs w:val="22"/>
        </w:rPr>
        <w:tab/>
      </w:r>
      <w:r w:rsidRPr="00295923">
        <w:rPr>
          <w:i/>
        </w:rPr>
        <w:t>Consider whether the final regulatory action provides a sufficiently broad basis to merit listing of the chemical in Annex III, by taking into account</w:t>
      </w:r>
      <w:r w:rsidRPr="00295923">
        <w:t>:</w:t>
      </w:r>
    </w:p>
    <w:p w:rsidR="00DF4FEF" w:rsidRPr="00295923" w:rsidRDefault="00DF4FEF" w:rsidP="00DF4FEF">
      <w:pPr>
        <w:keepNext/>
        <w:keepLines/>
        <w:snapToGrid w:val="0"/>
        <w:spacing w:after="120"/>
        <w:ind w:left="2495" w:hanging="624"/>
        <w:rPr>
          <w:i/>
        </w:rPr>
      </w:pPr>
      <w:r w:rsidRPr="00295923">
        <w:rPr>
          <w:i/>
        </w:rPr>
        <w:t>(</w:t>
      </w:r>
      <w:proofErr w:type="spellStart"/>
      <w:r w:rsidRPr="00295923">
        <w:rPr>
          <w:i/>
        </w:rPr>
        <w:t>i</w:t>
      </w:r>
      <w:proofErr w:type="spellEnd"/>
      <w:r w:rsidRPr="00295923">
        <w:rPr>
          <w:i/>
        </w:rPr>
        <w:t>)</w:t>
      </w:r>
      <w:r w:rsidRPr="00295923">
        <w:rPr>
          <w:i/>
        </w:rPr>
        <w:tab/>
        <w:t>Whether the final regulatory action led, or would be expected to lead, to a significant decrease in the quantity of the chemical used or the number of its uses;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final regulatory action prohibits all uses of </w:t>
      </w:r>
      <w:proofErr w:type="spellStart"/>
      <w:r w:rsidRPr="00152600">
        <w:rPr>
          <w:snapToGrid w:val="0"/>
        </w:rPr>
        <w:t>carbosulfan</w:t>
      </w:r>
      <w:proofErr w:type="spellEnd"/>
      <w:r w:rsidRPr="00152600">
        <w:rPr>
          <w:snapToGrid w:val="0"/>
        </w:rPr>
        <w:t xml:space="preserve"> as </w:t>
      </w:r>
      <w:r>
        <w:rPr>
          <w:snapToGrid w:val="0"/>
        </w:rPr>
        <w:t xml:space="preserve">a </w:t>
      </w:r>
      <w:r w:rsidRPr="00152600">
        <w:rPr>
          <w:snapToGrid w:val="0"/>
        </w:rPr>
        <w:t>plant protection product (UNEP/FAO/RC/CRC.11/7</w:t>
      </w:r>
      <w:r>
        <w:rPr>
          <w:snapToGrid w:val="0"/>
        </w:rPr>
        <w:t>,</w:t>
      </w:r>
      <w:r w:rsidRPr="00152600">
        <w:rPr>
          <w:snapToGrid w:val="0"/>
        </w:rPr>
        <w:t xml:space="preserve"> section 2.3.3 of the </w:t>
      </w:r>
      <w:r>
        <w:rPr>
          <w:snapToGrid w:val="0"/>
        </w:rPr>
        <w:t>European Union</w:t>
      </w:r>
      <w:r w:rsidRPr="00152600">
        <w:rPr>
          <w:snapToGrid w:val="0"/>
        </w:rPr>
        <w:t xml:space="preserve"> notification).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estimated quantity of </w:t>
      </w:r>
      <w:proofErr w:type="spellStart"/>
      <w:r w:rsidRPr="00152600">
        <w:rPr>
          <w:snapToGrid w:val="0"/>
        </w:rPr>
        <w:t>carbosulfan</w:t>
      </w:r>
      <w:proofErr w:type="spellEnd"/>
      <w:r w:rsidRPr="00152600">
        <w:rPr>
          <w:snapToGrid w:val="0"/>
        </w:rPr>
        <w:t xml:space="preserve"> produced, imported, exported and used in the </w:t>
      </w:r>
      <w:r>
        <w:rPr>
          <w:snapToGrid w:val="0"/>
        </w:rPr>
        <w:t>European Union</w:t>
      </w:r>
      <w:r w:rsidRPr="00152600">
        <w:rPr>
          <w:snapToGrid w:val="0"/>
        </w:rPr>
        <w:t xml:space="preserve"> prior to the regulatory action was not provided. Nevertheless, since the regulatory action prohibits the use of </w:t>
      </w:r>
      <w:proofErr w:type="spellStart"/>
      <w:r w:rsidRPr="00152600">
        <w:rPr>
          <w:snapToGrid w:val="0"/>
        </w:rPr>
        <w:t>carbosulfan</w:t>
      </w:r>
      <w:proofErr w:type="spellEnd"/>
      <w:r w:rsidRPr="00152600">
        <w:rPr>
          <w:snapToGrid w:val="0"/>
        </w:rPr>
        <w:t xml:space="preserve">, it is expected that </w:t>
      </w:r>
      <w:r>
        <w:rPr>
          <w:snapToGrid w:val="0"/>
        </w:rPr>
        <w:t xml:space="preserve">the use of </w:t>
      </w:r>
      <w:proofErr w:type="spellStart"/>
      <w:r>
        <w:rPr>
          <w:snapToGrid w:val="0"/>
        </w:rPr>
        <w:t>carbosulfan</w:t>
      </w:r>
      <w:proofErr w:type="spellEnd"/>
      <w:r w:rsidRPr="00152600">
        <w:rPr>
          <w:snapToGrid w:val="0"/>
        </w:rPr>
        <w:t xml:space="preserve"> as </w:t>
      </w:r>
      <w:r>
        <w:rPr>
          <w:snapToGrid w:val="0"/>
        </w:rPr>
        <w:t xml:space="preserve">a </w:t>
      </w:r>
      <w:r w:rsidRPr="00152600">
        <w:rPr>
          <w:snapToGrid w:val="0"/>
        </w:rPr>
        <w:t xml:space="preserve">plant protection product within the </w:t>
      </w:r>
      <w:r>
        <w:rPr>
          <w:snapToGrid w:val="0"/>
        </w:rPr>
        <w:t>European Union</w:t>
      </w:r>
      <w:r w:rsidRPr="00152600">
        <w:rPr>
          <w:snapToGrid w:val="0"/>
        </w:rPr>
        <w:t xml:space="preserve"> will be reduced to zero.</w:t>
      </w:r>
    </w:p>
    <w:p w:rsidR="00DF4FEF" w:rsidRPr="00152600" w:rsidRDefault="00DF4FEF" w:rsidP="00DF4FEF">
      <w:pPr>
        <w:keepNext/>
        <w:keepLines/>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lastRenderedPageBreak/>
        <w:t xml:space="preserve">Therefore the Committee confirms that </w:t>
      </w:r>
      <w:r>
        <w:rPr>
          <w:snapToGrid w:val="0"/>
        </w:rPr>
        <w:t>the</w:t>
      </w:r>
      <w:r w:rsidRPr="00152600">
        <w:rPr>
          <w:snapToGrid w:val="0"/>
        </w:rPr>
        <w:t xml:space="preserve"> criterion </w:t>
      </w:r>
      <w:r>
        <w:rPr>
          <w:snapToGrid w:val="0"/>
        </w:rPr>
        <w:t>in subparagraph (c) (</w:t>
      </w:r>
      <w:proofErr w:type="spellStart"/>
      <w:r>
        <w:rPr>
          <w:snapToGrid w:val="0"/>
        </w:rPr>
        <w:t>i</w:t>
      </w:r>
      <w:proofErr w:type="spellEnd"/>
      <w:r>
        <w:rPr>
          <w:snapToGrid w:val="0"/>
        </w:rPr>
        <w:t xml:space="preserve">) </w:t>
      </w:r>
      <w:r w:rsidRPr="00152600">
        <w:rPr>
          <w:snapToGrid w:val="0"/>
        </w:rPr>
        <w:t xml:space="preserve">is met. </w:t>
      </w:r>
    </w:p>
    <w:p w:rsidR="00DF4FEF" w:rsidRPr="00295923"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rPr>
      </w:pPr>
      <w:r w:rsidRPr="00220AAA">
        <w:rPr>
          <w:i/>
          <w:sz w:val="22"/>
          <w:szCs w:val="22"/>
        </w:rPr>
        <w:t>(ii)</w:t>
      </w:r>
      <w:r w:rsidRPr="00220AAA">
        <w:rPr>
          <w:i/>
          <w:sz w:val="22"/>
          <w:szCs w:val="22"/>
        </w:rPr>
        <w:tab/>
      </w:r>
      <w:r w:rsidRPr="00295923">
        <w:rPr>
          <w:i/>
        </w:rPr>
        <w:t>Whether the final regulatory action led to an actual reduction of risk or would be expected to result in a significant reduction of risk for human health or the environment of the Party that submitted the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It is expected that since the regulatory action prohibits the use of </w:t>
      </w:r>
      <w:proofErr w:type="spellStart"/>
      <w:r w:rsidRPr="00152600">
        <w:rPr>
          <w:snapToGrid w:val="0"/>
        </w:rPr>
        <w:t>carbosulfan</w:t>
      </w:r>
      <w:proofErr w:type="spellEnd"/>
      <w:r w:rsidRPr="00152600">
        <w:rPr>
          <w:snapToGrid w:val="0"/>
        </w:rPr>
        <w:t xml:space="preserve"> the risks to the environment and to human health will be significantly reduced.</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Therefore, the Committee confirms that </w:t>
      </w:r>
      <w:r>
        <w:rPr>
          <w:snapToGrid w:val="0"/>
        </w:rPr>
        <w:t>the</w:t>
      </w:r>
      <w:r w:rsidRPr="00152600">
        <w:rPr>
          <w:snapToGrid w:val="0"/>
        </w:rPr>
        <w:t xml:space="preserve"> criterion </w:t>
      </w:r>
      <w:r>
        <w:rPr>
          <w:snapToGrid w:val="0"/>
        </w:rPr>
        <w:t xml:space="preserve">in subparagraph (c) (ii) </w:t>
      </w:r>
      <w:r w:rsidRPr="00152600">
        <w:rPr>
          <w:snapToGrid w:val="0"/>
        </w:rPr>
        <w:t xml:space="preserve">is met. </w:t>
      </w:r>
    </w:p>
    <w:p w:rsidR="00DF4FEF" w:rsidRPr="00295923"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rPr>
      </w:pPr>
      <w:r w:rsidRPr="00220AAA">
        <w:rPr>
          <w:i/>
          <w:sz w:val="22"/>
          <w:szCs w:val="22"/>
        </w:rPr>
        <w:t>(iii)</w:t>
      </w:r>
      <w:r w:rsidRPr="00220AAA">
        <w:rPr>
          <w:i/>
          <w:sz w:val="22"/>
          <w:szCs w:val="22"/>
        </w:rPr>
        <w:tab/>
      </w:r>
      <w:r w:rsidRPr="00295923">
        <w:rPr>
          <w:i/>
        </w:rPr>
        <w:t>Whether the considerations that led to the final regulatory action being taken are applicable only in a limited geographical area or in other limited circumstances;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concerns expressed regarding the acute exposure of vulnerable groups of consumers, risk of groundwater contamination and risks for birds, mammals, aquatic organisms, bees and earthworms, as determined by use patterns and modelled behaviour, could be encountered in other countries with similar climatic conditions using </w:t>
      </w:r>
      <w:proofErr w:type="spellStart"/>
      <w:r w:rsidRPr="00152600">
        <w:rPr>
          <w:snapToGrid w:val="0"/>
        </w:rPr>
        <w:t>carbosulfan</w:t>
      </w:r>
      <w:proofErr w:type="spellEnd"/>
      <w:r w:rsidRPr="00152600">
        <w:rPr>
          <w:snapToGrid w:val="0"/>
        </w:rPr>
        <w:t xml:space="preserve"> (UNEP/FAO/RC/CRC/11/7, sections 2.4.2. and 2.5.2 of the </w:t>
      </w:r>
      <w:r>
        <w:rPr>
          <w:snapToGrid w:val="0"/>
        </w:rPr>
        <w:t>European Union</w:t>
      </w:r>
      <w:r w:rsidRPr="00152600">
        <w:rPr>
          <w:snapToGrid w:val="0"/>
        </w:rPr>
        <w:t xml:space="preserv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Therefore the Committee confirms that </w:t>
      </w:r>
      <w:r>
        <w:rPr>
          <w:snapToGrid w:val="0"/>
        </w:rPr>
        <w:t>the</w:t>
      </w:r>
      <w:r w:rsidRPr="00152600">
        <w:rPr>
          <w:snapToGrid w:val="0"/>
        </w:rPr>
        <w:t xml:space="preserve"> criterion </w:t>
      </w:r>
      <w:r>
        <w:rPr>
          <w:snapToGrid w:val="0"/>
        </w:rPr>
        <w:t>in subparagraph (c) (</w:t>
      </w:r>
      <w:proofErr w:type="gramStart"/>
      <w:r>
        <w:rPr>
          <w:snapToGrid w:val="0"/>
        </w:rPr>
        <w:t>iv</w:t>
      </w:r>
      <w:proofErr w:type="gramEnd"/>
      <w:r>
        <w:rPr>
          <w:snapToGrid w:val="0"/>
        </w:rPr>
        <w:t xml:space="preserve">) </w:t>
      </w:r>
      <w:r w:rsidRPr="00152600">
        <w:rPr>
          <w:snapToGrid w:val="0"/>
        </w:rPr>
        <w:t xml:space="preserve">is met. </w:t>
      </w:r>
    </w:p>
    <w:p w:rsidR="00DF4FEF" w:rsidRPr="00220AAA" w:rsidRDefault="00DF4FEF" w:rsidP="00DF4FEF">
      <w:pPr>
        <w:keepNext/>
        <w:keepLines/>
        <w:tabs>
          <w:tab w:val="clear" w:pos="1247"/>
          <w:tab w:val="clear" w:pos="1814"/>
          <w:tab w:val="clear" w:pos="2381"/>
          <w:tab w:val="clear" w:pos="2948"/>
          <w:tab w:val="clear" w:pos="3515"/>
          <w:tab w:val="left" w:pos="624"/>
        </w:tabs>
        <w:snapToGrid w:val="0"/>
        <w:spacing w:after="120"/>
        <w:ind w:left="2495" w:hanging="624"/>
        <w:rPr>
          <w:i/>
          <w:sz w:val="22"/>
          <w:szCs w:val="22"/>
        </w:rPr>
      </w:pPr>
      <w:proofErr w:type="gramStart"/>
      <w:r w:rsidRPr="00220AAA">
        <w:rPr>
          <w:i/>
          <w:sz w:val="22"/>
          <w:szCs w:val="22"/>
        </w:rPr>
        <w:t>(iv)</w:t>
      </w:r>
      <w:r w:rsidRPr="00220AAA">
        <w:rPr>
          <w:i/>
          <w:sz w:val="22"/>
          <w:szCs w:val="22"/>
        </w:rPr>
        <w:tab/>
        <w:t>Whether</w:t>
      </w:r>
      <w:proofErr w:type="gramEnd"/>
      <w:r w:rsidRPr="00220AAA">
        <w:rPr>
          <w:i/>
          <w:sz w:val="22"/>
          <w:szCs w:val="22"/>
        </w:rPr>
        <w:t xml:space="preserve"> there is evidence of ongoing international trade in the chemical;</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notification from the European Union </w:t>
      </w:r>
      <w:r>
        <w:rPr>
          <w:snapToGrid w:val="0"/>
        </w:rPr>
        <w:t>provides</w:t>
      </w:r>
      <w:r w:rsidRPr="00152600">
        <w:rPr>
          <w:snapToGrid w:val="0"/>
        </w:rPr>
        <w:t xml:space="preserve"> no information on the estimated quantity of </w:t>
      </w:r>
      <w:proofErr w:type="spellStart"/>
      <w:r w:rsidRPr="00152600">
        <w:rPr>
          <w:snapToGrid w:val="0"/>
        </w:rPr>
        <w:t>carbosulfan</w:t>
      </w:r>
      <w:proofErr w:type="spellEnd"/>
      <w:r w:rsidRPr="00152600">
        <w:rPr>
          <w:snapToGrid w:val="0"/>
        </w:rPr>
        <w:t xml:space="preserve"> produced, imported, exported and used. </w:t>
      </w:r>
      <w:r>
        <w:rPr>
          <w:snapToGrid w:val="0"/>
        </w:rPr>
        <w:t>T</w:t>
      </w:r>
      <w:r w:rsidRPr="00152600">
        <w:rPr>
          <w:snapToGrid w:val="0"/>
        </w:rPr>
        <w:t>he information gathered by the Secretariat (UNEP/FAO/RC/CRC.11/INF/5)</w:t>
      </w:r>
      <w:r>
        <w:rPr>
          <w:snapToGrid w:val="0"/>
        </w:rPr>
        <w:t>, however,</w:t>
      </w:r>
      <w:r w:rsidRPr="00152600">
        <w:rPr>
          <w:snapToGrid w:val="0"/>
        </w:rPr>
        <w:t xml:space="preserve"> indicates that </w:t>
      </w:r>
      <w:proofErr w:type="spellStart"/>
      <w:r w:rsidRPr="00152600">
        <w:rPr>
          <w:snapToGrid w:val="0"/>
        </w:rPr>
        <w:t>carbosulfan</w:t>
      </w:r>
      <w:proofErr w:type="spellEnd"/>
      <w:r w:rsidRPr="00152600">
        <w:rPr>
          <w:snapToGrid w:val="0"/>
        </w:rPr>
        <w:t xml:space="preserve"> was exported from the </w:t>
      </w:r>
      <w:r>
        <w:rPr>
          <w:snapToGrid w:val="0"/>
        </w:rPr>
        <w:t>European Union</w:t>
      </w:r>
      <w:r w:rsidRPr="00152600">
        <w:rPr>
          <w:snapToGrid w:val="0"/>
        </w:rPr>
        <w:t xml:space="preserve"> to </w:t>
      </w:r>
      <w:r>
        <w:rPr>
          <w:snapToGrid w:val="0"/>
        </w:rPr>
        <w:t>two</w:t>
      </w:r>
      <w:r w:rsidRPr="00152600">
        <w:rPr>
          <w:snapToGrid w:val="0"/>
        </w:rPr>
        <w:t xml:space="preserve"> countries in 2012 and 2013. In the same document, </w:t>
      </w:r>
      <w:proofErr w:type="spellStart"/>
      <w:r w:rsidRPr="00152600">
        <w:rPr>
          <w:snapToGrid w:val="0"/>
        </w:rPr>
        <w:t>CropLife</w:t>
      </w:r>
      <w:proofErr w:type="spellEnd"/>
      <w:r w:rsidRPr="00152600">
        <w:rPr>
          <w:snapToGrid w:val="0"/>
        </w:rPr>
        <w:t xml:space="preserve"> International confirms </w:t>
      </w:r>
      <w:r>
        <w:rPr>
          <w:snapToGrid w:val="0"/>
        </w:rPr>
        <w:t xml:space="preserve">that there is </w:t>
      </w:r>
      <w:r w:rsidRPr="00152600">
        <w:rPr>
          <w:snapToGrid w:val="0"/>
        </w:rPr>
        <w:t xml:space="preserve">ongoing international trade of </w:t>
      </w:r>
      <w:proofErr w:type="spellStart"/>
      <w:r w:rsidRPr="00152600">
        <w:rPr>
          <w:snapToGrid w:val="0"/>
        </w:rPr>
        <w:t>carbosulfan</w:t>
      </w:r>
      <w:proofErr w:type="spellEnd"/>
      <w:r w:rsidRPr="00152600">
        <w:rPr>
          <w:snapToGrid w:val="0"/>
        </w:rPr>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Therefore the Committee confirms that </w:t>
      </w:r>
      <w:r>
        <w:rPr>
          <w:snapToGrid w:val="0"/>
        </w:rPr>
        <w:t xml:space="preserve">the </w:t>
      </w:r>
      <w:r w:rsidRPr="00152600">
        <w:rPr>
          <w:snapToGrid w:val="0"/>
        </w:rPr>
        <w:t>criterion</w:t>
      </w:r>
      <w:r>
        <w:rPr>
          <w:snapToGrid w:val="0"/>
        </w:rPr>
        <w:t xml:space="preserve"> in subparagraph (c) (iv)</w:t>
      </w:r>
      <w:r w:rsidRPr="00152600">
        <w:rPr>
          <w:snapToGrid w:val="0"/>
        </w:rPr>
        <w:t xml:space="preserve"> is met </w:t>
      </w:r>
    </w:p>
    <w:p w:rsidR="00DF4FEF" w:rsidRPr="00F16407" w:rsidRDefault="00DF4FEF" w:rsidP="00DF4FEF">
      <w:pPr>
        <w:keepNext/>
        <w:numPr>
          <w:ilvl w:val="0"/>
          <w:numId w:val="4"/>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lang w:val="it-IT"/>
        </w:rPr>
      </w:pPr>
      <w:r w:rsidRPr="00697294">
        <w:rPr>
          <w:b/>
          <w:lang w:val="it-IT"/>
        </w:rPr>
        <w:t>Annex II paragraph (d) criterion</w:t>
      </w:r>
    </w:p>
    <w:p w:rsidR="00DF4FEF" w:rsidRPr="00295923" w:rsidRDefault="00DF4FEF" w:rsidP="00DF4FEF">
      <w:pPr>
        <w:tabs>
          <w:tab w:val="clear" w:pos="1247"/>
          <w:tab w:val="clear" w:pos="1814"/>
          <w:tab w:val="clear" w:pos="2381"/>
          <w:tab w:val="clear" w:pos="2948"/>
          <w:tab w:val="clear" w:pos="3515"/>
          <w:tab w:val="left" w:pos="624"/>
        </w:tabs>
        <w:snapToGrid w:val="0"/>
        <w:spacing w:after="120"/>
        <w:ind w:left="1247" w:firstLine="624"/>
        <w:rPr>
          <w:i/>
        </w:rPr>
      </w:pPr>
      <w:r w:rsidRPr="00220AAA">
        <w:rPr>
          <w:i/>
          <w:sz w:val="22"/>
          <w:szCs w:val="22"/>
        </w:rPr>
        <w:t>(d)</w:t>
      </w:r>
      <w:r w:rsidRPr="00220AAA">
        <w:rPr>
          <w:i/>
          <w:sz w:val="22"/>
          <w:szCs w:val="22"/>
        </w:rPr>
        <w:tab/>
      </w:r>
      <w:r w:rsidRPr="00295923">
        <w:rPr>
          <w:i/>
        </w:rPr>
        <w:t>Take into account that intentional misuse is not in itself an adequate reason to list a chemical in Annex III.</w:t>
      </w:r>
    </w:p>
    <w:p w:rsidR="00DF4FEF" w:rsidRPr="00586E25"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rFonts w:eastAsia="SimSun"/>
          <w:iCs/>
          <w:snapToGrid w:val="0"/>
          <w:lang w:eastAsia="zh-CN"/>
        </w:rPr>
      </w:pPr>
      <w:r w:rsidRPr="00295923">
        <w:rPr>
          <w:rFonts w:eastAsia="SimSun"/>
          <w:iCs/>
          <w:snapToGrid w:val="0"/>
          <w:lang w:eastAsia="zh-CN"/>
        </w:rPr>
        <w:t>There is no indication in the notification or supportin</w:t>
      </w:r>
      <w:r w:rsidRPr="00697294">
        <w:rPr>
          <w:rFonts w:eastAsia="SimSun"/>
          <w:iCs/>
          <w:snapToGrid w:val="0"/>
          <w:lang w:eastAsia="zh-CN"/>
        </w:rPr>
        <w:t xml:space="preserve">g documentation that concerns for intentional misuse of </w:t>
      </w:r>
      <w:proofErr w:type="spellStart"/>
      <w:r w:rsidRPr="00697294">
        <w:rPr>
          <w:rFonts w:eastAsia="SimSun"/>
          <w:iCs/>
          <w:snapToGrid w:val="0"/>
          <w:lang w:eastAsia="zh-CN"/>
        </w:rPr>
        <w:t>carbosulfan</w:t>
      </w:r>
      <w:proofErr w:type="spellEnd"/>
      <w:r w:rsidRPr="00697294">
        <w:rPr>
          <w:rFonts w:eastAsia="SimSun"/>
          <w:iCs/>
          <w:snapToGrid w:val="0"/>
          <w:lang w:eastAsia="zh-CN"/>
        </w:rPr>
        <w:t xml:space="preserve"> prompted the regulatory action. </w:t>
      </w:r>
    </w:p>
    <w:p w:rsidR="00DF4FEF" w:rsidRPr="00586E25"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rFonts w:eastAsia="SimSun"/>
          <w:iCs/>
          <w:snapToGrid w:val="0"/>
          <w:lang w:eastAsia="zh-CN"/>
        </w:rPr>
      </w:pPr>
      <w:r w:rsidRPr="00697294">
        <w:rPr>
          <w:rFonts w:eastAsia="SimSun"/>
          <w:iCs/>
          <w:snapToGrid w:val="0"/>
          <w:lang w:eastAsia="zh-CN"/>
        </w:rPr>
        <w:t xml:space="preserve"> Based on </w:t>
      </w:r>
      <w:r w:rsidRPr="00DA7368">
        <w:rPr>
          <w:snapToGrid w:val="0"/>
        </w:rPr>
        <w:t>the</w:t>
      </w:r>
      <w:r w:rsidRPr="00697294">
        <w:rPr>
          <w:rFonts w:eastAsia="SimSun"/>
          <w:iCs/>
          <w:snapToGrid w:val="0"/>
          <w:lang w:eastAsia="zh-CN"/>
        </w:rPr>
        <w:t xml:space="preserve"> above point the Committee confirms that </w:t>
      </w:r>
      <w:r>
        <w:rPr>
          <w:rFonts w:eastAsia="SimSun"/>
          <w:iCs/>
          <w:snapToGrid w:val="0"/>
          <w:lang w:eastAsia="zh-CN"/>
        </w:rPr>
        <w:t xml:space="preserve">the </w:t>
      </w:r>
      <w:r w:rsidRPr="00697294">
        <w:rPr>
          <w:rFonts w:eastAsia="SimSun"/>
          <w:iCs/>
          <w:snapToGrid w:val="0"/>
          <w:lang w:eastAsia="zh-CN"/>
        </w:rPr>
        <w:t xml:space="preserve">criterion </w:t>
      </w:r>
      <w:r>
        <w:rPr>
          <w:rFonts w:eastAsia="SimSun"/>
          <w:iCs/>
          <w:snapToGrid w:val="0"/>
          <w:lang w:eastAsia="zh-CN"/>
        </w:rPr>
        <w:t xml:space="preserve">in subparagraph </w:t>
      </w:r>
      <w:r w:rsidRPr="00697294">
        <w:rPr>
          <w:rFonts w:eastAsia="SimSun"/>
          <w:iCs/>
          <w:snapToGrid w:val="0"/>
          <w:lang w:eastAsia="zh-CN"/>
        </w:rPr>
        <w:t>(d) is met</w:t>
      </w:r>
      <w:r>
        <w:rPr>
          <w:rFonts w:eastAsia="SimSun"/>
          <w:iCs/>
          <w:snapToGrid w:val="0"/>
          <w:lang w:eastAsia="zh-CN"/>
        </w:rPr>
        <w:t>.</w:t>
      </w:r>
      <w:r w:rsidRPr="00697294">
        <w:rPr>
          <w:rFonts w:eastAsia="SimSun"/>
          <w:iCs/>
          <w:snapToGrid w:val="0"/>
          <w:lang w:eastAsia="zh-CN"/>
        </w:rPr>
        <w:t xml:space="preserve"> </w:t>
      </w:r>
    </w:p>
    <w:p w:rsidR="00DF4FEF" w:rsidRPr="00220AAA" w:rsidRDefault="00DF4FEF" w:rsidP="00DF4FEF">
      <w:pPr>
        <w:keepNext/>
        <w:numPr>
          <w:ilvl w:val="0"/>
          <w:numId w:val="4"/>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rPr>
      </w:pPr>
      <w:r w:rsidRPr="00220AAA">
        <w:rPr>
          <w:b/>
        </w:rPr>
        <w:t>Conclusion</w:t>
      </w:r>
    </w:p>
    <w:p w:rsidR="00DF4FEF" w:rsidRPr="00586E25"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rFonts w:eastAsia="SimSun"/>
          <w:iCs/>
          <w:snapToGrid w:val="0"/>
          <w:lang w:eastAsia="zh-CN"/>
        </w:rPr>
      </w:pPr>
      <w:r w:rsidRPr="00697294">
        <w:rPr>
          <w:rFonts w:eastAsia="SimSun"/>
          <w:iCs/>
          <w:snapToGrid w:val="0"/>
          <w:lang w:eastAsia="zh-CN"/>
        </w:rPr>
        <w:t xml:space="preserve">Therefore, the Committee concludes that the notification of final regulatory action by the European </w:t>
      </w:r>
      <w:r w:rsidRPr="00DA7368">
        <w:rPr>
          <w:snapToGrid w:val="0"/>
        </w:rPr>
        <w:t>Union</w:t>
      </w:r>
      <w:r w:rsidRPr="00697294">
        <w:rPr>
          <w:rFonts w:eastAsia="SimSun"/>
          <w:iCs/>
          <w:snapToGrid w:val="0"/>
          <w:lang w:eastAsia="zh-CN"/>
        </w:rPr>
        <w:t xml:space="preserve"> </w:t>
      </w:r>
      <w:r w:rsidRPr="00DA7368">
        <w:rPr>
          <w:snapToGrid w:val="0"/>
        </w:rPr>
        <w:t>meets</w:t>
      </w:r>
      <w:r w:rsidRPr="00697294">
        <w:rPr>
          <w:rFonts w:eastAsia="SimSun"/>
          <w:iCs/>
          <w:snapToGrid w:val="0"/>
          <w:lang w:eastAsia="zh-CN"/>
        </w:rPr>
        <w:t xml:space="preserve"> all the criteria set out in Annex II to the Convention.</w:t>
      </w:r>
    </w:p>
    <w:p w:rsidR="00DF4FEF" w:rsidRPr="00220AAA" w:rsidRDefault="00DF4FEF" w:rsidP="00DF4FEF">
      <w:pPr>
        <w:keepNext/>
        <w:numPr>
          <w:ilvl w:val="0"/>
          <w:numId w:val="1"/>
        </w:numPr>
        <w:tabs>
          <w:tab w:val="clear" w:pos="1247"/>
          <w:tab w:val="clear" w:pos="1814"/>
          <w:tab w:val="clear" w:pos="2381"/>
          <w:tab w:val="clear" w:pos="2948"/>
          <w:tab w:val="clear" w:pos="3515"/>
        </w:tabs>
        <w:snapToGrid w:val="0"/>
        <w:spacing w:before="240" w:after="120"/>
        <w:rPr>
          <w:b/>
          <w:bCs/>
          <w:sz w:val="28"/>
          <w:szCs w:val="28"/>
        </w:rPr>
      </w:pPr>
      <w:r w:rsidRPr="00220AAA">
        <w:rPr>
          <w:b/>
          <w:bCs/>
          <w:sz w:val="28"/>
          <w:szCs w:val="28"/>
        </w:rPr>
        <w:t xml:space="preserve">Burkina Faso, </w:t>
      </w:r>
      <w:proofErr w:type="spellStart"/>
      <w:r w:rsidRPr="00220AAA">
        <w:rPr>
          <w:b/>
          <w:bCs/>
          <w:sz w:val="28"/>
          <w:szCs w:val="28"/>
        </w:rPr>
        <w:t>Cabo</w:t>
      </w:r>
      <w:proofErr w:type="spellEnd"/>
      <w:r w:rsidRPr="00220AAA">
        <w:rPr>
          <w:b/>
          <w:bCs/>
          <w:sz w:val="28"/>
          <w:szCs w:val="28"/>
        </w:rPr>
        <w:t xml:space="preserve"> Verde, Chad, the Gambia, Mauritania, Niger, Senegal and Togo </w:t>
      </w:r>
    </w:p>
    <w:p w:rsidR="00DF4FEF" w:rsidRPr="00560EEB"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b/>
        </w:rPr>
      </w:pPr>
      <w:r w:rsidRPr="00560EEB">
        <w:rPr>
          <w:b/>
        </w:rPr>
        <w:t>Scope of the notified regulatory action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regulatory action notified by Burkina Faso, </w:t>
      </w:r>
      <w:proofErr w:type="spellStart"/>
      <w:r w:rsidRPr="00152600">
        <w:rPr>
          <w:snapToGrid w:val="0"/>
        </w:rPr>
        <w:t>Cabo</w:t>
      </w:r>
      <w:proofErr w:type="spellEnd"/>
      <w:r w:rsidRPr="00152600">
        <w:rPr>
          <w:snapToGrid w:val="0"/>
        </w:rPr>
        <w:t xml:space="preserve"> Verde, Chad, the Gambia, Mauritania, Niger, Senegal and Togo (hereafter referred to as the CILSS countries), relates to the use of </w:t>
      </w:r>
      <w:proofErr w:type="spellStart"/>
      <w:r w:rsidRPr="00152600">
        <w:rPr>
          <w:snapToGrid w:val="0"/>
        </w:rPr>
        <w:t>carbosulfan</w:t>
      </w:r>
      <w:proofErr w:type="spellEnd"/>
      <w:r w:rsidRPr="00152600">
        <w:rPr>
          <w:snapToGrid w:val="0"/>
        </w:rPr>
        <w:t xml:space="preserve"> as a pesticide. All uses of </w:t>
      </w:r>
      <w:proofErr w:type="spellStart"/>
      <w:r w:rsidRPr="00152600">
        <w:rPr>
          <w:snapToGrid w:val="0"/>
        </w:rPr>
        <w:t>carbosulfan</w:t>
      </w:r>
      <w:proofErr w:type="spellEnd"/>
      <w:r>
        <w:rPr>
          <w:snapToGrid w:val="0"/>
        </w:rPr>
        <w:t>-</w:t>
      </w:r>
      <w:r w:rsidRPr="00152600">
        <w:rPr>
          <w:snapToGrid w:val="0"/>
        </w:rPr>
        <w:t xml:space="preserve">based pesticides were prohibited effective 8 April 2015. The final regulatory action states that all products containing </w:t>
      </w:r>
      <w:proofErr w:type="spellStart"/>
      <w:r w:rsidRPr="00152600">
        <w:rPr>
          <w:snapToGrid w:val="0"/>
        </w:rPr>
        <w:t>carbosulfan</w:t>
      </w:r>
      <w:proofErr w:type="spellEnd"/>
      <w:r w:rsidRPr="00152600">
        <w:rPr>
          <w:snapToGrid w:val="0"/>
        </w:rPr>
        <w:t xml:space="preserve"> </w:t>
      </w:r>
      <w:r>
        <w:rPr>
          <w:snapToGrid w:val="0"/>
        </w:rPr>
        <w:t>were</w:t>
      </w:r>
      <w:r w:rsidRPr="00152600">
        <w:rPr>
          <w:snapToGrid w:val="0"/>
        </w:rPr>
        <w:t xml:space="preserve"> banned due to its extremely high toxic potential to human health and especially the environment (UNEP/FAO/RC/CRC.11/7, section 2.2.1 of the CILSS notifications).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The notification was found to comply with the information requirements of Annex I. </w:t>
      </w:r>
    </w:p>
    <w:p w:rsidR="00DF4FEF" w:rsidRPr="00F16407"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b/>
          <w:sz w:val="22"/>
          <w:szCs w:val="22"/>
          <w:lang w:val="it-IT"/>
        </w:rPr>
      </w:pPr>
      <w:r w:rsidRPr="00560EEB">
        <w:rPr>
          <w:b/>
        </w:rPr>
        <w:t>Annex II paragraph (a) criterion</w:t>
      </w:r>
    </w:p>
    <w:p w:rsidR="00DF4FEF" w:rsidRPr="00295923" w:rsidRDefault="00DF4FEF" w:rsidP="00DF4FEF">
      <w:pPr>
        <w:keepNext/>
        <w:tabs>
          <w:tab w:val="clear" w:pos="1247"/>
          <w:tab w:val="clear" w:pos="1814"/>
          <w:tab w:val="clear" w:pos="2381"/>
          <w:tab w:val="clear" w:pos="2948"/>
          <w:tab w:val="clear" w:pos="3515"/>
          <w:tab w:val="left" w:pos="624"/>
        </w:tabs>
        <w:snapToGrid w:val="0"/>
        <w:spacing w:after="120"/>
        <w:ind w:left="1247" w:firstLine="624"/>
        <w:rPr>
          <w:i/>
        </w:rPr>
      </w:pPr>
      <w:r w:rsidRPr="00220AAA">
        <w:rPr>
          <w:i/>
          <w:sz w:val="22"/>
          <w:szCs w:val="22"/>
        </w:rPr>
        <w:t>(a)</w:t>
      </w:r>
      <w:r w:rsidRPr="00220AAA">
        <w:rPr>
          <w:i/>
          <w:sz w:val="22"/>
          <w:szCs w:val="22"/>
        </w:rPr>
        <w:tab/>
      </w:r>
      <w:r w:rsidRPr="00295923">
        <w:rPr>
          <w:i/>
        </w:rPr>
        <w:t>Confirm that the final regulatory action has been taken in order to protect human health or the environment;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The Committee confirms that the regulatory action was taken to protect human health and the environment (UNEP/FAO/RC/CRC.11/7, section 2.4.2 of the CILSS notifications).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Four </w:t>
      </w:r>
      <w:proofErr w:type="spellStart"/>
      <w:r w:rsidRPr="00152600">
        <w:rPr>
          <w:snapToGrid w:val="0"/>
        </w:rPr>
        <w:t>carbosulfan</w:t>
      </w:r>
      <w:proofErr w:type="spellEnd"/>
      <w:r>
        <w:rPr>
          <w:snapToGrid w:val="0"/>
        </w:rPr>
        <w:t>-</w:t>
      </w:r>
      <w:r w:rsidRPr="00152600">
        <w:rPr>
          <w:snapToGrid w:val="0"/>
        </w:rPr>
        <w:t xml:space="preserve">based formulations </w:t>
      </w:r>
      <w:r>
        <w:rPr>
          <w:snapToGrid w:val="0"/>
        </w:rPr>
        <w:t>were</w:t>
      </w:r>
      <w:r w:rsidRPr="00152600">
        <w:rPr>
          <w:snapToGrid w:val="0"/>
        </w:rPr>
        <w:t xml:space="preserve"> granted temporary sales authori</w:t>
      </w:r>
      <w:r>
        <w:rPr>
          <w:snapToGrid w:val="0"/>
        </w:rPr>
        <w:t>z</w:t>
      </w:r>
      <w:r w:rsidRPr="00152600">
        <w:rPr>
          <w:snapToGrid w:val="0"/>
        </w:rPr>
        <w:t xml:space="preserve">ation in 1996. Two other formulations have been under review since 2005. However, no </w:t>
      </w:r>
      <w:proofErr w:type="spellStart"/>
      <w:r w:rsidRPr="00152600">
        <w:rPr>
          <w:snapToGrid w:val="0"/>
        </w:rPr>
        <w:t>carbosulfan</w:t>
      </w:r>
      <w:proofErr w:type="spellEnd"/>
      <w:r>
        <w:rPr>
          <w:snapToGrid w:val="0"/>
        </w:rPr>
        <w:t>-</w:t>
      </w:r>
      <w:r w:rsidRPr="00152600">
        <w:rPr>
          <w:snapToGrid w:val="0"/>
        </w:rPr>
        <w:t xml:space="preserve">based </w:t>
      </w:r>
      <w:r w:rsidRPr="00152600">
        <w:rPr>
          <w:snapToGrid w:val="0"/>
        </w:rPr>
        <w:lastRenderedPageBreak/>
        <w:t xml:space="preserve">formulation has been registered by the </w:t>
      </w:r>
      <w:proofErr w:type="spellStart"/>
      <w:r w:rsidRPr="00152600">
        <w:rPr>
          <w:snapToGrid w:val="0"/>
        </w:rPr>
        <w:t>Sahelian</w:t>
      </w:r>
      <w:proofErr w:type="spellEnd"/>
      <w:r w:rsidRPr="00152600">
        <w:rPr>
          <w:snapToGrid w:val="0"/>
        </w:rPr>
        <w:t xml:space="preserve"> Pesticide</w:t>
      </w:r>
      <w:r>
        <w:rPr>
          <w:snapToGrid w:val="0"/>
        </w:rPr>
        <w:t>s</w:t>
      </w:r>
      <w:r w:rsidRPr="00152600">
        <w:rPr>
          <w:snapToGrid w:val="0"/>
        </w:rPr>
        <w:t xml:space="preserve"> Committee since 2006 (SPC) (SPC, 2011; Toe, 2007). The </w:t>
      </w:r>
      <w:proofErr w:type="spellStart"/>
      <w:r w:rsidRPr="00152600">
        <w:rPr>
          <w:snapToGrid w:val="0"/>
        </w:rPr>
        <w:t>Sahelian</w:t>
      </w:r>
      <w:proofErr w:type="spellEnd"/>
      <w:r w:rsidRPr="00152600">
        <w:rPr>
          <w:snapToGrid w:val="0"/>
        </w:rPr>
        <w:t xml:space="preserve"> Pesticides Committee stopped the registration of </w:t>
      </w:r>
      <w:proofErr w:type="spellStart"/>
      <w:r w:rsidRPr="00152600">
        <w:rPr>
          <w:snapToGrid w:val="0"/>
        </w:rPr>
        <w:t>carbosulfan</w:t>
      </w:r>
      <w:proofErr w:type="spellEnd"/>
      <w:r>
        <w:rPr>
          <w:snapToGrid w:val="0"/>
        </w:rPr>
        <w:t>-</w:t>
      </w:r>
      <w:r w:rsidRPr="00152600">
        <w:rPr>
          <w:snapToGrid w:val="0"/>
        </w:rPr>
        <w:t>based pesticides in 2006 taking into account the following reasons (UNEP/FAO/RC/CRC/11/INF/15, page 15):</w:t>
      </w:r>
    </w:p>
    <w:p w:rsidR="00DF4FEF" w:rsidRPr="00152600" w:rsidRDefault="00DF4FEF" w:rsidP="00DF4FEF">
      <w:pPr>
        <w:numPr>
          <w:ilvl w:val="0"/>
          <w:numId w:val="2"/>
        </w:numPr>
        <w:tabs>
          <w:tab w:val="clear" w:pos="1247"/>
          <w:tab w:val="clear" w:pos="1814"/>
          <w:tab w:val="clear" w:pos="2381"/>
          <w:tab w:val="clear" w:pos="2948"/>
          <w:tab w:val="clear" w:pos="3515"/>
          <w:tab w:val="left" w:pos="624"/>
        </w:tabs>
        <w:snapToGrid w:val="0"/>
        <w:spacing w:after="120"/>
        <w:ind w:left="1247" w:firstLine="624"/>
      </w:pPr>
      <w:r w:rsidRPr="00152600">
        <w:t>The fragile ecology of CILSS countries</w:t>
      </w:r>
      <w:r>
        <w:t>,</w:t>
      </w:r>
      <w:r w:rsidRPr="00152600">
        <w:t xml:space="preserve"> already characteri</w:t>
      </w:r>
      <w:r>
        <w:t>z</w:t>
      </w:r>
      <w:r w:rsidRPr="00152600">
        <w:t xml:space="preserve">ed by an imbalance of ecosystems and the disappearance of organisms useful to the environment; </w:t>
      </w:r>
    </w:p>
    <w:p w:rsidR="00DF4FEF" w:rsidRPr="00152600" w:rsidRDefault="00DF4FEF" w:rsidP="00DF4FEF">
      <w:pPr>
        <w:numPr>
          <w:ilvl w:val="0"/>
          <w:numId w:val="2"/>
        </w:numPr>
        <w:tabs>
          <w:tab w:val="clear" w:pos="1247"/>
          <w:tab w:val="clear" w:pos="1814"/>
          <w:tab w:val="clear" w:pos="2381"/>
          <w:tab w:val="clear" w:pos="2948"/>
          <w:tab w:val="clear" w:pos="3515"/>
          <w:tab w:val="left" w:pos="624"/>
        </w:tabs>
        <w:snapToGrid w:val="0"/>
        <w:spacing w:after="120"/>
        <w:ind w:left="1247" w:firstLine="624"/>
      </w:pPr>
      <w:r w:rsidRPr="00152600">
        <w:t xml:space="preserve">Non-compliance with recommended measures for </w:t>
      </w:r>
      <w:r>
        <w:t>the</w:t>
      </w:r>
      <w:r w:rsidRPr="00152600">
        <w:t xml:space="preserve"> safe use of </w:t>
      </w:r>
      <w:proofErr w:type="spellStart"/>
      <w:r w:rsidRPr="00152600">
        <w:t>carbosulfan</w:t>
      </w:r>
      <w:proofErr w:type="spellEnd"/>
      <w:r w:rsidRPr="00152600">
        <w:t xml:space="preserve"> by users in CILSS countries;</w:t>
      </w:r>
    </w:p>
    <w:p w:rsidR="00DF4FEF" w:rsidRPr="00152600" w:rsidRDefault="00DF4FEF" w:rsidP="00DF4FEF">
      <w:pPr>
        <w:numPr>
          <w:ilvl w:val="0"/>
          <w:numId w:val="2"/>
        </w:numPr>
        <w:tabs>
          <w:tab w:val="clear" w:pos="1247"/>
          <w:tab w:val="clear" w:pos="1814"/>
          <w:tab w:val="clear" w:pos="2381"/>
          <w:tab w:val="clear" w:pos="2948"/>
          <w:tab w:val="clear" w:pos="3515"/>
          <w:tab w:val="left" w:pos="624"/>
        </w:tabs>
        <w:snapToGrid w:val="0"/>
        <w:spacing w:after="120"/>
        <w:ind w:left="1247" w:firstLine="624"/>
      </w:pPr>
      <w:r w:rsidRPr="00152600">
        <w:t xml:space="preserve">The low </w:t>
      </w:r>
      <w:r>
        <w:t xml:space="preserve">rate of </w:t>
      </w:r>
      <w:r w:rsidRPr="00152600">
        <w:t>utili</w:t>
      </w:r>
      <w:r>
        <w:t>z</w:t>
      </w:r>
      <w:r w:rsidRPr="00152600">
        <w:t>ation of protective equipment by growers;</w:t>
      </w:r>
    </w:p>
    <w:p w:rsidR="00DF4FEF" w:rsidRPr="00152600" w:rsidRDefault="00DF4FEF" w:rsidP="00DF4FEF">
      <w:pPr>
        <w:numPr>
          <w:ilvl w:val="0"/>
          <w:numId w:val="2"/>
        </w:numPr>
        <w:tabs>
          <w:tab w:val="clear" w:pos="1247"/>
          <w:tab w:val="clear" w:pos="1814"/>
          <w:tab w:val="clear" w:pos="2381"/>
          <w:tab w:val="clear" w:pos="2948"/>
          <w:tab w:val="clear" w:pos="3515"/>
          <w:tab w:val="left" w:pos="624"/>
        </w:tabs>
        <w:snapToGrid w:val="0"/>
        <w:spacing w:after="120"/>
        <w:ind w:left="1247" w:firstLine="624"/>
      </w:pPr>
      <w:r w:rsidRPr="00152600">
        <w:t xml:space="preserve">The existence of alternatives to the use of </w:t>
      </w:r>
      <w:proofErr w:type="spellStart"/>
      <w:r w:rsidRPr="00152600">
        <w:t>carbosulfan</w:t>
      </w:r>
      <w:proofErr w:type="spellEnd"/>
      <w:r w:rsidRPr="00152600">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In April 2015, on </w:t>
      </w:r>
      <w:r>
        <w:rPr>
          <w:snapToGrid w:val="0"/>
        </w:rPr>
        <w:t xml:space="preserve">the </w:t>
      </w:r>
      <w:r w:rsidRPr="00152600">
        <w:rPr>
          <w:snapToGrid w:val="0"/>
        </w:rPr>
        <w:t xml:space="preserve">recommendation of the </w:t>
      </w:r>
      <w:proofErr w:type="spellStart"/>
      <w:r w:rsidRPr="00152600">
        <w:rPr>
          <w:snapToGrid w:val="0"/>
        </w:rPr>
        <w:t>Sahelian</w:t>
      </w:r>
      <w:proofErr w:type="spellEnd"/>
      <w:r w:rsidRPr="00152600">
        <w:rPr>
          <w:snapToGrid w:val="0"/>
        </w:rPr>
        <w:t xml:space="preserve"> Pesticides Committee, </w:t>
      </w:r>
      <w:proofErr w:type="spellStart"/>
      <w:r w:rsidRPr="00152600">
        <w:rPr>
          <w:snapToGrid w:val="0"/>
        </w:rPr>
        <w:t>carbosulfan</w:t>
      </w:r>
      <w:proofErr w:type="spellEnd"/>
      <w:r w:rsidRPr="00152600">
        <w:rPr>
          <w:snapToGrid w:val="0"/>
        </w:rPr>
        <w:t xml:space="preserve"> was banned by decision of the CILSS Coordinating Minister (Minister of Agriculture and Environment) due to unacceptable risk to human health (</w:t>
      </w:r>
      <w:r>
        <w:rPr>
          <w:snapToGrid w:val="0"/>
        </w:rPr>
        <w:t xml:space="preserve">arising from </w:t>
      </w:r>
      <w:r w:rsidRPr="00152600">
        <w:rPr>
          <w:snapToGrid w:val="0"/>
        </w:rPr>
        <w:t xml:space="preserve">difficulty </w:t>
      </w:r>
      <w:r>
        <w:rPr>
          <w:snapToGrid w:val="0"/>
        </w:rPr>
        <w:t>in</w:t>
      </w:r>
      <w:r w:rsidRPr="00152600">
        <w:rPr>
          <w:snapToGrid w:val="0"/>
        </w:rPr>
        <w:t xml:space="preserve"> handl</w:t>
      </w:r>
      <w:r>
        <w:rPr>
          <w:snapToGrid w:val="0"/>
        </w:rPr>
        <w:t>ing</w:t>
      </w:r>
      <w:r w:rsidRPr="00152600">
        <w:rPr>
          <w:snapToGrid w:val="0"/>
        </w:rPr>
        <w:t xml:space="preserve"> </w:t>
      </w:r>
      <w:proofErr w:type="spellStart"/>
      <w:r w:rsidRPr="00152600">
        <w:rPr>
          <w:snapToGrid w:val="0"/>
        </w:rPr>
        <w:t>carbosulfan</w:t>
      </w:r>
      <w:proofErr w:type="spellEnd"/>
      <w:r w:rsidRPr="00152600">
        <w:rPr>
          <w:snapToGrid w:val="0"/>
        </w:rPr>
        <w:t xml:space="preserve"> by users </w:t>
      </w:r>
      <w:r>
        <w:rPr>
          <w:snapToGrid w:val="0"/>
        </w:rPr>
        <w:t>in</w:t>
      </w:r>
      <w:r w:rsidRPr="00152600">
        <w:rPr>
          <w:snapToGrid w:val="0"/>
        </w:rPr>
        <w:t xml:space="preserve"> </w:t>
      </w:r>
      <w:proofErr w:type="spellStart"/>
      <w:r w:rsidRPr="00152600">
        <w:rPr>
          <w:snapToGrid w:val="0"/>
        </w:rPr>
        <w:t>Sahel</w:t>
      </w:r>
      <w:r>
        <w:rPr>
          <w:snapToGrid w:val="0"/>
        </w:rPr>
        <w:t>ian</w:t>
      </w:r>
      <w:proofErr w:type="spellEnd"/>
      <w:r w:rsidRPr="00152600">
        <w:rPr>
          <w:snapToGrid w:val="0"/>
        </w:rPr>
        <w:t xml:space="preserve"> </w:t>
      </w:r>
      <w:r>
        <w:rPr>
          <w:snapToGrid w:val="0"/>
        </w:rPr>
        <w:t>c</w:t>
      </w:r>
      <w:r w:rsidRPr="00152600">
        <w:rPr>
          <w:snapToGrid w:val="0"/>
        </w:rPr>
        <w:t xml:space="preserve">ountries without </w:t>
      </w:r>
      <w:r w:rsidRPr="00295923">
        <w:rPr>
          <w:snapToGrid w:val="0"/>
        </w:rPr>
        <w:t>unacceptable</w:t>
      </w:r>
      <w:r>
        <w:rPr>
          <w:snapToGrid w:val="0"/>
        </w:rPr>
        <w:t xml:space="preserve"> </w:t>
      </w:r>
      <w:r w:rsidRPr="00152600">
        <w:rPr>
          <w:snapToGrid w:val="0"/>
        </w:rPr>
        <w:t xml:space="preserve">risk) and non-target organisms in the environment. The ban of </w:t>
      </w:r>
      <w:proofErr w:type="spellStart"/>
      <w:r w:rsidRPr="00152600">
        <w:rPr>
          <w:snapToGrid w:val="0"/>
        </w:rPr>
        <w:t>carbosulfan</w:t>
      </w:r>
      <w:proofErr w:type="spellEnd"/>
      <w:r w:rsidRPr="00152600">
        <w:rPr>
          <w:snapToGrid w:val="0"/>
        </w:rPr>
        <w:t xml:space="preserve"> in several other countries such as the</w:t>
      </w:r>
      <w:r>
        <w:rPr>
          <w:snapToGrid w:val="0"/>
        </w:rPr>
        <w:t xml:space="preserve"> States of the</w:t>
      </w:r>
      <w:r w:rsidRPr="00152600">
        <w:rPr>
          <w:snapToGrid w:val="0"/>
        </w:rPr>
        <w:t xml:space="preserve"> </w:t>
      </w:r>
      <w:r>
        <w:rPr>
          <w:snapToGrid w:val="0"/>
        </w:rPr>
        <w:t>European Union</w:t>
      </w:r>
      <w:r w:rsidRPr="00152600">
        <w:rPr>
          <w:snapToGrid w:val="0"/>
        </w:rPr>
        <w:t xml:space="preserve"> is also mentioned (UNEP/FAO/RC/CRC/11/INF/15, page 15)</w:t>
      </w:r>
      <w:r>
        <w:rPr>
          <w:snapToGrid w:val="0"/>
        </w:rPr>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152600">
        <w:rPr>
          <w:snapToGrid w:val="0"/>
        </w:rPr>
        <w:t xml:space="preserve">In the notifications, the following hazards to human health are reported: </w:t>
      </w:r>
      <w:proofErr w:type="spellStart"/>
      <w:r w:rsidRPr="00152600">
        <w:rPr>
          <w:snapToGrid w:val="0"/>
        </w:rPr>
        <w:t>carbosulfan</w:t>
      </w:r>
      <w:proofErr w:type="spellEnd"/>
      <w:r w:rsidRPr="00152600">
        <w:rPr>
          <w:snapToGrid w:val="0"/>
        </w:rPr>
        <w:t xml:space="preserve"> belongs to WHO Class II (moderately hazardous) (Footprint, 2011; WHO, 2008); it is a cholinesterase inhibitor (FAO, 003) (UNEP/FAO/RC/CRC/11/INF/15, page 15). Furthermore, the notification states that during a pilot study carried out in Burkina Faso in June 2010, through both retrospective and prospective surveys, one </w:t>
      </w:r>
      <w:proofErr w:type="spellStart"/>
      <w:r w:rsidRPr="00152600">
        <w:rPr>
          <w:snapToGrid w:val="0"/>
        </w:rPr>
        <w:t>carbosulfan</w:t>
      </w:r>
      <w:proofErr w:type="spellEnd"/>
      <w:r>
        <w:rPr>
          <w:snapToGrid w:val="0"/>
        </w:rPr>
        <w:t>-</w:t>
      </w:r>
      <w:r w:rsidRPr="00152600">
        <w:rPr>
          <w:snapToGrid w:val="0"/>
        </w:rPr>
        <w:t xml:space="preserve">based formulation was involved in a poisoning case: PROCOT 40 WS, a tertiary formulation containing </w:t>
      </w:r>
      <w:proofErr w:type="spellStart"/>
      <w:r w:rsidRPr="00152600">
        <w:rPr>
          <w:snapToGrid w:val="0"/>
        </w:rPr>
        <w:t>carbosulfan</w:t>
      </w:r>
      <w:proofErr w:type="spellEnd"/>
      <w:r w:rsidRPr="00152600">
        <w:rPr>
          <w:snapToGrid w:val="0"/>
        </w:rPr>
        <w:t xml:space="preserve"> (250 g/kg), </w:t>
      </w:r>
      <w:proofErr w:type="spellStart"/>
      <w:r w:rsidRPr="00152600">
        <w:rPr>
          <w:snapToGrid w:val="0"/>
        </w:rPr>
        <w:t>carbendazim</w:t>
      </w:r>
      <w:proofErr w:type="spellEnd"/>
      <w:r w:rsidRPr="00152600">
        <w:rPr>
          <w:snapToGrid w:val="0"/>
        </w:rPr>
        <w:t xml:space="preserve"> (100 g/kg) and </w:t>
      </w:r>
      <w:proofErr w:type="spellStart"/>
      <w:r w:rsidRPr="00152600">
        <w:rPr>
          <w:snapToGrid w:val="0"/>
        </w:rPr>
        <w:t>metalaxyl</w:t>
      </w:r>
      <w:proofErr w:type="spellEnd"/>
      <w:r w:rsidRPr="00152600">
        <w:rPr>
          <w:snapToGrid w:val="0"/>
        </w:rPr>
        <w:t>-M (50 g/kg) (UNEP/FAO/RC/CRC/11/7, section 2.4.2.1 of the CILSS notifications, UNEP/FAO/RC/CRC/11/INF/15).</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In the notifications, the following hazards to the environment are reported: </w:t>
      </w:r>
      <w:proofErr w:type="spellStart"/>
      <w:r w:rsidRPr="00152600">
        <w:rPr>
          <w:lang w:eastAsia="bg-BG"/>
        </w:rPr>
        <w:t>carbosulfan</w:t>
      </w:r>
      <w:proofErr w:type="spellEnd"/>
      <w:r w:rsidRPr="00152600">
        <w:rPr>
          <w:lang w:eastAsia="bg-BG"/>
        </w:rPr>
        <w:t xml:space="preserve"> is highly toxic to birds (LD50 </w:t>
      </w:r>
      <w:proofErr w:type="spellStart"/>
      <w:r w:rsidRPr="00152600">
        <w:rPr>
          <w:i/>
          <w:iCs/>
          <w:lang w:eastAsia="bg-BG"/>
        </w:rPr>
        <w:t>Anas</w:t>
      </w:r>
      <w:proofErr w:type="spellEnd"/>
      <w:r w:rsidRPr="00152600">
        <w:rPr>
          <w:i/>
          <w:iCs/>
          <w:lang w:eastAsia="bg-BG"/>
        </w:rPr>
        <w:t xml:space="preserve"> </w:t>
      </w:r>
      <w:proofErr w:type="spellStart"/>
      <w:r w:rsidRPr="00152600">
        <w:rPr>
          <w:i/>
          <w:iCs/>
          <w:lang w:eastAsia="bg-BG"/>
        </w:rPr>
        <w:t>platyrhynchos</w:t>
      </w:r>
      <w:proofErr w:type="spellEnd"/>
      <w:r w:rsidRPr="00152600">
        <w:rPr>
          <w:i/>
          <w:iCs/>
          <w:lang w:eastAsia="bg-BG"/>
        </w:rPr>
        <w:t xml:space="preserve"> </w:t>
      </w:r>
      <w:r w:rsidRPr="00152600">
        <w:rPr>
          <w:lang w:eastAsia="bg-BG"/>
        </w:rPr>
        <w:t xml:space="preserve">= 10 mg/kg), fish (LC50 96h </w:t>
      </w:r>
      <w:proofErr w:type="spellStart"/>
      <w:r w:rsidRPr="00152600">
        <w:rPr>
          <w:i/>
          <w:iCs/>
          <w:lang w:eastAsia="bg-BG"/>
        </w:rPr>
        <w:t>Lepomis</w:t>
      </w:r>
      <w:proofErr w:type="spellEnd"/>
      <w:r w:rsidRPr="00152600">
        <w:rPr>
          <w:i/>
          <w:iCs/>
          <w:lang w:eastAsia="bg-BG"/>
        </w:rPr>
        <w:t xml:space="preserve"> </w:t>
      </w:r>
      <w:proofErr w:type="spellStart"/>
      <w:r w:rsidRPr="00152600">
        <w:rPr>
          <w:i/>
          <w:iCs/>
          <w:lang w:eastAsia="bg-BG"/>
        </w:rPr>
        <w:t>macrochirus</w:t>
      </w:r>
      <w:proofErr w:type="spellEnd"/>
      <w:r w:rsidRPr="00152600">
        <w:rPr>
          <w:i/>
          <w:iCs/>
          <w:lang w:eastAsia="bg-BG"/>
        </w:rPr>
        <w:t xml:space="preserve"> </w:t>
      </w:r>
      <w:r w:rsidRPr="00152600">
        <w:rPr>
          <w:lang w:eastAsia="bg-BG"/>
        </w:rPr>
        <w:t xml:space="preserve">= 0.015 mg/L), </w:t>
      </w:r>
      <w:r w:rsidRPr="00DA7368">
        <w:rPr>
          <w:snapToGrid w:val="0"/>
        </w:rPr>
        <w:t>aquatic</w:t>
      </w:r>
      <w:r w:rsidRPr="00152600">
        <w:rPr>
          <w:lang w:eastAsia="bg-BG"/>
        </w:rPr>
        <w:t xml:space="preserve"> invertebrates (EC50 48h </w:t>
      </w:r>
      <w:r w:rsidRPr="00152600">
        <w:rPr>
          <w:i/>
          <w:iCs/>
          <w:lang w:eastAsia="bg-BG"/>
        </w:rPr>
        <w:t xml:space="preserve">Daphnia magna </w:t>
      </w:r>
      <w:r w:rsidRPr="00152600">
        <w:rPr>
          <w:lang w:eastAsia="bg-BG"/>
        </w:rPr>
        <w:t xml:space="preserve">= 0.0032 mg/L) and bees (LD50 48h = 0.18 </w:t>
      </w:r>
      <w:proofErr w:type="spellStart"/>
      <w:r w:rsidRPr="00152600">
        <w:rPr>
          <w:lang w:eastAsia="bg-BG"/>
        </w:rPr>
        <w:t>μg</w:t>
      </w:r>
      <w:proofErr w:type="spellEnd"/>
      <w:r w:rsidRPr="00152600">
        <w:rPr>
          <w:lang w:eastAsia="bg-BG"/>
        </w:rPr>
        <w:t xml:space="preserve">/bee) (Footprint PPDB, 2014) </w:t>
      </w:r>
      <w:r w:rsidRPr="00152600">
        <w:t>(UNEP/FAO/RC/CRC/11/7, section 2.4.2.2 of the CILSS notifications).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notifications state that </w:t>
      </w:r>
      <w:proofErr w:type="spellStart"/>
      <w:r w:rsidRPr="00152600">
        <w:t>carbosulfan</w:t>
      </w:r>
      <w:proofErr w:type="spellEnd"/>
      <w:r w:rsidRPr="00152600">
        <w:t xml:space="preserve"> is banned by the final regulatory action</w:t>
      </w:r>
      <w:r>
        <w:t>;</w:t>
      </w:r>
      <w:r w:rsidRPr="00152600">
        <w:t xml:space="preserve"> this is expected to le</w:t>
      </w:r>
      <w:r w:rsidRPr="00560EEB">
        <w:rPr>
          <w:snapToGrid w:val="0"/>
        </w:rPr>
        <w:t>a</w:t>
      </w:r>
      <w:r w:rsidRPr="00152600">
        <w:t>d to a significant decrease in the quantity of the chemical used, resulting in significant reduction of risk to human health and the environment.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560EEB">
        <w:rPr>
          <w:snapToGrid w:val="0"/>
        </w:rPr>
        <w:t>Therefore</w:t>
      </w:r>
      <w:r w:rsidRPr="00152600">
        <w:t xml:space="preserve">, the Committee confirms that </w:t>
      </w:r>
      <w:r>
        <w:t>the</w:t>
      </w:r>
      <w:r w:rsidRPr="00152600">
        <w:t xml:space="preserve"> criterion </w:t>
      </w:r>
      <w:r>
        <w:t xml:space="preserve">in paragraph (a) </w:t>
      </w:r>
      <w:r w:rsidRPr="00152600">
        <w:t>is met.</w:t>
      </w:r>
    </w:p>
    <w:p w:rsidR="00DF4FEF" w:rsidRPr="00560EEB"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b/>
        </w:rPr>
      </w:pPr>
      <w:r w:rsidRPr="00560EEB">
        <w:rPr>
          <w:b/>
        </w:rPr>
        <w:t>Annex II paragraph (b) criteria</w:t>
      </w:r>
    </w:p>
    <w:p w:rsidR="00DF4FEF" w:rsidRPr="00152600" w:rsidRDefault="00DF4FEF" w:rsidP="00DF4FEF">
      <w:pPr>
        <w:keepNext/>
        <w:keepLines/>
        <w:tabs>
          <w:tab w:val="left" w:pos="624"/>
          <w:tab w:val="left" w:pos="2520"/>
        </w:tabs>
        <w:snapToGrid w:val="0"/>
        <w:spacing w:after="120"/>
        <w:ind w:left="1248" w:firstLine="624"/>
        <w:rPr>
          <w:i/>
        </w:rPr>
      </w:pPr>
      <w:r w:rsidRPr="00152600">
        <w:rPr>
          <w:i/>
        </w:rPr>
        <w:t>(b)</w:t>
      </w:r>
      <w:r w:rsidRPr="00152600">
        <w:rPr>
          <w:i/>
        </w:rPr>
        <w:tab/>
        <w:t>Establish that the final regulatory action has been taken as a consequence of a risk evaluation. This evaluation shall be based on a review of scientific data in the context of the conditions prevailing in the Party in question. For this purpose, the documentation provided shall demonstrate that:</w:t>
      </w:r>
    </w:p>
    <w:p w:rsidR="00DF4FEF" w:rsidRPr="00152600" w:rsidRDefault="00DF4FEF" w:rsidP="00DF4FEF">
      <w:pPr>
        <w:tabs>
          <w:tab w:val="left" w:pos="624"/>
        </w:tabs>
        <w:snapToGrid w:val="0"/>
        <w:spacing w:after="120"/>
        <w:ind w:left="2439" w:hanging="624"/>
        <w:rPr>
          <w:i/>
        </w:rPr>
      </w:pPr>
      <w:r w:rsidRPr="00152600">
        <w:rPr>
          <w:i/>
        </w:rPr>
        <w:t>(</w:t>
      </w:r>
      <w:proofErr w:type="spellStart"/>
      <w:r w:rsidRPr="00152600">
        <w:rPr>
          <w:i/>
        </w:rPr>
        <w:t>i</w:t>
      </w:r>
      <w:proofErr w:type="spellEnd"/>
      <w:r w:rsidRPr="00152600">
        <w:rPr>
          <w:i/>
        </w:rPr>
        <w:t>)</w:t>
      </w:r>
      <w:r w:rsidRPr="00152600">
        <w:rPr>
          <w:i/>
        </w:rPr>
        <w:tab/>
        <w:t>Data have been generated according to scientifically recognized methods;</w:t>
      </w:r>
    </w:p>
    <w:p w:rsidR="00DF4FEF" w:rsidRPr="00152600" w:rsidRDefault="00DF4FEF" w:rsidP="00DF4FEF">
      <w:pPr>
        <w:tabs>
          <w:tab w:val="left" w:pos="624"/>
        </w:tabs>
        <w:snapToGrid w:val="0"/>
        <w:spacing w:after="120"/>
        <w:ind w:left="2439" w:hanging="624"/>
      </w:pPr>
      <w:r w:rsidRPr="00152600">
        <w:t>(</w:t>
      </w:r>
      <w:r w:rsidRPr="00152600">
        <w:rPr>
          <w:i/>
        </w:rPr>
        <w:t>ii)</w:t>
      </w:r>
      <w:r w:rsidRPr="00152600">
        <w:rPr>
          <w:i/>
        </w:rPr>
        <w:tab/>
        <w:t>Data reviews have been performed and documented according to generally recognized scientific principles and procedures;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The risk evaluation is based on scientific data from several internationally recognized sources (</w:t>
      </w:r>
      <w:r>
        <w:t xml:space="preserve">the </w:t>
      </w:r>
      <w:r w:rsidRPr="00152600">
        <w:t>F</w:t>
      </w:r>
      <w:r>
        <w:t>ood and Agriculture Organization of the United Nations</w:t>
      </w:r>
      <w:r w:rsidRPr="00152600">
        <w:t xml:space="preserve">, </w:t>
      </w:r>
      <w:r>
        <w:t xml:space="preserve">the </w:t>
      </w:r>
      <w:r w:rsidRPr="00152600">
        <w:t>W</w:t>
      </w:r>
      <w:r>
        <w:t xml:space="preserve">orld </w:t>
      </w:r>
      <w:r w:rsidRPr="00152600">
        <w:t>H</w:t>
      </w:r>
      <w:r>
        <w:t xml:space="preserve">ealth </w:t>
      </w:r>
      <w:r w:rsidRPr="00152600">
        <w:t>O</w:t>
      </w:r>
      <w:r>
        <w:t>rganization</w:t>
      </w:r>
      <w:r w:rsidRPr="00152600">
        <w:t xml:space="preserve">, Pesticide Action Network, Pesticide Properties Database) and reports from the </w:t>
      </w:r>
      <w:proofErr w:type="spellStart"/>
      <w:r w:rsidRPr="00152600">
        <w:t>Sahelian</w:t>
      </w:r>
      <w:proofErr w:type="spellEnd"/>
      <w:r w:rsidRPr="00152600">
        <w:t xml:space="preserve"> Pesticides </w:t>
      </w:r>
      <w:r w:rsidRPr="00560EEB">
        <w:rPr>
          <w:snapToGrid w:val="0"/>
        </w:rPr>
        <w:t>Committee</w:t>
      </w:r>
      <w:r w:rsidRPr="00152600">
        <w:t xml:space="preserve">, </w:t>
      </w:r>
      <w:r>
        <w:t xml:space="preserve">the </w:t>
      </w:r>
      <w:r w:rsidRPr="00152600">
        <w:t xml:space="preserve">United States Environmental Protection Agency (for </w:t>
      </w:r>
      <w:proofErr w:type="spellStart"/>
      <w:r w:rsidRPr="00152600">
        <w:t>carbofuran</w:t>
      </w:r>
      <w:proofErr w:type="spellEnd"/>
      <w:r w:rsidRPr="00152600">
        <w:t xml:space="preserve">), </w:t>
      </w:r>
      <w:r>
        <w:t xml:space="preserve">the </w:t>
      </w:r>
      <w:r w:rsidRPr="00152600">
        <w:t xml:space="preserve">European Commission, </w:t>
      </w:r>
      <w:r>
        <w:t xml:space="preserve">the </w:t>
      </w:r>
      <w:r w:rsidRPr="00DA7368">
        <w:rPr>
          <w:snapToGrid w:val="0"/>
        </w:rPr>
        <w:t>Australian</w:t>
      </w:r>
      <w:r w:rsidRPr="00152600">
        <w:t xml:space="preserve"> Pesticides and Veterinary Medicines Authority</w:t>
      </w:r>
      <w:r>
        <w:t xml:space="preserve"> and the National Institute of Industrial Environment and Risk (</w:t>
      </w:r>
      <w:proofErr w:type="spellStart"/>
      <w:r>
        <w:t>L’Institut</w:t>
      </w:r>
      <w:proofErr w:type="spellEnd"/>
      <w:r>
        <w:t xml:space="preserve"> National de </w:t>
      </w:r>
      <w:proofErr w:type="spellStart"/>
      <w:r>
        <w:t>l’Environnement</w:t>
      </w:r>
      <w:proofErr w:type="spellEnd"/>
      <w:r>
        <w:t xml:space="preserve"> </w:t>
      </w:r>
      <w:proofErr w:type="spellStart"/>
      <w:r>
        <w:t>Industriel</w:t>
      </w:r>
      <w:proofErr w:type="spellEnd"/>
      <w:r>
        <w:t xml:space="preserve"> at des </w:t>
      </w:r>
      <w:proofErr w:type="spellStart"/>
      <w:r>
        <w:t>Risques</w:t>
      </w:r>
      <w:proofErr w:type="spellEnd"/>
      <w:r>
        <w:t>)</w:t>
      </w:r>
      <w:r w:rsidRPr="00152600">
        <w:t xml:space="preserve"> (UNEP/FAO/RC/CRC.11/INF/15, pages 17-18, 110-134). The notifications from the CILSS countries took into account scientific information from these sources.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w:t>
      </w:r>
      <w:r w:rsidRPr="00DA7368">
        <w:rPr>
          <w:snapToGrid w:val="0"/>
        </w:rPr>
        <w:t>Committee</w:t>
      </w:r>
      <w:r w:rsidRPr="00152600">
        <w:t xml:space="preserve"> concludes that </w:t>
      </w:r>
      <w:r>
        <w:t xml:space="preserve">the data in the above sources were </w:t>
      </w:r>
      <w:r w:rsidRPr="00152600">
        <w:t xml:space="preserve">generated according to scientifically </w:t>
      </w:r>
      <w:r w:rsidRPr="00560EEB">
        <w:rPr>
          <w:snapToGrid w:val="0"/>
        </w:rPr>
        <w:t>recogni</w:t>
      </w:r>
      <w:r>
        <w:rPr>
          <w:snapToGrid w:val="0"/>
        </w:rPr>
        <w:t>z</w:t>
      </w:r>
      <w:r w:rsidRPr="00560EEB">
        <w:rPr>
          <w:snapToGrid w:val="0"/>
        </w:rPr>
        <w:t>ed</w:t>
      </w:r>
      <w:r w:rsidRPr="00152600">
        <w:t xml:space="preserve"> methods and that data reviews </w:t>
      </w:r>
      <w:r>
        <w:t>were</w:t>
      </w:r>
      <w:r w:rsidRPr="00152600">
        <w:t xml:space="preserve"> performed and documented according to generally recognized scientific principles and procedures.</w:t>
      </w:r>
    </w:p>
    <w:p w:rsidR="00DF4FEF" w:rsidRPr="00152600" w:rsidRDefault="00DF4FEF" w:rsidP="00DF4FEF">
      <w:pPr>
        <w:keepNext/>
        <w:keepLines/>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560EEB">
        <w:rPr>
          <w:snapToGrid w:val="0"/>
        </w:rPr>
        <w:lastRenderedPageBreak/>
        <w:t>Consequently</w:t>
      </w:r>
      <w:r w:rsidRPr="00152600">
        <w:t xml:space="preserve">, the Committee confirms that the criteria </w:t>
      </w:r>
      <w:r>
        <w:t xml:space="preserve">in subparagraphs </w:t>
      </w:r>
      <w:r w:rsidRPr="00152600">
        <w:t xml:space="preserve">(b) </w:t>
      </w:r>
      <w:r>
        <w:t>(</w:t>
      </w:r>
      <w:proofErr w:type="spellStart"/>
      <w:r w:rsidRPr="00152600">
        <w:t>i</w:t>
      </w:r>
      <w:proofErr w:type="spellEnd"/>
      <w:r w:rsidRPr="00152600">
        <w:t xml:space="preserve">) and </w:t>
      </w:r>
      <w:r>
        <w:t>(b) (</w:t>
      </w:r>
      <w:r w:rsidRPr="00152600">
        <w:t>ii) are met.</w:t>
      </w:r>
    </w:p>
    <w:p w:rsidR="00DF4FEF" w:rsidRPr="00152600" w:rsidRDefault="00DF4FEF" w:rsidP="00DF4FEF">
      <w:pPr>
        <w:keepNext/>
        <w:keepLines/>
        <w:tabs>
          <w:tab w:val="left" w:pos="624"/>
        </w:tabs>
        <w:snapToGrid w:val="0"/>
        <w:spacing w:after="120"/>
        <w:ind w:left="2439" w:hanging="624"/>
        <w:rPr>
          <w:i/>
        </w:rPr>
      </w:pPr>
      <w:r w:rsidRPr="00152600">
        <w:rPr>
          <w:i/>
        </w:rPr>
        <w:t xml:space="preserve">(iii) </w:t>
      </w:r>
      <w:r w:rsidRPr="00152600">
        <w:rPr>
          <w:i/>
        </w:rPr>
        <w:tab/>
        <w:t>The final regulatory action was based on a risk evaluation involving prevailing conditions within the Party taking the action;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final regulatory action to ban </w:t>
      </w:r>
      <w:proofErr w:type="spellStart"/>
      <w:r w:rsidRPr="00152600">
        <w:t>carbosulfan</w:t>
      </w:r>
      <w:proofErr w:type="spellEnd"/>
      <w:r w:rsidRPr="00152600">
        <w:t xml:space="preserve"> was based on a risk evaluation. The risk to human health and non-target organisms, as well as the risk of contamination of groundwater</w:t>
      </w:r>
      <w:r>
        <w:t>,</w:t>
      </w:r>
      <w:r w:rsidRPr="00152600">
        <w:t xml:space="preserve"> makes it very difficult to handle </w:t>
      </w:r>
      <w:proofErr w:type="spellStart"/>
      <w:r w:rsidRPr="00152600">
        <w:t>carbosulfan</w:t>
      </w:r>
      <w:proofErr w:type="spellEnd"/>
      <w:r w:rsidRPr="00152600">
        <w:t xml:space="preserve"> </w:t>
      </w:r>
      <w:r>
        <w:t xml:space="preserve">safely </w:t>
      </w:r>
      <w:r w:rsidRPr="00152600">
        <w:t xml:space="preserve">in Sahel countries. The decision takes into account information from a pilot study on agricultural pesticide poisoning in Burkina Faso. The full report on this pilot study is included in the supporting documentation (UNEP/FAO/RC/CRC.11/INF/15, page 19). Burkina Faso is in the same geographical region as the rest of the notifying Parties. The notifications cited the following risks to human health and the environment: cases of poisoning due to the use of a </w:t>
      </w:r>
      <w:proofErr w:type="spellStart"/>
      <w:r w:rsidRPr="00152600">
        <w:t>carbosulfan</w:t>
      </w:r>
      <w:proofErr w:type="spellEnd"/>
      <w:r>
        <w:t>-</w:t>
      </w:r>
      <w:r w:rsidRPr="00152600">
        <w:t xml:space="preserve">based pesticide formulation; </w:t>
      </w:r>
      <w:r>
        <w:t xml:space="preserve">the </w:t>
      </w:r>
      <w:r w:rsidRPr="00152600">
        <w:t>fragile ecology of CILSS countries</w:t>
      </w:r>
      <w:r>
        <w:t>,</w:t>
      </w:r>
      <w:r w:rsidRPr="00152600">
        <w:t xml:space="preserve"> already characteri</w:t>
      </w:r>
      <w:r>
        <w:t>z</w:t>
      </w:r>
      <w:r w:rsidRPr="00152600">
        <w:t xml:space="preserve">ed by an imbalance of ecosystems and disappearance of organisms useful to the environment; non-compliance with recommended measures for </w:t>
      </w:r>
      <w:r>
        <w:t>the</w:t>
      </w:r>
      <w:r w:rsidRPr="00152600">
        <w:t xml:space="preserve"> safe use of </w:t>
      </w:r>
      <w:proofErr w:type="spellStart"/>
      <w:r w:rsidRPr="00152600">
        <w:t>carbosulfan</w:t>
      </w:r>
      <w:proofErr w:type="spellEnd"/>
      <w:r w:rsidRPr="00152600">
        <w:t xml:space="preserve">, </w:t>
      </w:r>
      <w:r>
        <w:t>including the</w:t>
      </w:r>
      <w:r w:rsidRPr="00152600">
        <w:t xml:space="preserve"> low </w:t>
      </w:r>
      <w:r>
        <w:t xml:space="preserve">rate of </w:t>
      </w:r>
      <w:r w:rsidRPr="00152600">
        <w:t>utilization of protective equipment by growers (UNEP/FAO/RC/CRC/11/INF/15, page 17).</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w:t>
      </w:r>
      <w:r>
        <w:t>a</w:t>
      </w:r>
      <w:r w:rsidRPr="00152600">
        <w:t xml:space="preserve">nnex to the </w:t>
      </w:r>
      <w:r>
        <w:t>d</w:t>
      </w:r>
      <w:r w:rsidRPr="00152600">
        <w:t xml:space="preserve">ecision to ban </w:t>
      </w:r>
      <w:proofErr w:type="spellStart"/>
      <w:r w:rsidRPr="00152600">
        <w:t>carbosulfan</w:t>
      </w:r>
      <w:proofErr w:type="spellEnd"/>
      <w:r w:rsidRPr="00152600">
        <w:t xml:space="preserve"> further specifies the risks to human health and the </w:t>
      </w:r>
      <w:r w:rsidRPr="00560EEB">
        <w:rPr>
          <w:snapToGrid w:val="0"/>
        </w:rPr>
        <w:t>environment</w:t>
      </w:r>
      <w:r w:rsidRPr="00152600">
        <w:t xml:space="preserve"> in the notifying Parties. These risks result from </w:t>
      </w:r>
      <w:r>
        <w:t xml:space="preserve">the use of </w:t>
      </w:r>
      <w:r w:rsidRPr="00152600">
        <w:t>pesticide</w:t>
      </w:r>
      <w:r>
        <w:t>s</w:t>
      </w:r>
      <w:r w:rsidRPr="00152600">
        <w:t xml:space="preserve"> </w:t>
      </w:r>
      <w:r>
        <w:t xml:space="preserve">and the use of </w:t>
      </w:r>
      <w:r w:rsidRPr="00152600">
        <w:t xml:space="preserve">pesticides containing </w:t>
      </w:r>
      <w:proofErr w:type="spellStart"/>
      <w:r w:rsidRPr="00152600">
        <w:t>carbosulfan</w:t>
      </w:r>
      <w:proofErr w:type="spellEnd"/>
      <w:r>
        <w:t xml:space="preserve"> specifically</w:t>
      </w:r>
      <w:r w:rsidRPr="00152600">
        <w:t xml:space="preserve">. Growers do not follow </w:t>
      </w:r>
      <w:r>
        <w:t>g</w:t>
      </w:r>
      <w:r w:rsidRPr="00152600">
        <w:t xml:space="preserve">ood </w:t>
      </w:r>
      <w:r>
        <w:t>a</w:t>
      </w:r>
      <w:r w:rsidRPr="00152600">
        <w:t xml:space="preserve">gricultural </w:t>
      </w:r>
      <w:r>
        <w:t>p</w:t>
      </w:r>
      <w:r w:rsidRPr="00152600">
        <w:t xml:space="preserve">ractices, in particular </w:t>
      </w:r>
      <w:r>
        <w:t xml:space="preserve">regarding </w:t>
      </w:r>
      <w:r w:rsidRPr="00152600">
        <w:t>the use of appropriate personal protective equipment. Protective equipment (dust masks, boots and gloves in particular) is sold to growers by distributors in 20</w:t>
      </w:r>
      <w:r>
        <w:t xml:space="preserve"> per cent</w:t>
      </w:r>
      <w:r w:rsidRPr="00152600">
        <w:t xml:space="preserve"> of cases. Th</w:t>
      </w:r>
      <w:r>
        <w:t>e</w:t>
      </w:r>
      <w:r w:rsidRPr="00152600">
        <w:t xml:space="preserve"> equipment is not specific</w:t>
      </w:r>
      <w:r>
        <w:t>ally designed</w:t>
      </w:r>
      <w:r w:rsidRPr="00152600">
        <w:t xml:space="preserve"> for field treatments. </w:t>
      </w:r>
      <w:r>
        <w:t>During plant treatment, g</w:t>
      </w:r>
      <w:r w:rsidRPr="00152600">
        <w:t xml:space="preserve">rowers mainly wear dust masks (39.08 </w:t>
      </w:r>
      <w:r>
        <w:t>per cent</w:t>
      </w:r>
      <w:r w:rsidRPr="00152600">
        <w:t xml:space="preserve"> of cases) </w:t>
      </w:r>
      <w:r>
        <w:t>and</w:t>
      </w:r>
      <w:r w:rsidRPr="00152600">
        <w:t xml:space="preserve"> boots (28.8 </w:t>
      </w:r>
      <w:r>
        <w:t>per cent of cases</w:t>
      </w:r>
      <w:r w:rsidRPr="00152600">
        <w:t>)</w:t>
      </w:r>
      <w:r>
        <w:t>,</w:t>
      </w:r>
      <w:r w:rsidRPr="00152600">
        <w:t xml:space="preserve"> whereas overalls are the least used (4.5 </w:t>
      </w:r>
      <w:r>
        <w:t>per cent of cases)</w:t>
      </w:r>
      <w:r w:rsidRPr="00152600">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More than half of growers (67.5 </w:t>
      </w:r>
      <w:r>
        <w:t>per cent</w:t>
      </w:r>
      <w:r w:rsidRPr="00152600">
        <w:t>) had a water source in their fields or nearby. The majority of water points were less than 100</w:t>
      </w:r>
      <w:r>
        <w:t xml:space="preserve"> </w:t>
      </w:r>
      <w:r w:rsidRPr="00152600">
        <w:t>m</w:t>
      </w:r>
      <w:r>
        <w:t>etres</w:t>
      </w:r>
      <w:r w:rsidRPr="00152600">
        <w:t xml:space="preserve"> from fields</w:t>
      </w:r>
      <w:r>
        <w:t>,</w:t>
      </w:r>
      <w:r w:rsidRPr="00152600">
        <w:t xml:space="preserve"> and </w:t>
      </w:r>
      <w:r>
        <w:t>that</w:t>
      </w:r>
      <w:r w:rsidRPr="00152600">
        <w:t xml:space="preserve"> proximity may </w:t>
      </w:r>
      <w:r>
        <w:t xml:space="preserve">result in </w:t>
      </w:r>
      <w:r w:rsidRPr="00152600">
        <w:t>water pollution by pesticides. Water was drunk in 50</w:t>
      </w:r>
      <w:r>
        <w:t xml:space="preserve"> per cent</w:t>
      </w:r>
      <w:r w:rsidRPr="00152600">
        <w:t xml:space="preserve"> of cases, was used for the preparation or dilution of pesticides in 29.26 </w:t>
      </w:r>
      <w:r>
        <w:t>per cent of cases</w:t>
      </w:r>
      <w:r w:rsidRPr="00152600">
        <w:t xml:space="preserve"> and </w:t>
      </w:r>
      <w:r>
        <w:t xml:space="preserve">was </w:t>
      </w:r>
      <w:r w:rsidRPr="00152600">
        <w:t xml:space="preserve">used for </w:t>
      </w:r>
      <w:r>
        <w:t xml:space="preserve">watering </w:t>
      </w:r>
      <w:r w:rsidRPr="00152600">
        <w:t>animal</w:t>
      </w:r>
      <w:r>
        <w:t>s</w:t>
      </w:r>
      <w:r w:rsidRPr="00152600">
        <w:t xml:space="preserve"> 26.96 </w:t>
      </w:r>
      <w:r>
        <w:t>per cent of cases</w:t>
      </w:r>
      <w:r w:rsidRPr="00152600">
        <w:t xml:space="preserve"> (UNEP/FAO/RC/CRC/11/INF/15, page 16).</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DA7368">
        <w:rPr>
          <w:snapToGrid w:val="0"/>
        </w:rPr>
        <w:t>Consequently</w:t>
      </w:r>
      <w:r w:rsidRPr="00152600">
        <w:t xml:space="preserve">, the Committee confirms that the criterion </w:t>
      </w:r>
      <w:r>
        <w:t>in subparagraph (b) (</w:t>
      </w:r>
      <w:r w:rsidRPr="00152600">
        <w:t>iii) is met.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560EEB">
        <w:rPr>
          <w:snapToGrid w:val="0"/>
        </w:rPr>
        <w:t>Therefore</w:t>
      </w:r>
      <w:r w:rsidRPr="00152600">
        <w:t xml:space="preserve">, the Committee confirms that </w:t>
      </w:r>
      <w:r>
        <w:t xml:space="preserve">the </w:t>
      </w:r>
      <w:r w:rsidRPr="00152600">
        <w:t>criteri</w:t>
      </w:r>
      <w:r>
        <w:t>a in paragraph</w:t>
      </w:r>
      <w:r w:rsidRPr="00152600">
        <w:t xml:space="preserve"> (b) a</w:t>
      </w:r>
      <w:r>
        <w:t>re</w:t>
      </w:r>
      <w:r w:rsidRPr="00152600">
        <w:t xml:space="preserve"> met.</w:t>
      </w:r>
    </w:p>
    <w:p w:rsidR="00DF4FEF" w:rsidRPr="00560EEB"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b/>
          <w:lang w:val="it-IT"/>
        </w:rPr>
      </w:pPr>
      <w:r w:rsidRPr="00560EEB">
        <w:rPr>
          <w:b/>
          <w:lang w:val="it-IT"/>
        </w:rPr>
        <w:t>Annex II paragraph (c) criteria</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1247" w:firstLine="624"/>
        <w:rPr>
          <w:i/>
        </w:rPr>
      </w:pPr>
      <w:r w:rsidRPr="00152600">
        <w:rPr>
          <w:i/>
        </w:rPr>
        <w:t>(c)</w:t>
      </w:r>
      <w:r w:rsidRPr="00152600">
        <w:rPr>
          <w:i/>
        </w:rPr>
        <w:tab/>
        <w:t>Consider whether the final regulatory action provides a sufficiently broad basis to merit listing of the chemical in Annex III, by taking into account:</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2495" w:hanging="624"/>
        <w:rPr>
          <w:i/>
        </w:rPr>
      </w:pPr>
      <w:r w:rsidRPr="00152600">
        <w:rPr>
          <w:i/>
        </w:rPr>
        <w:t>(</w:t>
      </w:r>
      <w:proofErr w:type="spellStart"/>
      <w:r w:rsidRPr="00152600">
        <w:rPr>
          <w:i/>
        </w:rPr>
        <w:t>i</w:t>
      </w:r>
      <w:proofErr w:type="spellEnd"/>
      <w:r w:rsidRPr="00152600">
        <w:rPr>
          <w:i/>
        </w:rPr>
        <w:t>)</w:t>
      </w:r>
      <w:r w:rsidRPr="00152600">
        <w:rPr>
          <w:i/>
        </w:rPr>
        <w:tab/>
        <w:t>Whether the final regulatory action led, or would be expected to lead, to a significant decrease in the quantity of the chemical used or the number of its uses;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use of </w:t>
      </w:r>
      <w:proofErr w:type="spellStart"/>
      <w:r w:rsidRPr="00152600">
        <w:t>carbosulfan</w:t>
      </w:r>
      <w:proofErr w:type="spellEnd"/>
      <w:r w:rsidRPr="00152600">
        <w:t xml:space="preserve"> is banned by the final regulatory action</w:t>
      </w:r>
      <w:r>
        <w:t>,</w:t>
      </w:r>
      <w:r w:rsidRPr="00152600">
        <w:t xml:space="preserve"> which entered into force on 8 April 2015. The final regulatory action states that all plant protection products (insecticide-</w:t>
      </w:r>
      <w:proofErr w:type="spellStart"/>
      <w:r w:rsidRPr="00152600">
        <w:t>nematicide</w:t>
      </w:r>
      <w:proofErr w:type="spellEnd"/>
      <w:r w:rsidRPr="00152600">
        <w:t xml:space="preserve">) containing </w:t>
      </w:r>
      <w:proofErr w:type="spellStart"/>
      <w:r w:rsidRPr="00560EEB">
        <w:rPr>
          <w:snapToGrid w:val="0"/>
        </w:rPr>
        <w:t>carbosulfan</w:t>
      </w:r>
      <w:proofErr w:type="spellEnd"/>
      <w:r w:rsidRPr="00152600">
        <w:t xml:space="preserve"> </w:t>
      </w:r>
      <w:proofErr w:type="gramStart"/>
      <w:r w:rsidRPr="00152600">
        <w:t>are</w:t>
      </w:r>
      <w:proofErr w:type="gramEnd"/>
      <w:r w:rsidRPr="00152600">
        <w:t xml:space="preserve"> banned due to its highly toxic potential </w:t>
      </w:r>
      <w:r>
        <w:t>for</w:t>
      </w:r>
      <w:r w:rsidRPr="00152600">
        <w:t xml:space="preserve"> human health and mainly the </w:t>
      </w:r>
      <w:r w:rsidRPr="00DA7368">
        <w:rPr>
          <w:snapToGrid w:val="0"/>
        </w:rPr>
        <w:t>environment</w:t>
      </w:r>
      <w:r w:rsidRPr="00152600">
        <w:t xml:space="preserve"> (UNEP/FAO/RC/CRC.11/5</w:t>
      </w:r>
      <w:r>
        <w:t>,</w:t>
      </w:r>
      <w:r w:rsidRPr="00152600">
        <w:t xml:space="preserve"> section 2.2.1).</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w:t>
      </w:r>
      <w:r w:rsidRPr="00560EEB">
        <w:rPr>
          <w:snapToGrid w:val="0"/>
        </w:rPr>
        <w:t>final</w:t>
      </w:r>
      <w:r w:rsidRPr="00152600">
        <w:t xml:space="preserve"> regulatory action is therefore expected to lead to a significant decrease in the quantity of the </w:t>
      </w:r>
      <w:r w:rsidRPr="00DA7368">
        <w:rPr>
          <w:snapToGrid w:val="0"/>
        </w:rPr>
        <w:t>chemical</w:t>
      </w:r>
      <w:r w:rsidRPr="00152600">
        <w:t xml:space="preserve"> used, resulting in </w:t>
      </w:r>
      <w:r>
        <w:t xml:space="preserve">a </w:t>
      </w:r>
      <w:r w:rsidRPr="00152600">
        <w:t xml:space="preserve">significant reduction of </w:t>
      </w:r>
      <w:r>
        <w:t xml:space="preserve">the </w:t>
      </w:r>
      <w:r w:rsidRPr="00152600">
        <w:t xml:space="preserve">risk to human health and the environment.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560EEB">
        <w:t>Therefore</w:t>
      </w:r>
      <w:r w:rsidRPr="00152600">
        <w:t xml:space="preserve"> </w:t>
      </w:r>
      <w:r w:rsidRPr="00DA7368">
        <w:rPr>
          <w:snapToGrid w:val="0"/>
        </w:rPr>
        <w:t>the</w:t>
      </w:r>
      <w:r w:rsidRPr="00152600">
        <w:t xml:space="preserve"> Committee confirms that th</w:t>
      </w:r>
      <w:r>
        <w:t xml:space="preserve">e </w:t>
      </w:r>
      <w:r w:rsidRPr="00152600">
        <w:t xml:space="preserve">criterion </w:t>
      </w:r>
      <w:r>
        <w:t>in subparagraph (c) (</w:t>
      </w:r>
      <w:proofErr w:type="spellStart"/>
      <w:r>
        <w:t>i</w:t>
      </w:r>
      <w:proofErr w:type="spellEnd"/>
      <w:r>
        <w:t xml:space="preserve">) </w:t>
      </w:r>
      <w:r w:rsidRPr="00152600">
        <w:t xml:space="preserve">is met. </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2495" w:hanging="624"/>
        <w:rPr>
          <w:i/>
        </w:rPr>
      </w:pPr>
      <w:r w:rsidRPr="00152600">
        <w:rPr>
          <w:i/>
        </w:rPr>
        <w:t>(ii)</w:t>
      </w:r>
      <w:r w:rsidRPr="00152600">
        <w:rPr>
          <w:i/>
        </w:rPr>
        <w:tab/>
        <w:t>Whether the final regulatory action led to an actual reduction of risk or would be expected to result in a significant reduction of risk for human health or the environment of the Party that submitted the notification;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It is expected that since the regulatory action bans the use of </w:t>
      </w:r>
      <w:proofErr w:type="spellStart"/>
      <w:r w:rsidRPr="00152600">
        <w:t>carbosulfan</w:t>
      </w:r>
      <w:proofErr w:type="spellEnd"/>
      <w:r w:rsidRPr="00152600">
        <w:t xml:space="preserve"> the risks to the environment </w:t>
      </w:r>
      <w:r w:rsidRPr="00560EEB">
        <w:t>and</w:t>
      </w:r>
      <w:r w:rsidRPr="00152600">
        <w:t xml:space="preserve"> to human health will be significantly reduced.</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DA7368">
        <w:rPr>
          <w:snapToGrid w:val="0"/>
        </w:rPr>
        <w:t>Therefore</w:t>
      </w:r>
      <w:r w:rsidRPr="00152600">
        <w:t xml:space="preserve"> the Committee confirms that </w:t>
      </w:r>
      <w:r>
        <w:t xml:space="preserve">the </w:t>
      </w:r>
      <w:r w:rsidRPr="00152600">
        <w:t xml:space="preserve">criterion </w:t>
      </w:r>
      <w:r>
        <w:t xml:space="preserve">in subparagraph (c) (ii) </w:t>
      </w:r>
      <w:r w:rsidRPr="00152600">
        <w:t>is met.</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2495" w:hanging="624"/>
        <w:rPr>
          <w:i/>
        </w:rPr>
      </w:pPr>
      <w:r w:rsidRPr="00152600">
        <w:rPr>
          <w:i/>
        </w:rPr>
        <w:t>(iii)</w:t>
      </w:r>
      <w:r w:rsidRPr="00152600">
        <w:rPr>
          <w:i/>
        </w:rPr>
        <w:tab/>
        <w:t>Whether the considerations that led to the final regulatory action being taken are applicable only in a limited geographical area or in other limited circumstances;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notifications state that the final regulatory action will be of great interest to other Sahel countries using </w:t>
      </w:r>
      <w:r w:rsidRPr="00DA7368">
        <w:rPr>
          <w:snapToGrid w:val="0"/>
        </w:rPr>
        <w:t>the</w:t>
      </w:r>
      <w:r w:rsidRPr="00152600">
        <w:t xml:space="preserve"> product under the same conditions (UNEP/FAO/RC/CRC.11/7, section 2.5.2).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lastRenderedPageBreak/>
        <w:t xml:space="preserve">The </w:t>
      </w:r>
      <w:r w:rsidRPr="00560EEB">
        <w:t>Committee</w:t>
      </w:r>
      <w:r w:rsidRPr="00152600">
        <w:t xml:space="preserve"> concluded that the considerations that led to the final regulatory action be</w:t>
      </w:r>
      <w:r>
        <w:t>ing</w:t>
      </w:r>
      <w:r w:rsidRPr="00152600">
        <w:t xml:space="preserve"> taken are applicable to a wide geographical area and </w:t>
      </w:r>
      <w:r>
        <w:t xml:space="preserve">a broad range of </w:t>
      </w:r>
      <w:r w:rsidRPr="00152600">
        <w:t>circumstances.</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Therefore the Committee confirms that th</w:t>
      </w:r>
      <w:r>
        <w:t xml:space="preserve">e </w:t>
      </w:r>
      <w:r w:rsidRPr="00152600">
        <w:t xml:space="preserve">criterion </w:t>
      </w:r>
      <w:r>
        <w:t xml:space="preserve">in subparagraph (c) (iii) </w:t>
      </w:r>
      <w:r w:rsidRPr="00152600">
        <w:t xml:space="preserve">is met. </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2495" w:hanging="624"/>
        <w:rPr>
          <w:i/>
        </w:rPr>
      </w:pPr>
      <w:proofErr w:type="gramStart"/>
      <w:r w:rsidRPr="00152600">
        <w:rPr>
          <w:i/>
        </w:rPr>
        <w:t>(iv)</w:t>
      </w:r>
      <w:r w:rsidRPr="00152600">
        <w:rPr>
          <w:i/>
        </w:rPr>
        <w:tab/>
        <w:t>Whether</w:t>
      </w:r>
      <w:proofErr w:type="gramEnd"/>
      <w:r w:rsidRPr="00152600">
        <w:rPr>
          <w:i/>
        </w:rPr>
        <w:t xml:space="preserve"> there is evidence of ongoing international trade in the chemical;</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notifications give no information on the estimated quantity of </w:t>
      </w:r>
      <w:proofErr w:type="spellStart"/>
      <w:r w:rsidRPr="00152600">
        <w:t>carbosulfan</w:t>
      </w:r>
      <w:proofErr w:type="spellEnd"/>
      <w:r w:rsidRPr="00152600">
        <w:t xml:space="preserve"> produced, imported, exported and used. </w:t>
      </w:r>
      <w:r>
        <w:t>T</w:t>
      </w:r>
      <w:r w:rsidRPr="00152600">
        <w:t>he information gathered by the Secretariat (UNEP/FAO/RC/CRC.11/INF/5)</w:t>
      </w:r>
      <w:r>
        <w:t>, however,</w:t>
      </w:r>
      <w:r w:rsidRPr="00152600">
        <w:t xml:space="preserve"> indicates that </w:t>
      </w:r>
      <w:proofErr w:type="spellStart"/>
      <w:r w:rsidRPr="00152600">
        <w:t>carbosulfan</w:t>
      </w:r>
      <w:proofErr w:type="spellEnd"/>
      <w:r w:rsidRPr="00152600">
        <w:t xml:space="preserve"> was exported from the </w:t>
      </w:r>
      <w:r>
        <w:t>European Union</w:t>
      </w:r>
      <w:r w:rsidRPr="00152600">
        <w:t xml:space="preserve"> to </w:t>
      </w:r>
      <w:r>
        <w:t>two</w:t>
      </w:r>
      <w:r w:rsidRPr="00152600">
        <w:t xml:space="preserve"> countries in 2012 and 2013. </w:t>
      </w:r>
      <w:r w:rsidRPr="00DA7368">
        <w:rPr>
          <w:snapToGrid w:val="0"/>
        </w:rPr>
        <w:t>In</w:t>
      </w:r>
      <w:r w:rsidRPr="00152600">
        <w:t xml:space="preserve"> the same document, </w:t>
      </w:r>
      <w:proofErr w:type="spellStart"/>
      <w:r w:rsidRPr="00152600">
        <w:t>CropLife</w:t>
      </w:r>
      <w:proofErr w:type="spellEnd"/>
      <w:r w:rsidRPr="00152600">
        <w:t xml:space="preserve"> International confirms </w:t>
      </w:r>
      <w:r>
        <w:t xml:space="preserve">that there is </w:t>
      </w:r>
      <w:r w:rsidRPr="00152600">
        <w:t xml:space="preserve">ongoing international trade of </w:t>
      </w:r>
      <w:proofErr w:type="spellStart"/>
      <w:r w:rsidRPr="00152600">
        <w:t>carbosulfan</w:t>
      </w:r>
      <w:proofErr w:type="spellEnd"/>
      <w:r w:rsidRPr="00152600">
        <w:t>.</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560EEB">
        <w:t>Therefore</w:t>
      </w:r>
      <w:r w:rsidRPr="00152600">
        <w:t xml:space="preserve"> the Committee confirms that th</w:t>
      </w:r>
      <w:r>
        <w:t xml:space="preserve">e </w:t>
      </w:r>
      <w:r w:rsidRPr="00152600">
        <w:t xml:space="preserve">criterion </w:t>
      </w:r>
      <w:r>
        <w:t>in subparagraph (c) (</w:t>
      </w:r>
      <w:proofErr w:type="gramStart"/>
      <w:r>
        <w:t>iv</w:t>
      </w:r>
      <w:proofErr w:type="gramEnd"/>
      <w:r>
        <w:t xml:space="preserve">) </w:t>
      </w:r>
      <w:r w:rsidRPr="00152600">
        <w:t>is met.</w:t>
      </w:r>
    </w:p>
    <w:p w:rsidR="00DF4FEF" w:rsidRPr="00560EEB"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b/>
          <w:lang w:val="it-IT"/>
        </w:rPr>
      </w:pPr>
      <w:r w:rsidRPr="00560EEB">
        <w:rPr>
          <w:b/>
          <w:lang w:val="it-IT"/>
        </w:rPr>
        <w:t>Annex II paragraph (d) criterion</w:t>
      </w:r>
    </w:p>
    <w:p w:rsidR="00DF4FEF" w:rsidRPr="00152600" w:rsidRDefault="00DF4FEF" w:rsidP="00DF4FEF">
      <w:pPr>
        <w:tabs>
          <w:tab w:val="clear" w:pos="1247"/>
          <w:tab w:val="clear" w:pos="1814"/>
          <w:tab w:val="clear" w:pos="2381"/>
          <w:tab w:val="clear" w:pos="2948"/>
          <w:tab w:val="clear" w:pos="3515"/>
          <w:tab w:val="left" w:pos="624"/>
        </w:tabs>
        <w:snapToGrid w:val="0"/>
        <w:spacing w:after="120"/>
        <w:ind w:left="1247" w:firstLine="624"/>
        <w:rPr>
          <w:i/>
        </w:rPr>
      </w:pPr>
      <w:r w:rsidRPr="00152600">
        <w:rPr>
          <w:i/>
        </w:rPr>
        <w:t>(d)</w:t>
      </w:r>
      <w:r w:rsidRPr="00152600">
        <w:rPr>
          <w:i/>
        </w:rPr>
        <w:tab/>
        <w:t>Take into account that intentional misuse is not in itself an adequate reason to list a chemical in Annex III.</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There is no indication in the notification that concerns for intentional misuse prompted the regulatory action. </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Based </w:t>
      </w:r>
      <w:r w:rsidRPr="00DA7368">
        <w:rPr>
          <w:snapToGrid w:val="0"/>
        </w:rPr>
        <w:t>on</w:t>
      </w:r>
      <w:r w:rsidRPr="00152600">
        <w:t xml:space="preserve"> the above point the Committee confirms that </w:t>
      </w:r>
      <w:r>
        <w:t xml:space="preserve">the </w:t>
      </w:r>
      <w:r w:rsidRPr="00152600">
        <w:t xml:space="preserve">criterion </w:t>
      </w:r>
      <w:r>
        <w:t xml:space="preserve">in paragraph </w:t>
      </w:r>
      <w:r w:rsidRPr="00152600">
        <w:t>(d) is met.</w:t>
      </w:r>
    </w:p>
    <w:p w:rsidR="00DF4FEF" w:rsidRPr="00220AAA" w:rsidRDefault="00DF4FEF" w:rsidP="00DF4FEF">
      <w:pPr>
        <w:keepNext/>
        <w:numPr>
          <w:ilvl w:val="0"/>
          <w:numId w:val="6"/>
        </w:numPr>
        <w:tabs>
          <w:tab w:val="clear" w:pos="1247"/>
          <w:tab w:val="clear" w:pos="1814"/>
          <w:tab w:val="clear" w:pos="2381"/>
          <w:tab w:val="clear" w:pos="2948"/>
          <w:tab w:val="clear" w:pos="3515"/>
          <w:tab w:val="left" w:pos="624"/>
        </w:tabs>
        <w:snapToGrid w:val="0"/>
        <w:spacing w:before="120" w:after="120"/>
        <w:ind w:left="1248" w:right="284" w:hanging="624"/>
        <w:outlineLvl w:val="0"/>
        <w:rPr>
          <w:snapToGrid w:val="0"/>
        </w:rPr>
      </w:pPr>
      <w:r w:rsidRPr="00220AAA">
        <w:rPr>
          <w:b/>
        </w:rPr>
        <w:t>Conclusion</w:t>
      </w:r>
    </w:p>
    <w:p w:rsidR="00DF4FEF" w:rsidRPr="00152600" w:rsidRDefault="00DF4FEF" w:rsidP="00DF4FEF">
      <w:pPr>
        <w:numPr>
          <w:ilvl w:val="0"/>
          <w:numId w:val="3"/>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152600">
        <w:t xml:space="preserve">The Committee concludes that the notifications of final regulatory action by Burkina Faso, </w:t>
      </w:r>
      <w:proofErr w:type="spellStart"/>
      <w:r w:rsidRPr="00152600">
        <w:t>Cabo</w:t>
      </w:r>
      <w:proofErr w:type="spellEnd"/>
      <w:r w:rsidRPr="00152600">
        <w:t xml:space="preserve"> Verde, </w:t>
      </w:r>
      <w:r w:rsidRPr="00DA7368">
        <w:rPr>
          <w:snapToGrid w:val="0"/>
        </w:rPr>
        <w:t>Chad</w:t>
      </w:r>
      <w:r w:rsidRPr="00152600">
        <w:t>, the Gambia, Mauritania, Niger, Senegal and Togo meet the criteria set out in Annex II to the Convention.</w:t>
      </w:r>
    </w:p>
    <w:p w:rsidR="00DF4FEF" w:rsidRPr="00560EEB" w:rsidRDefault="00DF4FEF" w:rsidP="00DF4FEF">
      <w:pPr>
        <w:pStyle w:val="CH1"/>
      </w:pPr>
      <w:r w:rsidRPr="00560EEB">
        <w:tab/>
        <w:t>III.</w:t>
      </w:r>
      <w:r w:rsidRPr="00560EEB">
        <w:tab/>
        <w:t>Conclusion</w:t>
      </w:r>
    </w:p>
    <w:p w:rsidR="00DF4FEF" w:rsidRPr="00152600" w:rsidRDefault="00DF4FEF" w:rsidP="00DF4FEF">
      <w:pPr>
        <w:numPr>
          <w:ilvl w:val="0"/>
          <w:numId w:val="3"/>
        </w:numPr>
        <w:tabs>
          <w:tab w:val="clear" w:pos="1247"/>
          <w:tab w:val="clear" w:pos="1814"/>
          <w:tab w:val="clear" w:pos="2381"/>
          <w:tab w:val="clear" w:pos="2948"/>
          <w:tab w:val="clear" w:pos="3515"/>
          <w:tab w:val="left" w:pos="624"/>
        </w:tabs>
        <w:snapToGrid w:val="0"/>
        <w:spacing w:after="120"/>
        <w:ind w:left="1247" w:firstLine="0"/>
      </w:pPr>
      <w:r w:rsidRPr="00152600">
        <w:t xml:space="preserve">The Committee concludes that the notifications of final regulatory action by the European Union, Burkina Faso, </w:t>
      </w:r>
      <w:proofErr w:type="spellStart"/>
      <w:r w:rsidRPr="00152600">
        <w:t>Cabo</w:t>
      </w:r>
      <w:proofErr w:type="spellEnd"/>
      <w:r w:rsidRPr="00152600">
        <w:t xml:space="preserve"> Verde, Chad, the Gambia, Mauritania, Niger, Senegal and Togo meet the criteria set </w:t>
      </w:r>
      <w:r w:rsidRPr="00DA7368">
        <w:rPr>
          <w:snapToGrid w:val="0"/>
        </w:rPr>
        <w:t>out</w:t>
      </w:r>
      <w:r w:rsidRPr="00152600">
        <w:t xml:space="preserve"> in Annex II to the Convention. The Committee also concludes that the final regulatory actions taken by the European Union, Burkina Faso, </w:t>
      </w:r>
      <w:proofErr w:type="spellStart"/>
      <w:r w:rsidRPr="00152600">
        <w:t>Cabo</w:t>
      </w:r>
      <w:proofErr w:type="spellEnd"/>
      <w:r w:rsidRPr="00152600">
        <w:t xml:space="preserve"> Verde, Chad, the Gambia, Mauritania, Niger, Senegal and Togo provides a sufficient basis to merit including </w:t>
      </w:r>
      <w:proofErr w:type="spellStart"/>
      <w:r w:rsidRPr="00152600">
        <w:t>carbosulfan</w:t>
      </w:r>
      <w:proofErr w:type="spellEnd"/>
      <w:r w:rsidRPr="00152600">
        <w:t xml:space="preserve"> in Annex III to the Convention in the pesticide category and that a decision guidance document should be drafted on the basis of the notifications.</w:t>
      </w:r>
    </w:p>
    <w:p w:rsidR="00DF4FEF" w:rsidRPr="00DF4FEF" w:rsidRDefault="00DF4FEF" w:rsidP="00DF4FEF">
      <w:pPr>
        <w:pStyle w:val="ZZAnxheader"/>
        <w:rPr>
          <w:lang w:val="en-US"/>
        </w:rPr>
      </w:pPr>
      <w:r>
        <w:br w:type="page"/>
      </w:r>
      <w:r w:rsidRPr="00DF4FEF">
        <w:rPr>
          <w:lang w:val="en-US"/>
        </w:rPr>
        <w:lastRenderedPageBreak/>
        <w:t>Annex II</w:t>
      </w:r>
    </w:p>
    <w:p w:rsidR="00DF4FEF" w:rsidRPr="00DF4FEF" w:rsidRDefault="00DF4FEF" w:rsidP="00DF4FEF">
      <w:pPr>
        <w:pStyle w:val="ZZAnxtitle"/>
        <w:rPr>
          <w:rFonts w:ascii="Times New Roman" w:hAnsi="Times New Roman" w:cs="Times New Roman"/>
        </w:rPr>
      </w:pPr>
      <w:r w:rsidRPr="00DF4FEF">
        <w:rPr>
          <w:rFonts w:ascii="Times New Roman" w:hAnsi="Times New Roman" w:cs="Times New Roman"/>
        </w:rPr>
        <w:t xml:space="preserve">Composition of </w:t>
      </w:r>
      <w:proofErr w:type="spellStart"/>
      <w:r w:rsidRPr="00DF4FEF">
        <w:rPr>
          <w:rFonts w:ascii="Times New Roman" w:hAnsi="Times New Roman" w:cs="Times New Roman"/>
        </w:rPr>
        <w:t>intersessional</w:t>
      </w:r>
      <w:proofErr w:type="spellEnd"/>
      <w:r w:rsidRPr="00DF4FEF">
        <w:rPr>
          <w:rFonts w:ascii="Times New Roman" w:hAnsi="Times New Roman" w:cs="Times New Roman"/>
        </w:rPr>
        <w:t xml:space="preserve"> drafting groups (2015–2016)</w:t>
      </w:r>
      <w:r w:rsidRPr="00DF4FEF">
        <w:rPr>
          <w:rStyle w:val="FootnoteReference"/>
          <w:rFonts w:cs="Times New Roman"/>
        </w:rPr>
        <w:t xml:space="preserve"> </w:t>
      </w:r>
    </w:p>
    <w:p w:rsidR="00DF4FEF" w:rsidRPr="00DF4FEF" w:rsidRDefault="00DF4FEF" w:rsidP="00DF4FEF">
      <w:pPr>
        <w:pStyle w:val="CH2"/>
      </w:pPr>
      <w:r w:rsidRPr="00DF4FEF">
        <w:tab/>
      </w:r>
      <w:r w:rsidRPr="00DF4FEF">
        <w:tab/>
        <w:t xml:space="preserve">Drafting group on </w:t>
      </w:r>
      <w:proofErr w:type="spellStart"/>
      <w:r w:rsidRPr="00DF4FEF">
        <w:t>carbofuran</w:t>
      </w:r>
      <w:proofErr w:type="spellEnd"/>
    </w:p>
    <w:p w:rsidR="00DF4FEF" w:rsidRPr="00DF4FEF" w:rsidRDefault="00DF4FEF" w:rsidP="00DF4FEF">
      <w:pPr>
        <w:pStyle w:val="ZZAnxtitle"/>
        <w:tabs>
          <w:tab w:val="clear" w:pos="1247"/>
          <w:tab w:val="clear" w:pos="1814"/>
          <w:tab w:val="clear" w:pos="2381"/>
          <w:tab w:val="clear" w:pos="2948"/>
          <w:tab w:val="clear" w:pos="3515"/>
        </w:tabs>
        <w:spacing w:before="0" w:after="0"/>
        <w:ind w:left="2700" w:hanging="1453"/>
        <w:rPr>
          <w:rFonts w:ascii="Times New Roman" w:hAnsi="Times New Roman" w:cs="Times New Roman"/>
          <w:b w:val="0"/>
          <w:sz w:val="20"/>
          <w:szCs w:val="20"/>
        </w:rPr>
      </w:pPr>
      <w:r w:rsidRPr="00DF4FEF">
        <w:rPr>
          <w:rFonts w:ascii="Times New Roman" w:hAnsi="Times New Roman" w:cs="Times New Roman"/>
          <w:b w:val="0"/>
          <w:sz w:val="20"/>
          <w:szCs w:val="20"/>
        </w:rPr>
        <w:t>Chair:</w:t>
      </w:r>
      <w:r w:rsidRPr="00DF4FEF">
        <w:rPr>
          <w:rFonts w:ascii="Times New Roman" w:hAnsi="Times New Roman" w:cs="Times New Roman"/>
          <w:b w:val="0"/>
          <w:sz w:val="20"/>
          <w:szCs w:val="20"/>
        </w:rPr>
        <w:tab/>
        <w:t>Mr. Jack Holland (Australia)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rPr>
          <w:rFonts w:ascii="Times New Roman" w:hAnsi="Times New Roman" w:cs="Times New Roman"/>
          <w:b w:val="0"/>
          <w:sz w:val="20"/>
          <w:szCs w:val="20"/>
        </w:rPr>
      </w:pPr>
      <w:r w:rsidRPr="00DF4FEF">
        <w:rPr>
          <w:rFonts w:ascii="Times New Roman" w:hAnsi="Times New Roman" w:cs="Times New Roman"/>
          <w:b w:val="0"/>
          <w:sz w:val="20"/>
          <w:szCs w:val="20"/>
        </w:rPr>
        <w:t>Vice-Chair:</w:t>
      </w:r>
      <w:r w:rsidRPr="00DF4FEF">
        <w:rPr>
          <w:rFonts w:ascii="Times New Roman" w:hAnsi="Times New Roman" w:cs="Times New Roman"/>
          <w:b w:val="0"/>
          <w:sz w:val="20"/>
          <w:szCs w:val="20"/>
        </w:rPr>
        <w:tab/>
        <w:t xml:space="preserve">Ms. </w:t>
      </w:r>
      <w:proofErr w:type="spellStart"/>
      <w:r w:rsidRPr="00DF4FEF">
        <w:rPr>
          <w:rFonts w:ascii="Times New Roman" w:hAnsi="Times New Roman" w:cs="Times New Roman"/>
          <w:b w:val="0"/>
          <w:sz w:val="20"/>
          <w:szCs w:val="20"/>
        </w:rPr>
        <w:t>Leonarda</w:t>
      </w:r>
      <w:proofErr w:type="spellEnd"/>
      <w:r w:rsidRPr="00DF4FEF">
        <w:rPr>
          <w:rFonts w:ascii="Times New Roman" w:hAnsi="Times New Roman" w:cs="Times New Roman"/>
          <w:b w:val="0"/>
          <w:sz w:val="20"/>
          <w:szCs w:val="20"/>
        </w:rPr>
        <w:t xml:space="preserve"> Christina van </w:t>
      </w:r>
      <w:proofErr w:type="spellStart"/>
      <w:r w:rsidRPr="00DF4FEF">
        <w:rPr>
          <w:rFonts w:ascii="Times New Roman" w:hAnsi="Times New Roman" w:cs="Times New Roman"/>
          <w:b w:val="0"/>
          <w:sz w:val="20"/>
          <w:szCs w:val="20"/>
        </w:rPr>
        <w:t>Leeuwen</w:t>
      </w:r>
      <w:proofErr w:type="spellEnd"/>
      <w:r w:rsidRPr="00DF4FEF">
        <w:rPr>
          <w:rFonts w:ascii="Times New Roman" w:hAnsi="Times New Roman" w:cs="Times New Roman"/>
          <w:b w:val="0"/>
          <w:sz w:val="20"/>
          <w:szCs w:val="20"/>
        </w:rPr>
        <w:t xml:space="preserve"> (Netherlands)</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120" w:after="0"/>
        <w:rPr>
          <w:rFonts w:ascii="Times New Roman" w:hAnsi="Times New Roman" w:cs="Times New Roman"/>
          <w:b w:val="0"/>
          <w:sz w:val="20"/>
          <w:szCs w:val="20"/>
        </w:rPr>
      </w:pPr>
      <w:r w:rsidRPr="00DF4FEF">
        <w:rPr>
          <w:rFonts w:ascii="Times New Roman" w:hAnsi="Times New Roman" w:cs="Times New Roman"/>
          <w:b w:val="0"/>
          <w:sz w:val="20"/>
          <w:szCs w:val="20"/>
        </w:rPr>
        <w:t>Members:</w:t>
      </w:r>
      <w:r w:rsidRPr="00DF4FEF">
        <w:rPr>
          <w:rFonts w:ascii="Times New Roman" w:hAnsi="Times New Roman" w:cs="Times New Roman"/>
          <w:b w:val="0"/>
          <w:sz w:val="20"/>
          <w:szCs w:val="20"/>
        </w:rPr>
        <w:tab/>
        <w:t xml:space="preserve">Mr. </w:t>
      </w:r>
      <w:proofErr w:type="spellStart"/>
      <w:r w:rsidRPr="00DF4FEF">
        <w:rPr>
          <w:rFonts w:ascii="Times New Roman" w:hAnsi="Times New Roman" w:cs="Times New Roman"/>
          <w:b w:val="0"/>
          <w:sz w:val="20"/>
          <w:szCs w:val="20"/>
        </w:rPr>
        <w:t>Malverne</w:t>
      </w:r>
      <w:proofErr w:type="spellEnd"/>
      <w:r w:rsidRPr="00DF4FEF">
        <w:rPr>
          <w:rFonts w:ascii="Times New Roman" w:hAnsi="Times New Roman" w:cs="Times New Roman"/>
          <w:b w:val="0"/>
          <w:sz w:val="20"/>
          <w:szCs w:val="20"/>
        </w:rPr>
        <w:t xml:space="preserve"> Spencer (Antigua and Barbuda)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Gilberto </w:t>
      </w:r>
      <w:proofErr w:type="spellStart"/>
      <w:r w:rsidRPr="00DF4FEF">
        <w:rPr>
          <w:rFonts w:ascii="Times New Roman" w:hAnsi="Times New Roman" w:cs="Times New Roman"/>
          <w:b w:val="0"/>
          <w:sz w:val="20"/>
          <w:szCs w:val="20"/>
        </w:rPr>
        <w:t>Fillman</w:t>
      </w:r>
      <w:proofErr w:type="spellEnd"/>
      <w:r w:rsidRPr="00DF4FEF">
        <w:rPr>
          <w:rFonts w:ascii="Times New Roman" w:hAnsi="Times New Roman" w:cs="Times New Roman"/>
          <w:b w:val="0"/>
          <w:sz w:val="20"/>
          <w:szCs w:val="20"/>
        </w:rPr>
        <w:t xml:space="preserve"> (Brazil)</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es-ES"/>
        </w:rPr>
      </w:pPr>
      <w:r w:rsidRPr="00DF4FEF">
        <w:rPr>
          <w:rFonts w:ascii="Times New Roman" w:hAnsi="Times New Roman" w:cs="Times New Roman"/>
          <w:b w:val="0"/>
          <w:sz w:val="20"/>
          <w:szCs w:val="20"/>
          <w:lang w:val="es-ES"/>
        </w:rPr>
        <w:t xml:space="preserve">Ms. </w:t>
      </w:r>
      <w:proofErr w:type="spellStart"/>
      <w:r w:rsidRPr="00DF4FEF">
        <w:rPr>
          <w:rFonts w:ascii="Times New Roman" w:hAnsi="Times New Roman" w:cs="Times New Roman"/>
          <w:b w:val="0"/>
          <w:sz w:val="20"/>
          <w:szCs w:val="20"/>
          <w:lang w:val="es-ES"/>
        </w:rPr>
        <w:t>Parvoleta</w:t>
      </w:r>
      <w:proofErr w:type="spellEnd"/>
      <w:r w:rsidRPr="00DF4FEF">
        <w:rPr>
          <w:rFonts w:ascii="Times New Roman" w:hAnsi="Times New Roman" w:cs="Times New Roman"/>
          <w:b w:val="0"/>
          <w:sz w:val="20"/>
          <w:szCs w:val="20"/>
          <w:lang w:val="es-ES"/>
        </w:rPr>
        <w:t xml:space="preserve"> </w:t>
      </w:r>
      <w:proofErr w:type="spellStart"/>
      <w:r w:rsidRPr="00DF4FEF">
        <w:rPr>
          <w:rFonts w:ascii="Times New Roman" w:hAnsi="Times New Roman" w:cs="Times New Roman"/>
          <w:b w:val="0"/>
          <w:sz w:val="20"/>
          <w:szCs w:val="20"/>
          <w:lang w:val="es-ES"/>
        </w:rPr>
        <w:t>Angelova</w:t>
      </w:r>
      <w:proofErr w:type="spellEnd"/>
      <w:r w:rsidRPr="00DF4FEF">
        <w:rPr>
          <w:rFonts w:ascii="Times New Roman" w:hAnsi="Times New Roman" w:cs="Times New Roman"/>
          <w:b w:val="0"/>
          <w:sz w:val="20"/>
          <w:szCs w:val="20"/>
          <w:lang w:val="es-ES"/>
        </w:rPr>
        <w:t xml:space="preserve"> </w:t>
      </w:r>
      <w:proofErr w:type="spellStart"/>
      <w:r w:rsidRPr="00DF4FEF">
        <w:rPr>
          <w:rFonts w:ascii="Times New Roman" w:hAnsi="Times New Roman" w:cs="Times New Roman"/>
          <w:b w:val="0"/>
          <w:sz w:val="20"/>
          <w:szCs w:val="20"/>
          <w:lang w:val="es-ES"/>
        </w:rPr>
        <w:t>Luleva</w:t>
      </w:r>
      <w:proofErr w:type="spellEnd"/>
      <w:r w:rsidRPr="00DF4FEF">
        <w:rPr>
          <w:rFonts w:ascii="Times New Roman" w:hAnsi="Times New Roman" w:cs="Times New Roman"/>
          <w:b w:val="0"/>
          <w:sz w:val="20"/>
          <w:szCs w:val="20"/>
          <w:lang w:val="es-ES"/>
        </w:rPr>
        <w:t xml:space="preserve"> (Bulgaria)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en-US"/>
        </w:rPr>
      </w:pPr>
      <w:r w:rsidRPr="00DF4FEF">
        <w:rPr>
          <w:rFonts w:ascii="Times New Roman" w:hAnsi="Times New Roman" w:cs="Times New Roman"/>
          <w:b w:val="0"/>
          <w:sz w:val="20"/>
          <w:szCs w:val="20"/>
          <w:lang w:val="en-US"/>
        </w:rPr>
        <w:t xml:space="preserve">Mr. Peter </w:t>
      </w:r>
      <w:proofErr w:type="spellStart"/>
      <w:r w:rsidRPr="00DF4FEF">
        <w:rPr>
          <w:rFonts w:ascii="Times New Roman" w:hAnsi="Times New Roman" w:cs="Times New Roman"/>
          <w:b w:val="0"/>
          <w:sz w:val="20"/>
          <w:szCs w:val="20"/>
          <w:lang w:val="en-US"/>
        </w:rPr>
        <w:t>Ayuk</w:t>
      </w:r>
      <w:proofErr w:type="spellEnd"/>
      <w:r w:rsidRPr="00DF4FEF">
        <w:rPr>
          <w:rFonts w:ascii="Times New Roman" w:hAnsi="Times New Roman" w:cs="Times New Roman"/>
          <w:b w:val="0"/>
          <w:sz w:val="20"/>
          <w:szCs w:val="20"/>
          <w:lang w:val="en-US"/>
        </w:rPr>
        <w:t xml:space="preserve"> </w:t>
      </w:r>
      <w:proofErr w:type="spellStart"/>
      <w:r w:rsidRPr="00DF4FEF">
        <w:rPr>
          <w:rFonts w:ascii="Times New Roman" w:hAnsi="Times New Roman" w:cs="Times New Roman"/>
          <w:b w:val="0"/>
          <w:sz w:val="20"/>
          <w:szCs w:val="20"/>
          <w:lang w:val="en-US"/>
        </w:rPr>
        <w:t>Enoh</w:t>
      </w:r>
      <w:proofErr w:type="spellEnd"/>
      <w:r w:rsidRPr="00DF4FEF">
        <w:rPr>
          <w:rFonts w:ascii="Times New Roman" w:hAnsi="Times New Roman" w:cs="Times New Roman"/>
          <w:b w:val="0"/>
          <w:sz w:val="20"/>
          <w:szCs w:val="20"/>
          <w:lang w:val="en-US"/>
        </w:rPr>
        <w:t xml:space="preserve"> (Cameroon)</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Mr. Jeffery R. Goodman (Canada)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w:t>
      </w:r>
      <w:proofErr w:type="spellStart"/>
      <w:r w:rsidRPr="00DF4FEF">
        <w:rPr>
          <w:rFonts w:ascii="Times New Roman" w:hAnsi="Times New Roman" w:cs="Times New Roman"/>
          <w:b w:val="0"/>
          <w:sz w:val="20"/>
          <w:szCs w:val="20"/>
        </w:rPr>
        <w:t>Jinye</w:t>
      </w:r>
      <w:proofErr w:type="spellEnd"/>
      <w:r w:rsidRPr="00DF4FEF">
        <w:rPr>
          <w:rFonts w:ascii="Times New Roman" w:hAnsi="Times New Roman" w:cs="Times New Roman"/>
          <w:b w:val="0"/>
          <w:sz w:val="20"/>
          <w:szCs w:val="20"/>
        </w:rPr>
        <w:t xml:space="preserve"> Sun (China)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Mr. Omar S. Bah (The Gambia)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w:t>
      </w:r>
      <w:proofErr w:type="spellStart"/>
      <w:r w:rsidRPr="00DF4FEF">
        <w:rPr>
          <w:rFonts w:ascii="Times New Roman" w:hAnsi="Times New Roman" w:cs="Times New Roman"/>
          <w:b w:val="0"/>
          <w:sz w:val="20"/>
          <w:szCs w:val="20"/>
        </w:rPr>
        <w:t>Mirijam</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Seng</w:t>
      </w:r>
      <w:proofErr w:type="spellEnd"/>
      <w:r w:rsidRPr="00DF4FEF">
        <w:rPr>
          <w:rFonts w:ascii="Times New Roman" w:hAnsi="Times New Roman" w:cs="Times New Roman"/>
          <w:b w:val="0"/>
          <w:sz w:val="20"/>
          <w:szCs w:val="20"/>
        </w:rPr>
        <w:t xml:space="preserve"> (Germany)</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Ram </w:t>
      </w:r>
      <w:proofErr w:type="spellStart"/>
      <w:r w:rsidRPr="00DF4FEF">
        <w:rPr>
          <w:rFonts w:ascii="Times New Roman" w:hAnsi="Times New Roman" w:cs="Times New Roman"/>
          <w:b w:val="0"/>
          <w:sz w:val="20"/>
          <w:szCs w:val="20"/>
        </w:rPr>
        <w:t>Niwas</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Jindal</w:t>
      </w:r>
      <w:proofErr w:type="spellEnd"/>
      <w:r w:rsidRPr="00DF4FEF">
        <w:rPr>
          <w:rFonts w:ascii="Times New Roman" w:hAnsi="Times New Roman" w:cs="Times New Roman"/>
          <w:b w:val="0"/>
          <w:sz w:val="20"/>
          <w:szCs w:val="20"/>
        </w:rPr>
        <w:t xml:space="preserve"> (India)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w:t>
      </w:r>
      <w:proofErr w:type="spellStart"/>
      <w:r w:rsidRPr="00DF4FEF">
        <w:rPr>
          <w:rFonts w:ascii="Times New Roman" w:hAnsi="Times New Roman" w:cs="Times New Roman"/>
          <w:b w:val="0"/>
          <w:sz w:val="20"/>
          <w:szCs w:val="20"/>
        </w:rPr>
        <w:t>Mohd</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Fauzan</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Yunus</w:t>
      </w:r>
      <w:proofErr w:type="spellEnd"/>
      <w:r w:rsidRPr="00DF4FEF">
        <w:rPr>
          <w:rFonts w:ascii="Times New Roman" w:hAnsi="Times New Roman" w:cs="Times New Roman"/>
          <w:b w:val="0"/>
          <w:sz w:val="20"/>
          <w:szCs w:val="20"/>
        </w:rPr>
        <w:t xml:space="preserve"> (Malaysia)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Magdalena </w:t>
      </w:r>
      <w:proofErr w:type="spellStart"/>
      <w:r w:rsidRPr="00DF4FEF">
        <w:rPr>
          <w:rFonts w:ascii="Times New Roman" w:hAnsi="Times New Roman" w:cs="Times New Roman"/>
          <w:b w:val="0"/>
          <w:sz w:val="20"/>
          <w:szCs w:val="20"/>
        </w:rPr>
        <w:t>Frydrych</w:t>
      </w:r>
      <w:proofErr w:type="spellEnd"/>
      <w:r w:rsidRPr="00DF4FEF">
        <w:rPr>
          <w:rFonts w:ascii="Times New Roman" w:hAnsi="Times New Roman" w:cs="Times New Roman"/>
          <w:b w:val="0"/>
          <w:sz w:val="20"/>
          <w:szCs w:val="20"/>
        </w:rPr>
        <w:t xml:space="preserve"> (Poland)</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Jung-Kwan </w:t>
      </w:r>
      <w:proofErr w:type="spellStart"/>
      <w:r w:rsidRPr="00DF4FEF">
        <w:rPr>
          <w:rFonts w:ascii="Times New Roman" w:hAnsi="Times New Roman" w:cs="Times New Roman"/>
          <w:b w:val="0"/>
          <w:sz w:val="20"/>
          <w:szCs w:val="20"/>
        </w:rPr>
        <w:t>Seo</w:t>
      </w:r>
      <w:proofErr w:type="spellEnd"/>
      <w:r w:rsidRPr="00DF4FEF">
        <w:rPr>
          <w:rFonts w:ascii="Times New Roman" w:hAnsi="Times New Roman" w:cs="Times New Roman"/>
          <w:b w:val="0"/>
          <w:sz w:val="20"/>
          <w:szCs w:val="20"/>
        </w:rPr>
        <w:t xml:space="preserve"> (Republic of Korea)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de-AT"/>
        </w:rPr>
      </w:pPr>
      <w:r w:rsidRPr="00DF4FEF">
        <w:rPr>
          <w:rFonts w:ascii="Times New Roman" w:hAnsi="Times New Roman" w:cs="Times New Roman"/>
          <w:b w:val="0"/>
          <w:sz w:val="20"/>
          <w:szCs w:val="20"/>
          <w:lang w:val="de-AT"/>
        </w:rPr>
        <w:t>Mr. Jürgen Helbig (Spain)</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de-AT"/>
        </w:rPr>
      </w:pPr>
      <w:r w:rsidRPr="00DF4FEF">
        <w:rPr>
          <w:rFonts w:ascii="Times New Roman" w:hAnsi="Times New Roman" w:cs="Times New Roman"/>
          <w:b w:val="0"/>
          <w:sz w:val="20"/>
          <w:szCs w:val="20"/>
          <w:lang w:val="de-AT"/>
        </w:rPr>
        <w:t>Ms. Sarah Maillefer (Switzerland)</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w:t>
      </w:r>
      <w:proofErr w:type="spellStart"/>
      <w:r w:rsidRPr="00DF4FEF">
        <w:rPr>
          <w:rFonts w:ascii="Times New Roman" w:hAnsi="Times New Roman" w:cs="Times New Roman"/>
          <w:b w:val="0"/>
          <w:sz w:val="20"/>
          <w:szCs w:val="20"/>
        </w:rPr>
        <w:t>Nuansri</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Tayaputch</w:t>
      </w:r>
      <w:proofErr w:type="spellEnd"/>
      <w:r w:rsidRPr="00DF4FEF">
        <w:rPr>
          <w:rFonts w:ascii="Times New Roman" w:hAnsi="Times New Roman" w:cs="Times New Roman"/>
          <w:b w:val="0"/>
          <w:sz w:val="20"/>
          <w:szCs w:val="20"/>
        </w:rPr>
        <w:t xml:space="preserve"> (Thailand)</w:t>
      </w:r>
    </w:p>
    <w:p w:rsidR="00DF4FEF" w:rsidRPr="00DF4FEF" w:rsidRDefault="00DF4FEF" w:rsidP="00DF4FEF">
      <w:pPr>
        <w:pStyle w:val="ZZAnxtitle"/>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w:t>
      </w:r>
      <w:proofErr w:type="spellStart"/>
      <w:r w:rsidRPr="00DF4FEF">
        <w:rPr>
          <w:rFonts w:ascii="Times New Roman" w:hAnsi="Times New Roman" w:cs="Times New Roman"/>
          <w:b w:val="0"/>
          <w:sz w:val="20"/>
          <w:szCs w:val="20"/>
        </w:rPr>
        <w:t>N'Ladon</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Nadjo</w:t>
      </w:r>
      <w:proofErr w:type="spellEnd"/>
      <w:r w:rsidRPr="00DF4FEF">
        <w:rPr>
          <w:rFonts w:ascii="Times New Roman" w:hAnsi="Times New Roman" w:cs="Times New Roman"/>
          <w:b w:val="0"/>
          <w:sz w:val="20"/>
          <w:szCs w:val="20"/>
        </w:rPr>
        <w:t xml:space="preserve"> (Togo)</w:t>
      </w:r>
    </w:p>
    <w:p w:rsidR="00DF4FEF" w:rsidRPr="00DF4FEF" w:rsidRDefault="00DF4FEF" w:rsidP="00DF4FEF">
      <w:pPr>
        <w:pStyle w:val="ZZAnxtitle"/>
        <w:spacing w:before="120" w:after="0"/>
        <w:rPr>
          <w:rFonts w:ascii="Times New Roman" w:hAnsi="Times New Roman" w:cs="Times New Roman"/>
          <w:sz w:val="24"/>
          <w:szCs w:val="24"/>
        </w:rPr>
      </w:pPr>
      <w:r w:rsidRPr="00DF4FEF">
        <w:rPr>
          <w:rFonts w:ascii="Times New Roman" w:hAnsi="Times New Roman" w:cs="Times New Roman"/>
          <w:sz w:val="24"/>
          <w:szCs w:val="24"/>
        </w:rPr>
        <w:t xml:space="preserve">Drafting group on </w:t>
      </w:r>
      <w:proofErr w:type="spellStart"/>
      <w:r w:rsidRPr="00DF4FEF">
        <w:rPr>
          <w:rFonts w:ascii="Times New Roman" w:hAnsi="Times New Roman" w:cs="Times New Roman"/>
          <w:sz w:val="24"/>
          <w:szCs w:val="24"/>
        </w:rPr>
        <w:t>carbosulfan</w:t>
      </w:r>
      <w:proofErr w:type="spellEnd"/>
    </w:p>
    <w:p w:rsidR="00DF4FEF" w:rsidRPr="00DF4FEF" w:rsidRDefault="00DF4FEF" w:rsidP="00DF4FEF">
      <w:pPr>
        <w:tabs>
          <w:tab w:val="left" w:pos="2700"/>
        </w:tabs>
        <w:spacing w:before="120"/>
        <w:ind w:left="624" w:firstLine="624"/>
      </w:pPr>
      <w:r w:rsidRPr="00DF4FEF">
        <w:t xml:space="preserve">Chair: </w:t>
      </w:r>
      <w:r w:rsidRPr="00DF4FEF">
        <w:tab/>
      </w:r>
      <w:r w:rsidRPr="00DF4FEF">
        <w:tab/>
      </w:r>
      <w:r w:rsidRPr="00DF4FEF">
        <w:tab/>
        <w:t>Mr. Jeffery R. Goodman (Canada)</w:t>
      </w:r>
    </w:p>
    <w:p w:rsidR="00DF4FEF" w:rsidRPr="00DF4FEF" w:rsidRDefault="00DF4FEF" w:rsidP="00DF4FEF">
      <w:pPr>
        <w:tabs>
          <w:tab w:val="left" w:pos="2700"/>
        </w:tabs>
        <w:ind w:left="1247"/>
        <w:rPr>
          <w:lang w:val="fr-CH"/>
        </w:rPr>
      </w:pPr>
      <w:r w:rsidRPr="00DF4FEF">
        <w:rPr>
          <w:lang w:val="fr-CH"/>
        </w:rPr>
        <w:t>Vice-Chair:</w:t>
      </w:r>
      <w:r w:rsidRPr="00DF4FEF">
        <w:rPr>
          <w:lang w:val="fr-CH"/>
        </w:rPr>
        <w:tab/>
      </w:r>
      <w:r w:rsidRPr="00DF4FEF">
        <w:rPr>
          <w:lang w:val="fr-CH"/>
        </w:rPr>
        <w:tab/>
        <w:t xml:space="preserve">Ms. </w:t>
      </w:r>
      <w:proofErr w:type="spellStart"/>
      <w:r w:rsidRPr="00DF4FEF">
        <w:rPr>
          <w:lang w:val="fr-CH"/>
        </w:rPr>
        <w:t>Parvoleta</w:t>
      </w:r>
      <w:proofErr w:type="spellEnd"/>
      <w:r w:rsidRPr="00DF4FEF">
        <w:rPr>
          <w:lang w:val="fr-CH"/>
        </w:rPr>
        <w:t xml:space="preserve"> </w:t>
      </w:r>
      <w:proofErr w:type="spellStart"/>
      <w:r w:rsidRPr="00DF4FEF">
        <w:rPr>
          <w:lang w:val="fr-CH"/>
        </w:rPr>
        <w:t>Angelova</w:t>
      </w:r>
      <w:proofErr w:type="spellEnd"/>
      <w:r w:rsidRPr="00DF4FEF">
        <w:rPr>
          <w:lang w:val="fr-CH"/>
        </w:rPr>
        <w:t xml:space="preserve"> </w:t>
      </w:r>
      <w:proofErr w:type="spellStart"/>
      <w:r w:rsidRPr="00DF4FEF">
        <w:rPr>
          <w:lang w:val="fr-CH"/>
        </w:rPr>
        <w:t>Luleva</w:t>
      </w:r>
      <w:proofErr w:type="spellEnd"/>
      <w:r w:rsidRPr="00DF4FEF">
        <w:rPr>
          <w:lang w:val="fr-CH"/>
        </w:rPr>
        <w:t xml:space="preserve"> (</w:t>
      </w:r>
      <w:proofErr w:type="spellStart"/>
      <w:r w:rsidRPr="00DF4FEF">
        <w:rPr>
          <w:lang w:val="fr-CH"/>
        </w:rPr>
        <w:t>Bulgaria</w:t>
      </w:r>
      <w:proofErr w:type="spellEnd"/>
      <w:r w:rsidRPr="00DF4FEF">
        <w:rPr>
          <w:lang w:val="fr-CH"/>
        </w:rPr>
        <w:t>)</w:t>
      </w:r>
    </w:p>
    <w:p w:rsidR="00DF4FEF" w:rsidRPr="00DF4FEF" w:rsidRDefault="00DF4FEF" w:rsidP="00DF4FEF">
      <w:pPr>
        <w:tabs>
          <w:tab w:val="left" w:pos="2700"/>
        </w:tabs>
        <w:spacing w:before="120"/>
        <w:ind w:left="624" w:firstLine="624"/>
      </w:pPr>
      <w:r w:rsidRPr="00DF4FEF">
        <w:t>Members:</w:t>
      </w:r>
      <w:r w:rsidRPr="00DF4FEF">
        <w:tab/>
      </w:r>
      <w:r w:rsidRPr="00DF4FEF">
        <w:tab/>
        <w:t>Mr. Jack Holland (Australia)</w:t>
      </w:r>
    </w:p>
    <w:p w:rsidR="00DF4FEF" w:rsidRPr="00DF4FEF" w:rsidRDefault="00DF4FEF" w:rsidP="00DF4FEF">
      <w:pPr>
        <w:tabs>
          <w:tab w:val="left" w:pos="2700"/>
        </w:tabs>
        <w:ind w:left="2700"/>
        <w:rPr>
          <w:lang w:val="es-ES"/>
        </w:rPr>
      </w:pPr>
      <w:r w:rsidRPr="00DF4FEF">
        <w:rPr>
          <w:lang w:val="es-ES"/>
        </w:rPr>
        <w:t xml:space="preserve">Ms. </w:t>
      </w:r>
      <w:proofErr w:type="spellStart"/>
      <w:r w:rsidRPr="00DF4FEF">
        <w:rPr>
          <w:lang w:val="es-ES"/>
        </w:rPr>
        <w:t>Jinye</w:t>
      </w:r>
      <w:proofErr w:type="spellEnd"/>
      <w:r w:rsidRPr="00DF4FEF">
        <w:rPr>
          <w:lang w:val="es-ES"/>
        </w:rPr>
        <w:t xml:space="preserve"> </w:t>
      </w:r>
      <w:proofErr w:type="spellStart"/>
      <w:r w:rsidRPr="00DF4FEF">
        <w:rPr>
          <w:lang w:val="es-ES"/>
        </w:rPr>
        <w:t>Sun</w:t>
      </w:r>
      <w:proofErr w:type="spellEnd"/>
      <w:r w:rsidRPr="00DF4FEF">
        <w:rPr>
          <w:lang w:val="es-ES"/>
        </w:rPr>
        <w:t xml:space="preserve"> (China)</w:t>
      </w:r>
    </w:p>
    <w:p w:rsidR="00DF4FEF" w:rsidRPr="00DF4FEF" w:rsidRDefault="00DF4FEF" w:rsidP="00DF4FEF">
      <w:pPr>
        <w:ind w:left="2700"/>
        <w:rPr>
          <w:lang w:val="es-ES"/>
        </w:rPr>
      </w:pPr>
      <w:r w:rsidRPr="00DF4FEF">
        <w:rPr>
          <w:lang w:val="es-ES"/>
        </w:rPr>
        <w:t>Ms. Elsa Ferreras (</w:t>
      </w:r>
      <w:proofErr w:type="spellStart"/>
      <w:r w:rsidRPr="00DF4FEF">
        <w:rPr>
          <w:lang w:val="es-ES"/>
        </w:rPr>
        <w:t>Dominican</w:t>
      </w:r>
      <w:proofErr w:type="spellEnd"/>
      <w:r w:rsidRPr="00DF4FEF">
        <w:rPr>
          <w:lang w:val="es-ES"/>
        </w:rPr>
        <w:t xml:space="preserve"> </w:t>
      </w:r>
      <w:proofErr w:type="spellStart"/>
      <w:r w:rsidRPr="00DF4FEF">
        <w:rPr>
          <w:lang w:val="es-ES"/>
        </w:rPr>
        <w:t>Republic</w:t>
      </w:r>
      <w:proofErr w:type="spellEnd"/>
      <w:r w:rsidRPr="00DF4FEF">
        <w:rPr>
          <w:lang w:val="es-ES"/>
        </w:rPr>
        <w:t>)</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Mr. Omar S. Bah (The Gambia)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es-ES"/>
        </w:rPr>
      </w:pPr>
      <w:r w:rsidRPr="00DF4FEF">
        <w:rPr>
          <w:rFonts w:ascii="Times New Roman" w:hAnsi="Times New Roman" w:cs="Times New Roman"/>
          <w:b w:val="0"/>
          <w:sz w:val="20"/>
          <w:szCs w:val="20"/>
          <w:lang w:val="es-ES"/>
        </w:rPr>
        <w:t xml:space="preserve">Ms. </w:t>
      </w:r>
      <w:proofErr w:type="spellStart"/>
      <w:r w:rsidRPr="00DF4FEF">
        <w:rPr>
          <w:rFonts w:ascii="Times New Roman" w:hAnsi="Times New Roman" w:cs="Times New Roman"/>
          <w:b w:val="0"/>
          <w:sz w:val="20"/>
          <w:szCs w:val="20"/>
          <w:lang w:val="es-ES"/>
        </w:rPr>
        <w:t>Mirijam</w:t>
      </w:r>
      <w:proofErr w:type="spellEnd"/>
      <w:r w:rsidRPr="00DF4FEF">
        <w:rPr>
          <w:rFonts w:ascii="Times New Roman" w:hAnsi="Times New Roman" w:cs="Times New Roman"/>
          <w:b w:val="0"/>
          <w:sz w:val="20"/>
          <w:szCs w:val="20"/>
          <w:lang w:val="es-ES"/>
        </w:rPr>
        <w:t xml:space="preserve"> </w:t>
      </w:r>
      <w:proofErr w:type="spellStart"/>
      <w:r w:rsidRPr="00DF4FEF">
        <w:rPr>
          <w:rFonts w:ascii="Times New Roman" w:hAnsi="Times New Roman" w:cs="Times New Roman"/>
          <w:b w:val="0"/>
          <w:sz w:val="20"/>
          <w:szCs w:val="20"/>
          <w:lang w:val="es-ES"/>
        </w:rPr>
        <w:t>Seng</w:t>
      </w:r>
      <w:proofErr w:type="spellEnd"/>
      <w:r w:rsidRPr="00DF4FEF">
        <w:rPr>
          <w:rFonts w:ascii="Times New Roman" w:hAnsi="Times New Roman" w:cs="Times New Roman"/>
          <w:b w:val="0"/>
          <w:sz w:val="20"/>
          <w:szCs w:val="20"/>
          <w:lang w:val="es-ES"/>
        </w:rPr>
        <w:t xml:space="preserve"> (</w:t>
      </w:r>
      <w:proofErr w:type="spellStart"/>
      <w:r w:rsidRPr="00DF4FEF">
        <w:rPr>
          <w:rFonts w:ascii="Times New Roman" w:hAnsi="Times New Roman" w:cs="Times New Roman"/>
          <w:b w:val="0"/>
          <w:sz w:val="20"/>
          <w:szCs w:val="20"/>
          <w:lang w:val="es-ES"/>
        </w:rPr>
        <w:t>Germany</w:t>
      </w:r>
      <w:proofErr w:type="spellEnd"/>
      <w:r w:rsidRPr="00DF4FEF">
        <w:rPr>
          <w:rFonts w:ascii="Times New Roman" w:hAnsi="Times New Roman" w:cs="Times New Roman"/>
          <w:b w:val="0"/>
          <w:sz w:val="20"/>
          <w:szCs w:val="20"/>
          <w:lang w:val="es-ES"/>
        </w:rPr>
        <w:t>)</w:t>
      </w:r>
    </w:p>
    <w:p w:rsidR="00DF4FEF" w:rsidRPr="00DF4FEF" w:rsidRDefault="00DF4FEF" w:rsidP="00DF4FEF">
      <w:pPr>
        <w:ind w:left="2700"/>
        <w:rPr>
          <w:lang w:val="es-ES"/>
        </w:rPr>
      </w:pPr>
      <w:r w:rsidRPr="00DF4FEF">
        <w:rPr>
          <w:lang w:val="es-ES"/>
        </w:rPr>
        <w:t>Ms. Ana Gabriela Ramírez Salgado (Honduras)</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Ram </w:t>
      </w:r>
      <w:proofErr w:type="spellStart"/>
      <w:r w:rsidRPr="00DF4FEF">
        <w:rPr>
          <w:rFonts w:ascii="Times New Roman" w:hAnsi="Times New Roman" w:cs="Times New Roman"/>
          <w:b w:val="0"/>
          <w:sz w:val="20"/>
          <w:szCs w:val="20"/>
        </w:rPr>
        <w:t>Niwas</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Jindal</w:t>
      </w:r>
      <w:proofErr w:type="spellEnd"/>
      <w:r w:rsidRPr="00DF4FEF">
        <w:rPr>
          <w:rFonts w:ascii="Times New Roman" w:hAnsi="Times New Roman" w:cs="Times New Roman"/>
          <w:b w:val="0"/>
          <w:sz w:val="20"/>
          <w:szCs w:val="20"/>
        </w:rPr>
        <w:t xml:space="preserve"> (India)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w:t>
      </w:r>
      <w:proofErr w:type="spellStart"/>
      <w:r w:rsidRPr="00DF4FEF">
        <w:rPr>
          <w:rFonts w:ascii="Times New Roman" w:hAnsi="Times New Roman" w:cs="Times New Roman"/>
          <w:b w:val="0"/>
          <w:sz w:val="20"/>
          <w:szCs w:val="20"/>
        </w:rPr>
        <w:t>Mohd</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Fauzan</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Yunus</w:t>
      </w:r>
      <w:proofErr w:type="spellEnd"/>
      <w:r w:rsidRPr="00DF4FEF">
        <w:rPr>
          <w:rFonts w:ascii="Times New Roman" w:hAnsi="Times New Roman" w:cs="Times New Roman"/>
          <w:b w:val="0"/>
          <w:sz w:val="20"/>
          <w:szCs w:val="20"/>
        </w:rPr>
        <w:t xml:space="preserve"> (Malaysia)</w:t>
      </w:r>
    </w:p>
    <w:p w:rsidR="00DF4FEF" w:rsidRPr="00DF4FEF" w:rsidRDefault="00DF4FEF" w:rsidP="00DF4FEF">
      <w:pPr>
        <w:ind w:left="2700"/>
      </w:pPr>
      <w:r w:rsidRPr="00DF4FEF">
        <w:t xml:space="preserve">Mr. </w:t>
      </w:r>
      <w:proofErr w:type="spellStart"/>
      <w:r w:rsidRPr="00DF4FEF">
        <w:t>Gaoussou</w:t>
      </w:r>
      <w:proofErr w:type="spellEnd"/>
      <w:r w:rsidRPr="00DF4FEF">
        <w:t xml:space="preserve"> </w:t>
      </w:r>
      <w:proofErr w:type="spellStart"/>
      <w:r w:rsidRPr="00DF4FEF">
        <w:t>Kanouté</w:t>
      </w:r>
      <w:proofErr w:type="spellEnd"/>
      <w:r w:rsidRPr="00DF4FEF">
        <w:t xml:space="preserve"> (Mali)</w:t>
      </w:r>
    </w:p>
    <w:p w:rsidR="00DF4FEF" w:rsidRPr="00DF4FEF" w:rsidRDefault="00DF4FEF" w:rsidP="00DF4FEF">
      <w:pPr>
        <w:ind w:left="2700"/>
      </w:pPr>
      <w:r w:rsidRPr="00DF4FEF">
        <w:t xml:space="preserve">Ms. </w:t>
      </w:r>
      <w:proofErr w:type="spellStart"/>
      <w:r w:rsidRPr="00DF4FEF">
        <w:t>Amal</w:t>
      </w:r>
      <w:proofErr w:type="spellEnd"/>
      <w:r w:rsidRPr="00DF4FEF">
        <w:t xml:space="preserve"> </w:t>
      </w:r>
      <w:proofErr w:type="spellStart"/>
      <w:r w:rsidRPr="00DF4FEF">
        <w:t>Lemsioui</w:t>
      </w:r>
      <w:proofErr w:type="spellEnd"/>
      <w:r w:rsidRPr="00DF4FEF">
        <w:t xml:space="preserve"> (Morocco)</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Magdalena </w:t>
      </w:r>
      <w:proofErr w:type="spellStart"/>
      <w:r w:rsidRPr="00DF4FEF">
        <w:rPr>
          <w:rFonts w:ascii="Times New Roman" w:hAnsi="Times New Roman" w:cs="Times New Roman"/>
          <w:b w:val="0"/>
          <w:sz w:val="20"/>
          <w:szCs w:val="20"/>
        </w:rPr>
        <w:t>Frydrych</w:t>
      </w:r>
      <w:proofErr w:type="spellEnd"/>
      <w:r w:rsidRPr="00DF4FEF">
        <w:rPr>
          <w:rFonts w:ascii="Times New Roman" w:hAnsi="Times New Roman" w:cs="Times New Roman"/>
          <w:b w:val="0"/>
          <w:sz w:val="20"/>
          <w:szCs w:val="20"/>
        </w:rPr>
        <w:t xml:space="preserve"> (Poland)</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Jung-Kwan </w:t>
      </w:r>
      <w:proofErr w:type="spellStart"/>
      <w:r w:rsidRPr="00DF4FEF">
        <w:rPr>
          <w:rFonts w:ascii="Times New Roman" w:hAnsi="Times New Roman" w:cs="Times New Roman"/>
          <w:b w:val="0"/>
          <w:sz w:val="20"/>
          <w:szCs w:val="20"/>
        </w:rPr>
        <w:t>Seo</w:t>
      </w:r>
      <w:proofErr w:type="spellEnd"/>
      <w:r w:rsidRPr="00DF4FEF">
        <w:rPr>
          <w:rFonts w:ascii="Times New Roman" w:hAnsi="Times New Roman" w:cs="Times New Roman"/>
          <w:b w:val="0"/>
          <w:sz w:val="20"/>
          <w:szCs w:val="20"/>
        </w:rPr>
        <w:t xml:space="preserve"> (Republic of Korea)</w:t>
      </w:r>
    </w:p>
    <w:p w:rsidR="00DF4FEF" w:rsidRPr="00DF4FEF" w:rsidRDefault="00DF4FEF" w:rsidP="00DF4FEF">
      <w:pPr>
        <w:ind w:left="2700"/>
      </w:pPr>
      <w:r w:rsidRPr="00DF4FEF">
        <w:t xml:space="preserve">Ms. Tatiana </w:t>
      </w:r>
      <w:proofErr w:type="spellStart"/>
      <w:r w:rsidRPr="00DF4FEF">
        <w:t>Tugui</w:t>
      </w:r>
      <w:proofErr w:type="spellEnd"/>
      <w:r w:rsidRPr="00DF4FEF">
        <w:t xml:space="preserve"> (Republic of Moldova)</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de-AT"/>
        </w:rPr>
      </w:pPr>
      <w:r w:rsidRPr="00DF4FEF">
        <w:rPr>
          <w:rFonts w:ascii="Times New Roman" w:hAnsi="Times New Roman" w:cs="Times New Roman"/>
          <w:b w:val="0"/>
          <w:sz w:val="20"/>
          <w:szCs w:val="20"/>
          <w:lang w:val="de-AT"/>
        </w:rPr>
        <w:t>Mr. Jürgen Helbig (Spain)</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lang w:val="de-AT"/>
        </w:rPr>
      </w:pPr>
      <w:r w:rsidRPr="00DF4FEF">
        <w:rPr>
          <w:rFonts w:ascii="Times New Roman" w:hAnsi="Times New Roman" w:cs="Times New Roman"/>
          <w:b w:val="0"/>
          <w:sz w:val="20"/>
          <w:szCs w:val="20"/>
          <w:lang w:val="de-AT"/>
        </w:rPr>
        <w:t>Ms. Sarah Maillefer (Switzerland)</w:t>
      </w:r>
    </w:p>
    <w:p w:rsidR="00DF4FEF" w:rsidRPr="00DF4FEF" w:rsidRDefault="00DF4FEF" w:rsidP="00DF4FEF">
      <w:pPr>
        <w:pStyle w:val="ZZAnxtitle"/>
        <w:tabs>
          <w:tab w:val="clear" w:pos="1247"/>
          <w:tab w:val="clear" w:pos="1814"/>
          <w:tab w:val="clear" w:pos="2381"/>
          <w:tab w:val="clear" w:pos="2948"/>
          <w:tab w:val="clear" w:pos="3515"/>
          <w:tab w:val="left" w:pos="2700"/>
        </w:tabs>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Ms. </w:t>
      </w:r>
      <w:proofErr w:type="spellStart"/>
      <w:r w:rsidRPr="00DF4FEF">
        <w:rPr>
          <w:rFonts w:ascii="Times New Roman" w:hAnsi="Times New Roman" w:cs="Times New Roman"/>
          <w:b w:val="0"/>
          <w:sz w:val="20"/>
          <w:szCs w:val="20"/>
        </w:rPr>
        <w:t>Nuansri</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Tayaputch</w:t>
      </w:r>
      <w:proofErr w:type="spellEnd"/>
      <w:r w:rsidRPr="00DF4FEF">
        <w:rPr>
          <w:rFonts w:ascii="Times New Roman" w:hAnsi="Times New Roman" w:cs="Times New Roman"/>
          <w:b w:val="0"/>
          <w:sz w:val="20"/>
          <w:szCs w:val="20"/>
        </w:rPr>
        <w:t xml:space="preserve"> (Thailand)</w:t>
      </w:r>
    </w:p>
    <w:p w:rsidR="00DF4FEF" w:rsidRPr="00DF4FEF" w:rsidRDefault="00DF4FEF" w:rsidP="00DF4FEF">
      <w:pPr>
        <w:pStyle w:val="ZZAnxtitle"/>
        <w:spacing w:before="0" w:after="0"/>
        <w:ind w:left="2700"/>
        <w:rPr>
          <w:rFonts w:ascii="Times New Roman" w:hAnsi="Times New Roman" w:cs="Times New Roman"/>
          <w:b w:val="0"/>
          <w:sz w:val="20"/>
          <w:szCs w:val="20"/>
        </w:rPr>
      </w:pPr>
      <w:r w:rsidRPr="00DF4FEF">
        <w:rPr>
          <w:rFonts w:ascii="Times New Roman" w:hAnsi="Times New Roman" w:cs="Times New Roman"/>
          <w:b w:val="0"/>
          <w:sz w:val="20"/>
          <w:szCs w:val="20"/>
        </w:rPr>
        <w:t xml:space="preserve">Mr. </w:t>
      </w:r>
      <w:proofErr w:type="spellStart"/>
      <w:r w:rsidRPr="00DF4FEF">
        <w:rPr>
          <w:rFonts w:ascii="Times New Roman" w:hAnsi="Times New Roman" w:cs="Times New Roman"/>
          <w:b w:val="0"/>
          <w:sz w:val="20"/>
          <w:szCs w:val="20"/>
        </w:rPr>
        <w:t>N'Ladon</w:t>
      </w:r>
      <w:proofErr w:type="spellEnd"/>
      <w:r w:rsidRPr="00DF4FEF">
        <w:rPr>
          <w:rFonts w:ascii="Times New Roman" w:hAnsi="Times New Roman" w:cs="Times New Roman"/>
          <w:b w:val="0"/>
          <w:sz w:val="20"/>
          <w:szCs w:val="20"/>
        </w:rPr>
        <w:t xml:space="preserve"> </w:t>
      </w:r>
      <w:proofErr w:type="spellStart"/>
      <w:r w:rsidRPr="00DF4FEF">
        <w:rPr>
          <w:rFonts w:ascii="Times New Roman" w:hAnsi="Times New Roman" w:cs="Times New Roman"/>
          <w:b w:val="0"/>
          <w:sz w:val="20"/>
          <w:szCs w:val="20"/>
        </w:rPr>
        <w:t>Nadjo</w:t>
      </w:r>
      <w:proofErr w:type="spellEnd"/>
      <w:r w:rsidRPr="00DF4FEF">
        <w:rPr>
          <w:rFonts w:ascii="Times New Roman" w:hAnsi="Times New Roman" w:cs="Times New Roman"/>
          <w:b w:val="0"/>
          <w:sz w:val="20"/>
          <w:szCs w:val="20"/>
        </w:rPr>
        <w:t xml:space="preserve"> (Togo)</w:t>
      </w:r>
    </w:p>
    <w:p w:rsidR="00DF4FEF" w:rsidRPr="00425957" w:rsidRDefault="00DF4FEF" w:rsidP="00DF4FEF">
      <w:pPr>
        <w:pStyle w:val="ZZAnxheader"/>
        <w:rPr>
          <w:lang w:val="en-US"/>
        </w:rPr>
      </w:pPr>
      <w:r w:rsidRPr="00DF4FEF">
        <w:br w:type="page"/>
      </w:r>
      <w:r w:rsidRPr="00425957">
        <w:rPr>
          <w:lang w:val="en-US"/>
        </w:rPr>
        <w:lastRenderedPageBreak/>
        <w:t>Annex II</w:t>
      </w:r>
      <w:r>
        <w:rPr>
          <w:lang w:val="en-US"/>
        </w:rPr>
        <w:t>I</w:t>
      </w:r>
    </w:p>
    <w:p w:rsidR="00DF4FEF" w:rsidRPr="00DF4FEF" w:rsidRDefault="00DF4FEF" w:rsidP="00DF4FEF">
      <w:pPr>
        <w:pStyle w:val="ZZAnxtitle"/>
        <w:rPr>
          <w:rFonts w:ascii="Times New Roman" w:hAnsi="Times New Roman" w:cs="Times New Roman"/>
        </w:rPr>
      </w:pPr>
      <w:proofErr w:type="spellStart"/>
      <w:r w:rsidRPr="00DF4FEF">
        <w:rPr>
          <w:rFonts w:ascii="Times New Roman" w:hAnsi="Times New Roman" w:cs="Times New Roman"/>
        </w:rPr>
        <w:t>Workplan</w:t>
      </w:r>
      <w:proofErr w:type="spellEnd"/>
      <w:r w:rsidRPr="00DF4FEF">
        <w:rPr>
          <w:rFonts w:ascii="Times New Roman" w:hAnsi="Times New Roman" w:cs="Times New Roman"/>
        </w:rPr>
        <w:t xml:space="preserve"> for the preparation of draft decision guidance documents</w:t>
      </w:r>
    </w:p>
    <w:tbl>
      <w:tblPr>
        <w:tblW w:w="8160" w:type="dxa"/>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29"/>
        <w:gridCol w:w="2031"/>
        <w:gridCol w:w="1800"/>
      </w:tblGrid>
      <w:tr w:rsidR="00DF4FEF" w:rsidRPr="0070716F" w:rsidTr="00855551">
        <w:trPr>
          <w:trHeight w:val="415"/>
          <w:tblHeader/>
        </w:trPr>
        <w:tc>
          <w:tcPr>
            <w:tcW w:w="4329" w:type="dxa"/>
            <w:shd w:val="clear" w:color="auto" w:fill="D9D9D9"/>
            <w:vAlign w:val="center"/>
          </w:tcPr>
          <w:p w:rsidR="00DF4FEF" w:rsidRPr="0070716F" w:rsidRDefault="00DF4FEF" w:rsidP="00855551">
            <w:pPr>
              <w:keepNext/>
              <w:keepLines/>
              <w:snapToGrid w:val="0"/>
              <w:spacing w:before="40" w:after="40"/>
              <w:rPr>
                <w:b/>
              </w:rPr>
            </w:pPr>
            <w:r w:rsidRPr="0070716F">
              <w:rPr>
                <w:b/>
              </w:rPr>
              <w:t>Tasks to be carried out</w:t>
            </w:r>
          </w:p>
        </w:tc>
        <w:tc>
          <w:tcPr>
            <w:tcW w:w="2031" w:type="dxa"/>
            <w:shd w:val="clear" w:color="auto" w:fill="D9D9D9"/>
            <w:vAlign w:val="center"/>
          </w:tcPr>
          <w:p w:rsidR="00DF4FEF" w:rsidRPr="0070716F" w:rsidRDefault="00DF4FEF" w:rsidP="00855551">
            <w:pPr>
              <w:keepNext/>
              <w:keepLines/>
              <w:snapToGrid w:val="0"/>
              <w:spacing w:before="40" w:after="40"/>
              <w:jc w:val="center"/>
              <w:rPr>
                <w:b/>
              </w:rPr>
            </w:pPr>
            <w:r w:rsidRPr="0070716F">
              <w:rPr>
                <w:b/>
              </w:rPr>
              <w:t>Responsible persons</w:t>
            </w:r>
          </w:p>
        </w:tc>
        <w:tc>
          <w:tcPr>
            <w:tcW w:w="1800" w:type="dxa"/>
            <w:shd w:val="clear" w:color="auto" w:fill="D9D9D9"/>
            <w:vAlign w:val="center"/>
          </w:tcPr>
          <w:p w:rsidR="00DF4FEF" w:rsidRPr="0070716F" w:rsidRDefault="00DF4FEF" w:rsidP="00855551">
            <w:pPr>
              <w:keepNext/>
              <w:keepLines/>
              <w:snapToGrid w:val="0"/>
              <w:spacing w:before="40" w:after="40"/>
              <w:jc w:val="center"/>
              <w:rPr>
                <w:b/>
              </w:rPr>
            </w:pPr>
            <w:r w:rsidRPr="0070716F">
              <w:rPr>
                <w:b/>
              </w:rPr>
              <w:t>Deadlines</w:t>
            </w:r>
          </w:p>
        </w:tc>
      </w:tr>
      <w:tr w:rsidR="00DF4FEF" w:rsidRPr="0070716F" w:rsidTr="00855551">
        <w:trPr>
          <w:trHeight w:val="20"/>
        </w:trPr>
        <w:tc>
          <w:tcPr>
            <w:tcW w:w="4329" w:type="dxa"/>
          </w:tcPr>
          <w:p w:rsidR="00DF4FEF" w:rsidRPr="0070716F" w:rsidRDefault="00DF4FEF" w:rsidP="00855551">
            <w:pPr>
              <w:keepNext/>
              <w:keepLines/>
              <w:snapToGrid w:val="0"/>
              <w:spacing w:before="40" w:after="40"/>
            </w:pPr>
            <w:r w:rsidRPr="0070716F">
              <w:t xml:space="preserve">Draft an internal proposal based on the information available to the Committee </w:t>
            </w:r>
          </w:p>
        </w:tc>
        <w:tc>
          <w:tcPr>
            <w:tcW w:w="2031" w:type="dxa"/>
          </w:tcPr>
          <w:p w:rsidR="00DF4FEF" w:rsidRPr="0070716F" w:rsidRDefault="00DF4FEF" w:rsidP="00855551">
            <w:pPr>
              <w:keepNext/>
              <w:keepLines/>
              <w:snapToGrid w:val="0"/>
              <w:spacing w:before="40" w:after="40"/>
            </w:pPr>
            <w:r w:rsidRPr="0070716F">
              <w:t>Chair</w:t>
            </w:r>
          </w:p>
          <w:p w:rsidR="00DF4FEF" w:rsidRPr="0070716F" w:rsidRDefault="00DF4FEF" w:rsidP="00855551">
            <w:pPr>
              <w:keepNext/>
              <w:keepLines/>
              <w:snapToGrid w:val="0"/>
              <w:spacing w:before="40" w:after="40"/>
            </w:pPr>
            <w:r>
              <w:t>Vice</w:t>
            </w:r>
            <w:r w:rsidRPr="0070716F">
              <w:t>-Chair</w:t>
            </w:r>
          </w:p>
        </w:tc>
        <w:tc>
          <w:tcPr>
            <w:tcW w:w="1800" w:type="dxa"/>
          </w:tcPr>
          <w:p w:rsidR="00DF4FEF" w:rsidRPr="0070716F" w:rsidRDefault="00DF4FEF" w:rsidP="00855551">
            <w:pPr>
              <w:keepNext/>
              <w:keepLines/>
              <w:spacing w:before="40" w:after="40"/>
            </w:pPr>
            <w:r w:rsidRPr="0070716F">
              <w:t>15 December 2015</w:t>
            </w:r>
          </w:p>
        </w:tc>
      </w:tr>
      <w:tr w:rsidR="00DF4FEF" w:rsidRPr="0070716F" w:rsidTr="00855551">
        <w:trPr>
          <w:trHeight w:val="20"/>
        </w:trPr>
        <w:tc>
          <w:tcPr>
            <w:tcW w:w="4329" w:type="dxa"/>
          </w:tcPr>
          <w:p w:rsidR="00DF4FEF" w:rsidRPr="0070716F" w:rsidRDefault="00DF4FEF" w:rsidP="00855551">
            <w:pPr>
              <w:keepNext/>
              <w:keepLines/>
              <w:snapToGrid w:val="0"/>
              <w:spacing w:before="40" w:after="40"/>
            </w:pPr>
            <w:r w:rsidRPr="0070716F">
              <w:t xml:space="preserve">Send </w:t>
            </w:r>
            <w:r>
              <w:t xml:space="preserve">the </w:t>
            </w:r>
            <w:r w:rsidRPr="0070716F">
              <w:t xml:space="preserve">draft internal proposal to </w:t>
            </w:r>
            <w:r>
              <w:t xml:space="preserve">the </w:t>
            </w:r>
            <w:r w:rsidRPr="0070716F">
              <w:t>drafting group members for comments via e-mail</w:t>
            </w:r>
          </w:p>
        </w:tc>
        <w:tc>
          <w:tcPr>
            <w:tcW w:w="2031" w:type="dxa"/>
          </w:tcPr>
          <w:p w:rsidR="00DF4FEF" w:rsidRPr="0070716F" w:rsidRDefault="00DF4FEF" w:rsidP="00855551">
            <w:pPr>
              <w:keepNext/>
              <w:keepLines/>
              <w:snapToGrid w:val="0"/>
              <w:spacing w:before="40" w:after="40"/>
            </w:pPr>
            <w:r w:rsidRPr="0070716F">
              <w:t>Chair</w:t>
            </w:r>
          </w:p>
          <w:p w:rsidR="00DF4FEF" w:rsidRPr="0070716F" w:rsidRDefault="00DF4FEF" w:rsidP="00855551">
            <w:pPr>
              <w:keepNext/>
              <w:keepLines/>
              <w:snapToGrid w:val="0"/>
              <w:spacing w:before="40" w:after="40"/>
            </w:pPr>
            <w:r>
              <w:t>Vice-</w:t>
            </w:r>
            <w:r w:rsidRPr="0070716F">
              <w:t>Chair</w:t>
            </w:r>
          </w:p>
        </w:tc>
        <w:tc>
          <w:tcPr>
            <w:tcW w:w="1800" w:type="dxa"/>
          </w:tcPr>
          <w:p w:rsidR="00DF4FEF" w:rsidRPr="0070716F" w:rsidRDefault="00DF4FEF" w:rsidP="00855551">
            <w:pPr>
              <w:keepNext/>
              <w:keepLines/>
              <w:spacing w:before="40" w:after="40"/>
            </w:pPr>
            <w:r w:rsidRPr="0070716F">
              <w:t>15 December 2015</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Replies</w:t>
            </w:r>
          </w:p>
        </w:tc>
        <w:tc>
          <w:tcPr>
            <w:tcW w:w="2031" w:type="dxa"/>
          </w:tcPr>
          <w:p w:rsidR="00DF4FEF" w:rsidRPr="0070716F" w:rsidRDefault="00DF4FEF" w:rsidP="00855551">
            <w:pPr>
              <w:snapToGrid w:val="0"/>
              <w:spacing w:before="40" w:after="40"/>
            </w:pPr>
            <w:r w:rsidRPr="0070716F">
              <w:t>Drafting group members</w:t>
            </w:r>
          </w:p>
        </w:tc>
        <w:tc>
          <w:tcPr>
            <w:tcW w:w="1800" w:type="dxa"/>
          </w:tcPr>
          <w:p w:rsidR="00DF4FEF" w:rsidRPr="0070716F" w:rsidRDefault="00DF4FEF" w:rsidP="00855551">
            <w:pPr>
              <w:spacing w:before="40" w:after="40"/>
            </w:pPr>
            <w:r w:rsidRPr="0070716F">
              <w:t>20 January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Update </w:t>
            </w:r>
            <w:r>
              <w:t xml:space="preserve">the </w:t>
            </w:r>
            <w:r w:rsidRPr="0070716F">
              <w:t>internal proposal based on comments from drafting group members</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 -Chair </w:t>
            </w:r>
          </w:p>
        </w:tc>
        <w:tc>
          <w:tcPr>
            <w:tcW w:w="1800" w:type="dxa"/>
          </w:tcPr>
          <w:p w:rsidR="00DF4FEF" w:rsidRPr="0070716F" w:rsidRDefault="00DF4FEF" w:rsidP="00855551">
            <w:pPr>
              <w:spacing w:before="40" w:after="40"/>
            </w:pPr>
            <w:r w:rsidRPr="0070716F">
              <w:t>20 February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Send </w:t>
            </w:r>
            <w:r>
              <w:t xml:space="preserve">the </w:t>
            </w:r>
            <w:r w:rsidRPr="0070716F">
              <w:t xml:space="preserve">updated internal proposal to </w:t>
            </w:r>
            <w:r>
              <w:t xml:space="preserve">the </w:t>
            </w:r>
            <w:r w:rsidRPr="0070716F">
              <w:t>Committee members and observers for comments via e-mail</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 -Chair </w:t>
            </w:r>
          </w:p>
        </w:tc>
        <w:tc>
          <w:tcPr>
            <w:tcW w:w="1800" w:type="dxa"/>
          </w:tcPr>
          <w:p w:rsidR="00DF4FEF" w:rsidRPr="0070716F" w:rsidRDefault="00DF4FEF" w:rsidP="00855551">
            <w:pPr>
              <w:spacing w:before="40" w:after="40"/>
            </w:pPr>
            <w:r w:rsidRPr="0070716F">
              <w:t>20 February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Replies</w:t>
            </w:r>
          </w:p>
        </w:tc>
        <w:tc>
          <w:tcPr>
            <w:tcW w:w="2031" w:type="dxa"/>
          </w:tcPr>
          <w:p w:rsidR="00DF4FEF" w:rsidRPr="0070716F" w:rsidRDefault="00DF4FEF" w:rsidP="00855551">
            <w:pPr>
              <w:snapToGrid w:val="0"/>
              <w:spacing w:before="40" w:after="40"/>
            </w:pPr>
            <w:r w:rsidRPr="0070716F">
              <w:t>Committee members and observers</w:t>
            </w:r>
          </w:p>
        </w:tc>
        <w:tc>
          <w:tcPr>
            <w:tcW w:w="1800" w:type="dxa"/>
          </w:tcPr>
          <w:p w:rsidR="00DF4FEF" w:rsidRPr="0070716F" w:rsidRDefault="00DF4FEF" w:rsidP="00855551">
            <w:pPr>
              <w:spacing w:before="40" w:after="40"/>
            </w:pPr>
            <w:r w:rsidRPr="0070716F">
              <w:t>31 March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Draft a decision guidance document based on the comments </w:t>
            </w:r>
            <w:r>
              <w:t>of</w:t>
            </w:r>
            <w:r w:rsidRPr="0070716F">
              <w:t xml:space="preserve"> </w:t>
            </w:r>
            <w:r>
              <w:t xml:space="preserve">the </w:t>
            </w:r>
            <w:r w:rsidRPr="0070716F">
              <w:t>Committee members and observers</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 -Chair </w:t>
            </w:r>
          </w:p>
        </w:tc>
        <w:tc>
          <w:tcPr>
            <w:tcW w:w="1800" w:type="dxa"/>
          </w:tcPr>
          <w:p w:rsidR="00DF4FEF" w:rsidRPr="0070716F" w:rsidRDefault="00DF4FEF" w:rsidP="00855551">
            <w:pPr>
              <w:spacing w:before="40" w:after="40"/>
            </w:pPr>
            <w:r w:rsidRPr="0070716F">
              <w:t>28 April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Send </w:t>
            </w:r>
            <w:r>
              <w:t xml:space="preserve">the </w:t>
            </w:r>
            <w:r w:rsidRPr="0070716F">
              <w:t xml:space="preserve">draft decision guidance document to </w:t>
            </w:r>
            <w:r>
              <w:t xml:space="preserve">the </w:t>
            </w:r>
            <w:r w:rsidRPr="0070716F">
              <w:t>drafting group members for comments via e-mail</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 -Chair </w:t>
            </w:r>
          </w:p>
        </w:tc>
        <w:tc>
          <w:tcPr>
            <w:tcW w:w="1800" w:type="dxa"/>
          </w:tcPr>
          <w:p w:rsidR="00DF4FEF" w:rsidRPr="0070716F" w:rsidRDefault="00DF4FEF" w:rsidP="00855551">
            <w:pPr>
              <w:spacing w:before="40" w:after="40"/>
            </w:pPr>
            <w:r w:rsidRPr="0070716F">
              <w:t>28 April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Replies</w:t>
            </w:r>
          </w:p>
        </w:tc>
        <w:tc>
          <w:tcPr>
            <w:tcW w:w="2031" w:type="dxa"/>
          </w:tcPr>
          <w:p w:rsidR="00DF4FEF" w:rsidRPr="0070716F" w:rsidRDefault="00DF4FEF" w:rsidP="00855551">
            <w:pPr>
              <w:snapToGrid w:val="0"/>
              <w:spacing w:before="40" w:after="40"/>
            </w:pPr>
            <w:r w:rsidRPr="0070716F">
              <w:t>Drafting group members</w:t>
            </w:r>
          </w:p>
        </w:tc>
        <w:tc>
          <w:tcPr>
            <w:tcW w:w="1800" w:type="dxa"/>
          </w:tcPr>
          <w:p w:rsidR="00DF4FEF" w:rsidRPr="0070716F" w:rsidRDefault="00DF4FEF" w:rsidP="00855551">
            <w:pPr>
              <w:spacing w:before="40" w:after="40"/>
            </w:pPr>
            <w:r w:rsidRPr="0070716F">
              <w:t>9 May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Finalize </w:t>
            </w:r>
            <w:r>
              <w:t xml:space="preserve">the </w:t>
            </w:r>
            <w:r w:rsidRPr="0070716F">
              <w:t>draft decision guidance document based on the comments of the drafting group</w:t>
            </w:r>
            <w:r>
              <w:t xml:space="preserve"> members</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 -Chair </w:t>
            </w:r>
          </w:p>
        </w:tc>
        <w:tc>
          <w:tcPr>
            <w:tcW w:w="1800" w:type="dxa"/>
          </w:tcPr>
          <w:p w:rsidR="00DF4FEF" w:rsidRPr="0070716F" w:rsidRDefault="00DF4FEF" w:rsidP="00855551">
            <w:pPr>
              <w:spacing w:before="40" w:after="40"/>
            </w:pPr>
            <w:r w:rsidRPr="0070716F">
              <w:t>30 May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Send </w:t>
            </w:r>
            <w:r>
              <w:t xml:space="preserve">the </w:t>
            </w:r>
            <w:r w:rsidRPr="0070716F">
              <w:t xml:space="preserve">draft decision guidance document to </w:t>
            </w:r>
            <w:r>
              <w:t xml:space="preserve">the </w:t>
            </w:r>
            <w:r w:rsidRPr="0070716F">
              <w:t>Secretariat</w:t>
            </w:r>
          </w:p>
        </w:tc>
        <w:tc>
          <w:tcPr>
            <w:tcW w:w="2031" w:type="dxa"/>
          </w:tcPr>
          <w:p w:rsidR="00DF4FEF" w:rsidRPr="0070716F" w:rsidRDefault="00DF4FEF" w:rsidP="00855551">
            <w:pPr>
              <w:snapToGrid w:val="0"/>
              <w:spacing w:before="40" w:after="40"/>
            </w:pPr>
            <w:r w:rsidRPr="0070716F">
              <w:t xml:space="preserve">Chair </w:t>
            </w:r>
          </w:p>
          <w:p w:rsidR="00DF4FEF" w:rsidRPr="0070716F" w:rsidRDefault="00DF4FEF" w:rsidP="00855551">
            <w:pPr>
              <w:snapToGrid w:val="0"/>
              <w:spacing w:before="40" w:after="40"/>
            </w:pPr>
            <w:r>
              <w:t>Vice</w:t>
            </w:r>
            <w:r w:rsidRPr="0070716F">
              <w:t xml:space="preserve">-Chair </w:t>
            </w:r>
          </w:p>
        </w:tc>
        <w:tc>
          <w:tcPr>
            <w:tcW w:w="1800" w:type="dxa"/>
          </w:tcPr>
          <w:p w:rsidR="00DF4FEF" w:rsidRPr="0070716F" w:rsidRDefault="00DF4FEF" w:rsidP="00855551">
            <w:pPr>
              <w:spacing w:before="40" w:after="40"/>
            </w:pPr>
            <w:r w:rsidRPr="0070716F">
              <w:t>30 May 2016</w:t>
            </w:r>
          </w:p>
        </w:tc>
      </w:tr>
      <w:tr w:rsidR="00DF4FEF" w:rsidRPr="0070716F" w:rsidTr="00855551">
        <w:trPr>
          <w:trHeight w:val="20"/>
        </w:trPr>
        <w:tc>
          <w:tcPr>
            <w:tcW w:w="4329" w:type="dxa"/>
          </w:tcPr>
          <w:p w:rsidR="00DF4FEF" w:rsidRPr="0070716F" w:rsidRDefault="00DF4FEF" w:rsidP="00855551">
            <w:pPr>
              <w:snapToGrid w:val="0"/>
              <w:spacing w:before="40" w:after="40"/>
            </w:pPr>
            <w:r w:rsidRPr="0070716F">
              <w:t xml:space="preserve">Present </w:t>
            </w:r>
            <w:r>
              <w:t xml:space="preserve">the </w:t>
            </w:r>
            <w:r w:rsidRPr="0070716F">
              <w:t xml:space="preserve">draft decision guidance document to the Committee at its </w:t>
            </w:r>
            <w:r>
              <w:t>twelfth</w:t>
            </w:r>
            <w:r w:rsidRPr="0070716F">
              <w:t xml:space="preserve"> meeting</w:t>
            </w:r>
          </w:p>
        </w:tc>
        <w:tc>
          <w:tcPr>
            <w:tcW w:w="2031" w:type="dxa"/>
          </w:tcPr>
          <w:p w:rsidR="00DF4FEF" w:rsidRPr="0070716F" w:rsidRDefault="00DF4FEF" w:rsidP="00855551">
            <w:pPr>
              <w:snapToGrid w:val="0"/>
              <w:spacing w:before="40" w:after="40"/>
            </w:pPr>
          </w:p>
        </w:tc>
        <w:tc>
          <w:tcPr>
            <w:tcW w:w="1800" w:type="dxa"/>
          </w:tcPr>
          <w:p w:rsidR="00DF4FEF" w:rsidRPr="0070716F" w:rsidRDefault="00DF4FEF" w:rsidP="00855551">
            <w:pPr>
              <w:spacing w:before="40" w:after="40"/>
            </w:pPr>
            <w:r w:rsidRPr="0070716F">
              <w:t>September 2016</w:t>
            </w:r>
          </w:p>
        </w:tc>
      </w:tr>
    </w:tbl>
    <w:p w:rsidR="00DF4FEF" w:rsidRPr="00BA572F" w:rsidRDefault="00DF4FEF" w:rsidP="00DF4FEF">
      <w:pPr>
        <w:pStyle w:val="Normal-pool"/>
      </w:pPr>
    </w:p>
    <w:tbl>
      <w:tblPr>
        <w:tblW w:w="0" w:type="auto"/>
        <w:jc w:val="right"/>
        <w:tblCellMar>
          <w:top w:w="28" w:type="dxa"/>
          <w:left w:w="17" w:type="dxa"/>
          <w:bottom w:w="28" w:type="dxa"/>
          <w:right w:w="17" w:type="dxa"/>
        </w:tblCellMar>
        <w:tblLook w:val="04A0"/>
      </w:tblPr>
      <w:tblGrid>
        <w:gridCol w:w="1921"/>
        <w:gridCol w:w="1921"/>
        <w:gridCol w:w="1922"/>
        <w:gridCol w:w="1923"/>
        <w:gridCol w:w="1923"/>
      </w:tblGrid>
      <w:tr w:rsidR="00DF4FEF" w:rsidTr="00855551">
        <w:trPr>
          <w:jc w:val="right"/>
        </w:trPr>
        <w:tc>
          <w:tcPr>
            <w:tcW w:w="1942" w:type="dxa"/>
            <w:shd w:val="clear" w:color="auto" w:fill="auto"/>
            <w:tcMar>
              <w:left w:w="57" w:type="dxa"/>
              <w:right w:w="57" w:type="dxa"/>
            </w:tcMar>
          </w:tcPr>
          <w:p w:rsidR="00DF4FEF" w:rsidRPr="00B9109D" w:rsidRDefault="00DF4FEF" w:rsidP="00855551">
            <w:pPr>
              <w:pStyle w:val="Normal-pool"/>
              <w:spacing w:before="520"/>
              <w:rPr>
                <w:sz w:val="18"/>
                <w:szCs w:val="18"/>
                <w:lang w:eastAsia="en-US"/>
              </w:rPr>
            </w:pPr>
          </w:p>
        </w:tc>
        <w:tc>
          <w:tcPr>
            <w:tcW w:w="1942" w:type="dxa"/>
            <w:shd w:val="clear" w:color="auto" w:fill="auto"/>
            <w:tcMar>
              <w:left w:w="57" w:type="dxa"/>
              <w:right w:w="57" w:type="dxa"/>
            </w:tcMar>
          </w:tcPr>
          <w:p w:rsidR="00DF4FEF" w:rsidRPr="00B9109D" w:rsidRDefault="00DF4FEF" w:rsidP="00855551">
            <w:pPr>
              <w:pStyle w:val="Normal-pool"/>
              <w:spacing w:before="520"/>
              <w:rPr>
                <w:sz w:val="18"/>
                <w:szCs w:val="18"/>
                <w:lang w:eastAsia="en-US"/>
              </w:rPr>
            </w:pPr>
          </w:p>
        </w:tc>
        <w:tc>
          <w:tcPr>
            <w:tcW w:w="1942" w:type="dxa"/>
            <w:tcBorders>
              <w:bottom w:val="single" w:sz="4" w:space="0" w:color="auto"/>
            </w:tcBorders>
            <w:shd w:val="clear" w:color="auto" w:fill="auto"/>
            <w:tcMar>
              <w:left w:w="57" w:type="dxa"/>
              <w:right w:w="57" w:type="dxa"/>
            </w:tcMar>
          </w:tcPr>
          <w:p w:rsidR="00DF4FEF" w:rsidRPr="00B9109D" w:rsidRDefault="00DF4FEF" w:rsidP="00855551">
            <w:pPr>
              <w:pStyle w:val="Normal-pool"/>
              <w:spacing w:before="520"/>
              <w:rPr>
                <w:sz w:val="18"/>
                <w:szCs w:val="18"/>
                <w:lang w:eastAsia="en-US"/>
              </w:rPr>
            </w:pPr>
          </w:p>
        </w:tc>
        <w:tc>
          <w:tcPr>
            <w:tcW w:w="1943" w:type="dxa"/>
            <w:shd w:val="clear" w:color="auto" w:fill="auto"/>
            <w:tcMar>
              <w:left w:w="57" w:type="dxa"/>
              <w:right w:w="57" w:type="dxa"/>
            </w:tcMar>
          </w:tcPr>
          <w:p w:rsidR="00DF4FEF" w:rsidRPr="00B9109D" w:rsidRDefault="00DF4FEF" w:rsidP="00855551">
            <w:pPr>
              <w:pStyle w:val="Normal-pool"/>
              <w:spacing w:before="520"/>
              <w:rPr>
                <w:sz w:val="18"/>
                <w:szCs w:val="18"/>
                <w:lang w:eastAsia="en-US"/>
              </w:rPr>
            </w:pPr>
          </w:p>
        </w:tc>
        <w:tc>
          <w:tcPr>
            <w:tcW w:w="1943" w:type="dxa"/>
            <w:shd w:val="clear" w:color="auto" w:fill="auto"/>
            <w:tcMar>
              <w:left w:w="57" w:type="dxa"/>
              <w:right w:w="57" w:type="dxa"/>
            </w:tcMar>
          </w:tcPr>
          <w:p w:rsidR="00DF4FEF" w:rsidRPr="00B9109D" w:rsidRDefault="00DF4FEF" w:rsidP="00855551">
            <w:pPr>
              <w:pStyle w:val="Normal-pool"/>
              <w:spacing w:before="520"/>
              <w:rPr>
                <w:sz w:val="18"/>
                <w:szCs w:val="18"/>
                <w:lang w:eastAsia="en-US"/>
              </w:rPr>
            </w:pPr>
          </w:p>
        </w:tc>
      </w:tr>
    </w:tbl>
    <w:p w:rsidR="00DF4FEF" w:rsidRPr="0062008B" w:rsidRDefault="00DF4FEF" w:rsidP="00DF4FEF">
      <w:pPr>
        <w:pStyle w:val="Normal-pool"/>
      </w:pPr>
    </w:p>
    <w:p w:rsidR="000B18ED" w:rsidRDefault="000B18ED"/>
    <w:sectPr w:rsidR="000B18ED" w:rsidSect="00DF4FEF">
      <w:pgSz w:w="11906" w:h="16838" w:code="9"/>
      <w:pgMar w:top="907" w:right="992" w:bottom="1418" w:left="1418" w:header="539" w:footer="975" w:gutter="0"/>
      <w:cols w:space="539"/>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2120"/>
    <w:multiLevelType w:val="hybridMultilevel"/>
    <w:tmpl w:val="D466084A"/>
    <w:lvl w:ilvl="0" w:tplc="7D885E8E">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nsid w:val="155A3F5F"/>
    <w:multiLevelType w:val="hybridMultilevel"/>
    <w:tmpl w:val="4BA67BC4"/>
    <w:lvl w:ilvl="0" w:tplc="ED428694">
      <w:start w:val="1"/>
      <w:numFmt w:val="lowerLetter"/>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2D2E6C5D"/>
    <w:multiLevelType w:val="hybridMultilevel"/>
    <w:tmpl w:val="765E50CC"/>
    <w:lvl w:ilvl="0" w:tplc="774060F8">
      <w:start w:val="1"/>
      <w:numFmt w:val="lowerLetter"/>
      <w:lvlText w:val="(%1)"/>
      <w:lvlJc w:val="left"/>
      <w:pPr>
        <w:ind w:left="1967" w:hanging="360"/>
      </w:pPr>
      <w:rPr>
        <w:rFonts w:hint="default"/>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abstractNum w:abstractNumId="3">
    <w:nsid w:val="3AA17489"/>
    <w:multiLevelType w:val="hybridMultilevel"/>
    <w:tmpl w:val="765E50CC"/>
    <w:lvl w:ilvl="0" w:tplc="774060F8">
      <w:start w:val="1"/>
      <w:numFmt w:val="lowerLetter"/>
      <w:lvlText w:val="(%1)"/>
      <w:lvlJc w:val="left"/>
      <w:pPr>
        <w:ind w:left="1967" w:hanging="360"/>
      </w:pPr>
      <w:rPr>
        <w:rFonts w:hint="default"/>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abstractNum w:abstractNumId="4">
    <w:nsid w:val="587831E9"/>
    <w:multiLevelType w:val="hybridMultilevel"/>
    <w:tmpl w:val="5394ADAE"/>
    <w:lvl w:ilvl="0" w:tplc="5CE2D748">
      <w:start w:val="1"/>
      <w:numFmt w:val="lowerLetter"/>
      <w:lvlText w:val="(%1)"/>
      <w:lvlJc w:val="left"/>
      <w:pPr>
        <w:ind w:left="1070" w:hanging="360"/>
      </w:pPr>
      <w:rPr>
        <w:rFonts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875614"/>
    <w:multiLevelType w:val="hybridMultilevel"/>
    <w:tmpl w:val="F94C84D0"/>
    <w:lvl w:ilvl="0" w:tplc="BF12BE68">
      <w:start w:val="1"/>
      <w:numFmt w:val="decimal"/>
      <w:lvlText w:val="%1."/>
      <w:lvlJc w:val="left"/>
      <w:pPr>
        <w:ind w:left="3240" w:hanging="360"/>
      </w:pPr>
      <w:rPr>
        <w:b w:val="0"/>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DF4FEF"/>
    <w:rsid w:val="00045F3B"/>
    <w:rsid w:val="0009039B"/>
    <w:rsid w:val="000B18ED"/>
    <w:rsid w:val="002508C0"/>
    <w:rsid w:val="002E3F11"/>
    <w:rsid w:val="00475D4E"/>
    <w:rsid w:val="004B7AA0"/>
    <w:rsid w:val="0055191B"/>
    <w:rsid w:val="00771173"/>
    <w:rsid w:val="00B33BA9"/>
    <w:rsid w:val="00BA076F"/>
    <w:rsid w:val="00BE6CAD"/>
    <w:rsid w:val="00C21410"/>
    <w:rsid w:val="00DF4FEF"/>
    <w:rsid w:val="00E45F2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EF"/>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uiPriority w:val="9"/>
    <w:semiHidden/>
    <w:unhideWhenUsed/>
    <w:qFormat/>
    <w:rsid w:val="00DF4F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CH2"/>
    <w:rsid w:val="00DF4FEF"/>
    <w:pPr>
      <w:keepNext/>
      <w:keepLines/>
      <w:tabs>
        <w:tab w:val="right" w:pos="851"/>
      </w:tabs>
      <w:suppressAutoHyphens/>
      <w:spacing w:before="240" w:after="120"/>
      <w:ind w:left="1247" w:right="284" w:hanging="1247"/>
    </w:pPr>
    <w:rPr>
      <w:b/>
      <w:sz w:val="28"/>
      <w:szCs w:val="28"/>
    </w:rPr>
  </w:style>
  <w:style w:type="paragraph" w:customStyle="1" w:styleId="CH2">
    <w:name w:val="CH2"/>
    <w:basedOn w:val="Normal"/>
    <w:next w:val="Normal"/>
    <w:link w:val="CH2Char"/>
    <w:rsid w:val="00DF4FEF"/>
    <w:pPr>
      <w:keepNext/>
      <w:keepLines/>
      <w:tabs>
        <w:tab w:val="right" w:pos="851"/>
      </w:tabs>
      <w:suppressAutoHyphens/>
      <w:spacing w:before="120" w:after="120"/>
      <w:ind w:left="1247" w:right="284" w:hanging="1247"/>
    </w:pPr>
    <w:rPr>
      <w:b/>
      <w:sz w:val="24"/>
      <w:szCs w:val="24"/>
      <w:lang/>
    </w:rPr>
  </w:style>
  <w:style w:type="paragraph" w:customStyle="1" w:styleId="Normal-pool">
    <w:name w:val="Normal-pool"/>
    <w:link w:val="Normal-poolChar"/>
    <w:rsid w:val="00DF4FEF"/>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ja-JP"/>
    </w:rPr>
  </w:style>
  <w:style w:type="character" w:styleId="FootnoteReference">
    <w:name w:val="footnote reference"/>
    <w:aliases w:val="16 Point,Superscript 6 Point,ftref,(Ref. de nota al pie),number,SUPERS,Footnote Reference Superscript"/>
    <w:rsid w:val="00DF4FEF"/>
    <w:rPr>
      <w:rFonts w:ascii="Times New Roman" w:hAnsi="Times New Roman"/>
      <w:color w:val="auto"/>
      <w:sz w:val="20"/>
      <w:szCs w:val="18"/>
      <w:vertAlign w:val="superscript"/>
    </w:rPr>
  </w:style>
  <w:style w:type="paragraph" w:customStyle="1" w:styleId="Subtitle">
    <w:name w:val="Sub title"/>
    <w:basedOn w:val="Heading2"/>
    <w:rsid w:val="00DF4FEF"/>
    <w:pPr>
      <w:keepLines w:val="0"/>
      <w:tabs>
        <w:tab w:val="clear" w:pos="1247"/>
        <w:tab w:val="clear" w:pos="1814"/>
        <w:tab w:val="clear" w:pos="2381"/>
        <w:tab w:val="clear" w:pos="2948"/>
        <w:tab w:val="clear" w:pos="3515"/>
      </w:tabs>
      <w:spacing w:before="0"/>
      <w:ind w:left="1247"/>
    </w:pPr>
    <w:rPr>
      <w:rFonts w:ascii="Times New Roman" w:eastAsia="Times New Roman" w:hAnsi="Times New Roman" w:cs="Times New Roman"/>
      <w:bCs w:val="0"/>
      <w:color w:val="auto"/>
      <w:sz w:val="24"/>
      <w:szCs w:val="24"/>
    </w:rPr>
  </w:style>
  <w:style w:type="character" w:customStyle="1" w:styleId="Normal-poolChar">
    <w:name w:val="Normal-pool Char"/>
    <w:link w:val="Normal-pool"/>
    <w:locked/>
    <w:rsid w:val="00DF4FEF"/>
    <w:rPr>
      <w:rFonts w:ascii="Times New Roman" w:eastAsia="Times New Roman" w:hAnsi="Times New Roman" w:cs="Times New Roman"/>
      <w:sz w:val="20"/>
      <w:szCs w:val="20"/>
      <w:lang w:eastAsia="ja-JP"/>
    </w:rPr>
  </w:style>
  <w:style w:type="character" w:customStyle="1" w:styleId="CH2Char">
    <w:name w:val="CH2 Char"/>
    <w:link w:val="CH2"/>
    <w:rsid w:val="00DF4FEF"/>
    <w:rPr>
      <w:rFonts w:ascii="Times New Roman" w:eastAsia="Times New Roman" w:hAnsi="Times New Roman" w:cs="Times New Roman"/>
      <w:b/>
      <w:sz w:val="24"/>
      <w:szCs w:val="24"/>
      <w:lang/>
    </w:rPr>
  </w:style>
  <w:style w:type="character" w:customStyle="1" w:styleId="ZZAnxtitleChar">
    <w:name w:val="ZZ_Anx_title Char"/>
    <w:link w:val="ZZAnxtitle"/>
    <w:rsid w:val="00DF4FEF"/>
    <w:rPr>
      <w:b/>
      <w:bCs/>
      <w:sz w:val="28"/>
      <w:szCs w:val="26"/>
    </w:rPr>
  </w:style>
  <w:style w:type="paragraph" w:customStyle="1" w:styleId="NormalNonumber">
    <w:name w:val="Normal_No_number"/>
    <w:basedOn w:val="Normal"/>
    <w:rsid w:val="00DF4FEF"/>
    <w:pPr>
      <w:spacing w:after="120"/>
      <w:ind w:left="1247"/>
    </w:pPr>
  </w:style>
  <w:style w:type="paragraph" w:customStyle="1" w:styleId="ZZAnxheader">
    <w:name w:val="ZZ_Anx_header"/>
    <w:basedOn w:val="Normal"/>
    <w:rsid w:val="00DF4FEF"/>
    <w:rPr>
      <w:b/>
      <w:bCs/>
      <w:sz w:val="28"/>
      <w:szCs w:val="22"/>
    </w:rPr>
  </w:style>
  <w:style w:type="paragraph" w:customStyle="1" w:styleId="ZZAnxtitle">
    <w:name w:val="ZZ_Anx_title"/>
    <w:basedOn w:val="Normal"/>
    <w:link w:val="ZZAnxtitleChar"/>
    <w:rsid w:val="00DF4FEF"/>
    <w:pPr>
      <w:spacing w:before="360" w:after="120"/>
      <w:ind w:left="1247"/>
    </w:pPr>
    <w:rPr>
      <w:rFonts w:asciiTheme="minorHAnsi" w:eastAsiaTheme="minorEastAsia" w:hAnsiTheme="minorHAnsi" w:cstheme="minorBidi"/>
      <w:b/>
      <w:bCs/>
      <w:sz w:val="28"/>
      <w:szCs w:val="26"/>
      <w:lang w:eastAsia="zh-CN"/>
    </w:rPr>
  </w:style>
  <w:style w:type="character" w:customStyle="1" w:styleId="Heading2Char">
    <w:name w:val="Heading 2 Char"/>
    <w:basedOn w:val="DefaultParagraphFont"/>
    <w:link w:val="Heading2"/>
    <w:uiPriority w:val="9"/>
    <w:semiHidden/>
    <w:rsid w:val="00DF4FEF"/>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4424</Words>
  <Characters>25219</Characters>
  <Application>Microsoft Office Word</Application>
  <DocSecurity>0</DocSecurity>
  <Lines>210</Lines>
  <Paragraphs>59</Paragraphs>
  <ScaleCrop>false</ScaleCrop>
  <Company/>
  <LinksUpToDate>false</LinksUpToDate>
  <CharactersWithSpaces>29584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2016-03-03T16:22:00Z</dcterms:created>
  <dcterms:modified xsi:type="dcterms:W3CDTF">2016-03-03T16:23:00Z</dcterms:modified>
</cp:coreProperties>
</file>