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2B3" w:rsidRPr="00237745" w:rsidRDefault="001F52B3" w:rsidP="001F52B3">
      <w:pPr>
        <w:keepNext/>
        <w:keepLines/>
        <w:tabs>
          <w:tab w:val="right" w:pos="851"/>
          <w:tab w:val="left" w:pos="4082"/>
        </w:tabs>
        <w:suppressAutoHyphens/>
        <w:spacing w:before="240" w:line="240" w:lineRule="auto"/>
        <w:ind w:left="1247" w:right="284" w:hanging="1247"/>
        <w:jc w:val="left"/>
        <w:rPr>
          <w:rFonts w:eastAsia="HGMaruGothicMPRO"/>
          <w:b/>
          <w:sz w:val="28"/>
          <w:szCs w:val="28"/>
        </w:rPr>
      </w:pPr>
      <w:r>
        <w:rPr>
          <w:rFonts w:eastAsia="SimHei"/>
          <w:b/>
          <w:sz w:val="28"/>
          <w:szCs w:val="28"/>
          <w:lang w:val="en-GB"/>
        </w:rPr>
        <w:tab/>
      </w:r>
      <w:r>
        <w:rPr>
          <w:rFonts w:eastAsia="SimHei"/>
          <w:b/>
          <w:sz w:val="28"/>
          <w:szCs w:val="28"/>
          <w:lang w:val="en-GB"/>
        </w:rPr>
        <w:tab/>
      </w:r>
      <w:bookmarkStart w:id="0" w:name="_GoBack"/>
      <w:bookmarkEnd w:id="0"/>
      <w:r w:rsidRPr="00237745">
        <w:rPr>
          <w:rFonts w:eastAsia="SimHei"/>
          <w:b/>
          <w:sz w:val="28"/>
          <w:szCs w:val="28"/>
          <w:lang w:val="en-GB"/>
        </w:rPr>
        <w:t>CRC-14/5:</w:t>
      </w:r>
      <w:r w:rsidRPr="00237745">
        <w:rPr>
          <w:rFonts w:ascii="SimHei" w:eastAsia="SimHei" w:hAnsi="SimHei"/>
          <w:b/>
          <w:sz w:val="28"/>
          <w:szCs w:val="28"/>
          <w:lang w:val="en-GB"/>
        </w:rPr>
        <w:t xml:space="preserve"> 全氟辛酸、其盐类</w:t>
      </w:r>
      <w:r w:rsidRPr="00237745">
        <w:rPr>
          <w:rFonts w:ascii="SimHei" w:eastAsia="SimHei" w:hAnsi="SimHei" w:hint="eastAsia"/>
          <w:b/>
          <w:sz w:val="28"/>
          <w:szCs w:val="28"/>
          <w:lang w:val="en-GB"/>
        </w:rPr>
        <w:t>及其</w:t>
      </w:r>
      <w:r w:rsidRPr="00237745">
        <w:rPr>
          <w:rFonts w:ascii="SimHei" w:eastAsia="SimHei" w:hAnsi="SimHei"/>
          <w:b/>
          <w:sz w:val="28"/>
          <w:szCs w:val="28"/>
          <w:lang w:val="en-GB"/>
        </w:rPr>
        <w:t>相关化合</w:t>
      </w:r>
      <w:r w:rsidRPr="00237745">
        <w:rPr>
          <w:rFonts w:ascii="SimHei" w:eastAsia="SimHei" w:hAnsi="SimHei" w:hint="eastAsia"/>
          <w:b/>
          <w:sz w:val="28"/>
          <w:szCs w:val="28"/>
          <w:lang w:val="en-GB"/>
        </w:rPr>
        <w:t>物</w:t>
      </w:r>
    </w:p>
    <w:p w:rsidR="001F52B3" w:rsidRPr="009E1C9D" w:rsidRDefault="001F52B3" w:rsidP="001F52B3">
      <w:pPr>
        <w:tabs>
          <w:tab w:val="left" w:pos="624"/>
          <w:tab w:val="left" w:pos="4082"/>
        </w:tabs>
        <w:spacing w:line="240" w:lineRule="auto"/>
        <w:ind w:left="1247" w:firstLine="624"/>
        <w:jc w:val="left"/>
        <w:rPr>
          <w:rFonts w:ascii="KaiTi" w:eastAsia="KaiTi" w:hAnsi="KaiTi"/>
          <w:i/>
          <w:sz w:val="20"/>
          <w:szCs w:val="20"/>
          <w:lang w:val="en-GB"/>
        </w:rPr>
      </w:pPr>
      <w:r w:rsidRPr="009E1C9D">
        <w:rPr>
          <w:rFonts w:ascii="KaiTi" w:eastAsia="KaiTi" w:hAnsi="KaiTi"/>
          <w:sz w:val="24"/>
          <w:szCs w:val="24"/>
          <w:lang w:val="en-GB"/>
        </w:rPr>
        <w:t>化学品审查委员会，</w:t>
      </w:r>
    </w:p>
    <w:p w:rsidR="001F52B3" w:rsidRPr="009E1C9D" w:rsidRDefault="001F52B3" w:rsidP="001F52B3">
      <w:pPr>
        <w:tabs>
          <w:tab w:val="left" w:pos="624"/>
          <w:tab w:val="left" w:pos="4082"/>
        </w:tabs>
        <w:spacing w:line="240" w:lineRule="auto"/>
        <w:ind w:left="1247" w:firstLine="624"/>
        <w:rPr>
          <w:sz w:val="24"/>
          <w:szCs w:val="24"/>
          <w:lang w:val="en-GB"/>
        </w:rPr>
      </w:pPr>
      <w:r w:rsidRPr="009E1C9D">
        <w:rPr>
          <w:rFonts w:ascii="KaiTi" w:eastAsia="KaiTi" w:hAnsi="KaiTi"/>
          <w:sz w:val="24"/>
          <w:szCs w:val="24"/>
          <w:lang w:val="en-GB"/>
        </w:rPr>
        <w:t>回顾</w:t>
      </w:r>
      <w:r w:rsidRPr="009E1C9D">
        <w:rPr>
          <w:color w:val="333333"/>
          <w:sz w:val="24"/>
          <w:szCs w:val="24"/>
          <w:shd w:val="clear" w:color="auto" w:fill="FFFFFF"/>
          <w:lang w:val="en-GB"/>
        </w:rPr>
        <w:t>《关于在国际贸易中对某些危险化学品和农药采用事先知情同意程序的鹿特丹公约》第</w:t>
      </w:r>
      <w:r w:rsidRPr="009E1C9D">
        <w:rPr>
          <w:color w:val="333333"/>
          <w:sz w:val="24"/>
          <w:szCs w:val="24"/>
          <w:shd w:val="clear" w:color="auto" w:fill="FFFFFF"/>
          <w:lang w:val="en-GB"/>
        </w:rPr>
        <w:t>5</w:t>
      </w:r>
      <w:r w:rsidRPr="009E1C9D">
        <w:rPr>
          <w:color w:val="333333"/>
          <w:sz w:val="24"/>
          <w:szCs w:val="24"/>
          <w:shd w:val="clear" w:color="auto" w:fill="FFFFFF"/>
          <w:lang w:val="en-GB"/>
        </w:rPr>
        <w:t>条；</w:t>
      </w:r>
    </w:p>
    <w:p w:rsidR="001F52B3" w:rsidRPr="00117B6D" w:rsidRDefault="001F52B3" w:rsidP="001F52B3">
      <w:pPr>
        <w:pStyle w:val="ListParagraph"/>
        <w:numPr>
          <w:ilvl w:val="0"/>
          <w:numId w:val="2"/>
        </w:numPr>
        <w:tabs>
          <w:tab w:val="left" w:pos="624"/>
        </w:tabs>
        <w:spacing w:line="240" w:lineRule="auto"/>
        <w:ind w:left="1247" w:firstLine="624"/>
        <w:rPr>
          <w:rFonts w:asciiTheme="minorEastAsia" w:eastAsiaTheme="minorEastAsia" w:hAnsiTheme="minorEastAsia"/>
          <w:sz w:val="24"/>
          <w:szCs w:val="24"/>
          <w:lang w:val="en-GB"/>
        </w:rPr>
      </w:pPr>
      <w:r w:rsidRPr="00117B6D">
        <w:rPr>
          <w:rFonts w:ascii="KaiTi" w:eastAsia="KaiTi" w:hAnsi="KaiTi" w:hint="eastAsia"/>
          <w:sz w:val="24"/>
          <w:szCs w:val="24"/>
          <w:lang w:val="en-GB"/>
        </w:rPr>
        <w:t>认为</w:t>
      </w:r>
      <w:r w:rsidRPr="00117B6D">
        <w:rPr>
          <w:sz w:val="24"/>
          <w:szCs w:val="24"/>
          <w:lang w:val="en-GB"/>
        </w:rPr>
        <w:t>挪威提交</w:t>
      </w:r>
      <w:proofErr w:type="gramStart"/>
      <w:r w:rsidRPr="00117B6D">
        <w:rPr>
          <w:sz w:val="24"/>
          <w:szCs w:val="24"/>
          <w:lang w:val="en-GB"/>
        </w:rPr>
        <w:t>的</w:t>
      </w:r>
      <w:r w:rsidRPr="00117B6D">
        <w:rPr>
          <w:color w:val="333333"/>
          <w:sz w:val="24"/>
          <w:szCs w:val="24"/>
          <w:shd w:val="clear" w:color="auto" w:fill="FFFFFF"/>
          <w:lang w:val="en-GB"/>
        </w:rPr>
        <w:t>全氟辛酸</w:t>
      </w:r>
      <w:proofErr w:type="gramEnd"/>
      <w:r w:rsidRPr="00117B6D">
        <w:rPr>
          <w:color w:val="333333"/>
          <w:sz w:val="24"/>
          <w:szCs w:val="24"/>
          <w:shd w:val="clear" w:color="auto" w:fill="FFFFFF"/>
          <w:lang w:val="en-GB"/>
        </w:rPr>
        <w:t>、其盐类及其相关化合物</w:t>
      </w:r>
      <w:r w:rsidRPr="00117B6D">
        <w:rPr>
          <w:sz w:val="24"/>
          <w:szCs w:val="24"/>
          <w:lang w:val="en-GB"/>
        </w:rPr>
        <w:t>最后管制行动通知书</w:t>
      </w:r>
      <w:r w:rsidRPr="009E1C9D">
        <w:rPr>
          <w:vertAlign w:val="superscript"/>
          <w:lang w:val="en-GB" w:eastAsia="en-US"/>
        </w:rPr>
        <w:footnoteReference w:id="1"/>
      </w:r>
      <w:r w:rsidRPr="00117B6D">
        <w:rPr>
          <w:sz w:val="24"/>
          <w:szCs w:val="24"/>
          <w:lang w:val="en-GB"/>
        </w:rPr>
        <w:t>达到《公约》附件二规定的标准；</w:t>
      </w:r>
    </w:p>
    <w:p w:rsidR="001F52B3" w:rsidRPr="00117B6D" w:rsidRDefault="001F52B3" w:rsidP="001F52B3">
      <w:pPr>
        <w:pStyle w:val="ListParagraph"/>
        <w:numPr>
          <w:ilvl w:val="0"/>
          <w:numId w:val="2"/>
        </w:numPr>
        <w:tabs>
          <w:tab w:val="left" w:pos="624"/>
          <w:tab w:val="left" w:pos="4082"/>
        </w:tabs>
        <w:spacing w:line="240" w:lineRule="auto"/>
        <w:ind w:left="1247" w:firstLine="624"/>
        <w:rPr>
          <w:rFonts w:asciiTheme="minorEastAsia" w:eastAsiaTheme="minorEastAsia" w:hAnsiTheme="minorEastAsia"/>
          <w:sz w:val="24"/>
          <w:szCs w:val="24"/>
          <w:lang w:val="en-GB"/>
        </w:rPr>
      </w:pPr>
      <w:r w:rsidRPr="00117B6D">
        <w:rPr>
          <w:rFonts w:ascii="KaiTi" w:eastAsia="KaiTi" w:hAnsi="KaiTi" w:hint="eastAsia"/>
          <w:sz w:val="24"/>
          <w:szCs w:val="24"/>
          <w:lang w:val="en-GB"/>
        </w:rPr>
        <w:t>采纳</w:t>
      </w:r>
      <w:r w:rsidRPr="00117B6D">
        <w:rPr>
          <w:sz w:val="24"/>
          <w:szCs w:val="24"/>
          <w:lang w:val="en-GB"/>
        </w:rPr>
        <w:t>本决定附件所列委员会</w:t>
      </w:r>
      <w:proofErr w:type="gramStart"/>
      <w:r w:rsidRPr="00117B6D">
        <w:rPr>
          <w:sz w:val="24"/>
          <w:szCs w:val="24"/>
          <w:lang w:val="en-GB"/>
        </w:rPr>
        <w:t>作出</w:t>
      </w:r>
      <w:proofErr w:type="gramEnd"/>
      <w:r w:rsidRPr="00117B6D">
        <w:rPr>
          <w:sz w:val="24"/>
          <w:szCs w:val="24"/>
          <w:lang w:val="en-GB"/>
        </w:rPr>
        <w:t>结论的理由说明；</w:t>
      </w:r>
    </w:p>
    <w:p w:rsidR="001F52B3" w:rsidRPr="00117B6D" w:rsidRDefault="001F52B3" w:rsidP="001F52B3">
      <w:pPr>
        <w:pStyle w:val="ListParagraph"/>
        <w:numPr>
          <w:ilvl w:val="0"/>
          <w:numId w:val="2"/>
        </w:numPr>
        <w:tabs>
          <w:tab w:val="left" w:pos="624"/>
        </w:tabs>
        <w:spacing w:line="240" w:lineRule="auto"/>
        <w:ind w:left="1247" w:firstLine="624"/>
        <w:rPr>
          <w:rFonts w:asciiTheme="minorEastAsia" w:eastAsiaTheme="minorEastAsia" w:hAnsiTheme="minorEastAsia"/>
          <w:sz w:val="24"/>
          <w:szCs w:val="24"/>
          <w:lang w:val="en-GB"/>
        </w:rPr>
      </w:pPr>
      <w:r w:rsidRPr="00117B6D">
        <w:rPr>
          <w:sz w:val="24"/>
          <w:szCs w:val="24"/>
          <w:lang w:val="en-GB"/>
        </w:rPr>
        <w:t>根据《公约》</w:t>
      </w:r>
      <w:r w:rsidRPr="00117B6D">
        <w:rPr>
          <w:color w:val="333333"/>
          <w:sz w:val="24"/>
          <w:szCs w:val="24"/>
          <w:shd w:val="clear" w:color="auto" w:fill="FFFFFF"/>
          <w:lang w:val="en-GB"/>
        </w:rPr>
        <w:t>第</w:t>
      </w:r>
      <w:r w:rsidRPr="00117B6D">
        <w:rPr>
          <w:color w:val="333333"/>
          <w:sz w:val="24"/>
          <w:szCs w:val="24"/>
          <w:shd w:val="clear" w:color="auto" w:fill="FFFFFF"/>
          <w:lang w:val="en-GB"/>
        </w:rPr>
        <w:t>5</w:t>
      </w:r>
      <w:r w:rsidRPr="00117B6D">
        <w:rPr>
          <w:color w:val="333333"/>
          <w:sz w:val="24"/>
          <w:szCs w:val="24"/>
          <w:shd w:val="clear" w:color="auto" w:fill="FFFFFF"/>
          <w:lang w:val="en-GB"/>
        </w:rPr>
        <w:t>条第</w:t>
      </w:r>
      <w:r w:rsidRPr="00117B6D">
        <w:rPr>
          <w:color w:val="333333"/>
          <w:sz w:val="24"/>
          <w:szCs w:val="24"/>
          <w:shd w:val="clear" w:color="auto" w:fill="FFFFFF"/>
          <w:lang w:val="en-GB"/>
        </w:rPr>
        <w:t>6</w:t>
      </w:r>
      <w:r w:rsidRPr="00117B6D">
        <w:rPr>
          <w:sz w:val="24"/>
          <w:szCs w:val="24"/>
          <w:lang w:val="en-GB"/>
        </w:rPr>
        <w:t>款，</w:t>
      </w:r>
      <w:r w:rsidRPr="00117B6D">
        <w:rPr>
          <w:rFonts w:ascii="KaiTi" w:eastAsia="KaiTi" w:hAnsi="KaiTi" w:hint="eastAsia"/>
          <w:sz w:val="24"/>
          <w:szCs w:val="24"/>
          <w:lang w:val="en-GB"/>
        </w:rPr>
        <w:t>建议</w:t>
      </w:r>
      <w:r w:rsidRPr="00117B6D">
        <w:rPr>
          <w:sz w:val="24"/>
          <w:szCs w:val="24"/>
          <w:lang w:val="en-GB"/>
        </w:rPr>
        <w:t>缔约方大会</w:t>
      </w:r>
      <w:proofErr w:type="gramStart"/>
      <w:r w:rsidRPr="00117B6D">
        <w:rPr>
          <w:sz w:val="24"/>
          <w:szCs w:val="24"/>
          <w:lang w:val="en-GB"/>
        </w:rPr>
        <w:t>将</w:t>
      </w:r>
      <w:r w:rsidRPr="00117B6D">
        <w:rPr>
          <w:color w:val="333333"/>
          <w:sz w:val="24"/>
          <w:szCs w:val="24"/>
          <w:shd w:val="clear" w:color="auto" w:fill="FFFFFF"/>
          <w:lang w:val="en-GB"/>
        </w:rPr>
        <w:t>全氟辛酸</w:t>
      </w:r>
      <w:proofErr w:type="gramEnd"/>
      <w:r w:rsidRPr="00117B6D">
        <w:rPr>
          <w:color w:val="333333"/>
          <w:sz w:val="24"/>
          <w:szCs w:val="24"/>
          <w:shd w:val="clear" w:color="auto" w:fill="FFFFFF"/>
          <w:lang w:val="en-GB"/>
        </w:rPr>
        <w:t>、其盐类及其相关化合物列为《公约》附件三的工业类化学品；</w:t>
      </w:r>
    </w:p>
    <w:p w:rsidR="001F52B3" w:rsidRPr="00117B6D" w:rsidRDefault="001F52B3" w:rsidP="001F52B3">
      <w:pPr>
        <w:pStyle w:val="ListParagraph"/>
        <w:numPr>
          <w:ilvl w:val="0"/>
          <w:numId w:val="2"/>
        </w:numPr>
        <w:tabs>
          <w:tab w:val="left" w:pos="624"/>
        </w:tabs>
        <w:spacing w:line="240" w:lineRule="auto"/>
        <w:ind w:left="1247" w:firstLine="624"/>
        <w:rPr>
          <w:sz w:val="24"/>
          <w:szCs w:val="24"/>
          <w:lang w:val="en-GB"/>
        </w:rPr>
      </w:pPr>
      <w:r w:rsidRPr="00117B6D">
        <w:rPr>
          <w:rFonts w:ascii="KaiTi" w:eastAsia="KaiTi" w:hAnsi="KaiTi" w:hint="eastAsia"/>
          <w:sz w:val="24"/>
          <w:szCs w:val="24"/>
          <w:lang w:val="en-GB"/>
        </w:rPr>
        <w:t>决定</w:t>
      </w:r>
      <w:r w:rsidRPr="00117B6D">
        <w:rPr>
          <w:sz w:val="24"/>
          <w:szCs w:val="24"/>
          <w:lang w:val="en-GB"/>
        </w:rPr>
        <w:t>根据《公约》</w:t>
      </w:r>
      <w:r w:rsidRPr="00117B6D">
        <w:rPr>
          <w:color w:val="333333"/>
          <w:sz w:val="24"/>
          <w:szCs w:val="24"/>
          <w:shd w:val="clear" w:color="auto" w:fill="FFFFFF"/>
          <w:lang w:val="en-GB"/>
        </w:rPr>
        <w:t>第</w:t>
      </w:r>
      <w:r w:rsidRPr="00117B6D">
        <w:rPr>
          <w:color w:val="333333"/>
          <w:sz w:val="24"/>
          <w:szCs w:val="24"/>
          <w:shd w:val="clear" w:color="auto" w:fill="FFFFFF"/>
          <w:lang w:val="en-GB"/>
        </w:rPr>
        <w:t>7</w:t>
      </w:r>
      <w:r w:rsidRPr="00117B6D">
        <w:rPr>
          <w:color w:val="333333"/>
          <w:sz w:val="24"/>
          <w:szCs w:val="24"/>
          <w:shd w:val="clear" w:color="auto" w:fill="FFFFFF"/>
          <w:lang w:val="en-GB"/>
        </w:rPr>
        <w:t>条第</w:t>
      </w:r>
      <w:r w:rsidRPr="00117B6D">
        <w:rPr>
          <w:color w:val="333333"/>
          <w:sz w:val="24"/>
          <w:szCs w:val="24"/>
          <w:shd w:val="clear" w:color="auto" w:fill="FFFFFF"/>
          <w:lang w:val="en-GB"/>
        </w:rPr>
        <w:t>1</w:t>
      </w:r>
      <w:r w:rsidRPr="00117B6D">
        <w:rPr>
          <w:color w:val="333333"/>
          <w:sz w:val="24"/>
          <w:szCs w:val="24"/>
          <w:shd w:val="clear" w:color="auto" w:fill="FFFFFF"/>
          <w:lang w:val="en-GB"/>
        </w:rPr>
        <w:t>款编制</w:t>
      </w:r>
      <w:proofErr w:type="gramStart"/>
      <w:r w:rsidRPr="00117B6D">
        <w:rPr>
          <w:sz w:val="24"/>
          <w:szCs w:val="24"/>
          <w:lang w:val="en-GB"/>
        </w:rPr>
        <w:t>一份</w:t>
      </w:r>
      <w:r w:rsidRPr="00117B6D">
        <w:rPr>
          <w:color w:val="333333"/>
          <w:sz w:val="24"/>
          <w:szCs w:val="24"/>
          <w:shd w:val="clear" w:color="auto" w:fill="FFFFFF"/>
          <w:lang w:val="en-GB"/>
        </w:rPr>
        <w:t>全氟辛酸</w:t>
      </w:r>
      <w:proofErr w:type="gramEnd"/>
      <w:r w:rsidRPr="00117B6D">
        <w:rPr>
          <w:color w:val="333333"/>
          <w:sz w:val="24"/>
          <w:szCs w:val="24"/>
          <w:shd w:val="clear" w:color="auto" w:fill="FFFFFF"/>
          <w:lang w:val="en-GB"/>
        </w:rPr>
        <w:t>、其盐类及其相关化合物决定指导文件草案；</w:t>
      </w:r>
    </w:p>
    <w:p w:rsidR="001F52B3" w:rsidRPr="00117B6D" w:rsidRDefault="001F52B3" w:rsidP="001F52B3">
      <w:pPr>
        <w:pStyle w:val="ListParagraph"/>
        <w:numPr>
          <w:ilvl w:val="0"/>
          <w:numId w:val="2"/>
        </w:numPr>
        <w:tabs>
          <w:tab w:val="left" w:pos="624"/>
        </w:tabs>
        <w:spacing w:line="240" w:lineRule="auto"/>
        <w:ind w:left="1247" w:firstLine="624"/>
        <w:rPr>
          <w:sz w:val="24"/>
          <w:szCs w:val="24"/>
          <w:lang w:val="en-GB"/>
        </w:rPr>
      </w:pPr>
      <w:r w:rsidRPr="00117B6D">
        <w:rPr>
          <w:sz w:val="24"/>
          <w:szCs w:val="24"/>
          <w:lang w:val="en-GB"/>
        </w:rPr>
        <w:t>又根据</w:t>
      </w:r>
      <w:r w:rsidRPr="00117B6D">
        <w:rPr>
          <w:color w:val="333333"/>
          <w:sz w:val="24"/>
          <w:szCs w:val="24"/>
          <w:shd w:val="clear" w:color="auto" w:fill="FFFFFF"/>
          <w:lang w:val="en-GB"/>
        </w:rPr>
        <w:t xml:space="preserve">RC-2/2 </w:t>
      </w:r>
      <w:proofErr w:type="gramStart"/>
      <w:r w:rsidRPr="00117B6D">
        <w:rPr>
          <w:color w:val="333333"/>
          <w:sz w:val="24"/>
          <w:szCs w:val="24"/>
          <w:shd w:val="clear" w:color="auto" w:fill="FFFFFF"/>
          <w:lang w:val="en-GB"/>
        </w:rPr>
        <w:t>号决定</w:t>
      </w:r>
      <w:proofErr w:type="gramEnd"/>
      <w:r w:rsidRPr="00117B6D">
        <w:rPr>
          <w:color w:val="333333"/>
          <w:sz w:val="24"/>
          <w:szCs w:val="24"/>
          <w:shd w:val="clear" w:color="auto" w:fill="FFFFFF"/>
          <w:lang w:val="en-GB"/>
        </w:rPr>
        <w:t>规定、经</w:t>
      </w:r>
      <w:r w:rsidRPr="00117B6D">
        <w:rPr>
          <w:color w:val="333333"/>
          <w:sz w:val="24"/>
          <w:szCs w:val="24"/>
          <w:shd w:val="clear" w:color="auto" w:fill="FFFFFF"/>
          <w:lang w:val="en-GB"/>
        </w:rPr>
        <w:t>RC-6/3</w:t>
      </w:r>
      <w:r w:rsidRPr="00117B6D">
        <w:rPr>
          <w:color w:val="333333"/>
          <w:sz w:val="24"/>
          <w:szCs w:val="24"/>
          <w:shd w:val="clear" w:color="auto" w:fill="FFFFFF"/>
          <w:lang w:val="en-GB"/>
        </w:rPr>
        <w:t>号</w:t>
      </w:r>
      <w:r w:rsidRPr="00117B6D">
        <w:rPr>
          <w:sz w:val="24"/>
          <w:szCs w:val="24"/>
          <w:lang w:val="en-GB"/>
        </w:rPr>
        <w:t>决定修订的起草决定指导文件流程</w:t>
      </w:r>
      <w:r w:rsidRPr="00117B6D">
        <w:rPr>
          <w:rFonts w:ascii="KaiTi" w:eastAsia="KaiTi" w:hAnsi="KaiTi" w:hint="eastAsia"/>
          <w:sz w:val="24"/>
          <w:szCs w:val="24"/>
          <w:lang w:val="en-GB"/>
        </w:rPr>
        <w:t>决定</w:t>
      </w:r>
      <w:r w:rsidRPr="00117B6D">
        <w:rPr>
          <w:rFonts w:ascii="SimSun" w:hAnsi="SimSun" w:hint="eastAsia"/>
          <w:sz w:val="24"/>
          <w:szCs w:val="24"/>
          <w:lang w:val="en-GB"/>
        </w:rPr>
        <w:t>，</w:t>
      </w:r>
      <w:proofErr w:type="gramStart"/>
      <w:r w:rsidRPr="00117B6D">
        <w:rPr>
          <w:sz w:val="24"/>
          <w:szCs w:val="24"/>
          <w:lang w:val="en-GB"/>
        </w:rPr>
        <w:t>编写</w:t>
      </w:r>
      <w:r w:rsidRPr="00117B6D">
        <w:rPr>
          <w:color w:val="333333"/>
          <w:sz w:val="24"/>
          <w:szCs w:val="24"/>
          <w:shd w:val="clear" w:color="auto" w:fill="FFFFFF"/>
          <w:lang w:val="en-GB"/>
        </w:rPr>
        <w:t>全氟</w:t>
      </w:r>
      <w:proofErr w:type="gramEnd"/>
      <w:r w:rsidRPr="00117B6D">
        <w:rPr>
          <w:color w:val="333333"/>
          <w:sz w:val="24"/>
          <w:szCs w:val="24"/>
          <w:shd w:val="clear" w:color="auto" w:fill="FFFFFF"/>
          <w:lang w:val="en-GB"/>
        </w:rPr>
        <w:t>辛酸、其盐类及其相关化合物决定指导文件草案的</w:t>
      </w:r>
      <w:r w:rsidRPr="00117B6D">
        <w:rPr>
          <w:sz w:val="24"/>
          <w:szCs w:val="24"/>
          <w:lang w:val="en-GB"/>
        </w:rPr>
        <w:t>闭会期起草小组的组成和起草小组的工作计划应分别依循委员会第十四次会议工作报告附件二和附件三中的有关规定</w:t>
      </w:r>
      <w:r w:rsidRPr="00117B6D">
        <w:rPr>
          <w:iCs/>
          <w:sz w:val="24"/>
          <w:szCs w:val="24"/>
          <w:lang w:val="en-GB"/>
        </w:rPr>
        <w:t>。</w:t>
      </w:r>
    </w:p>
    <w:p w:rsidR="001F52B3" w:rsidRPr="00237745" w:rsidRDefault="001F52B3" w:rsidP="001F52B3">
      <w:pPr>
        <w:keepNext/>
        <w:keepLines/>
        <w:tabs>
          <w:tab w:val="right" w:pos="851"/>
          <w:tab w:val="left" w:pos="4082"/>
        </w:tabs>
        <w:suppressAutoHyphens/>
        <w:spacing w:before="240" w:line="240" w:lineRule="auto"/>
        <w:ind w:left="1247" w:right="284" w:hanging="1247"/>
        <w:jc w:val="left"/>
        <w:rPr>
          <w:rFonts w:eastAsia="HGMaruGothicMPRO"/>
          <w:b/>
          <w:sz w:val="28"/>
          <w:szCs w:val="28"/>
        </w:rPr>
      </w:pPr>
      <w:r w:rsidRPr="00237745">
        <w:rPr>
          <w:b/>
          <w:sz w:val="28"/>
          <w:szCs w:val="28"/>
          <w:lang w:val="en-GB"/>
        </w:rPr>
        <w:tab/>
      </w:r>
      <w:r w:rsidRPr="00237745">
        <w:rPr>
          <w:b/>
          <w:sz w:val="28"/>
          <w:szCs w:val="28"/>
          <w:lang w:val="en-GB"/>
        </w:rPr>
        <w:tab/>
      </w:r>
      <w:r w:rsidRPr="00237745">
        <w:rPr>
          <w:rFonts w:eastAsia="SimHei"/>
          <w:b/>
          <w:sz w:val="28"/>
          <w:szCs w:val="28"/>
          <w:lang w:val="en-GB"/>
        </w:rPr>
        <w:t>CRC-14/5</w:t>
      </w:r>
      <w:r w:rsidRPr="00237745">
        <w:rPr>
          <w:rFonts w:ascii="SimHei" w:eastAsia="SimHei" w:hAnsi="SimHei" w:hint="eastAsia"/>
          <w:b/>
          <w:sz w:val="28"/>
          <w:szCs w:val="28"/>
          <w:lang w:val="en-GB"/>
        </w:rPr>
        <w:t>号决定附件</w:t>
      </w:r>
    </w:p>
    <w:p w:rsidR="001F52B3" w:rsidRPr="00237745" w:rsidRDefault="001F52B3" w:rsidP="001F52B3">
      <w:pPr>
        <w:keepNext/>
        <w:keepLines/>
        <w:tabs>
          <w:tab w:val="right" w:pos="851"/>
          <w:tab w:val="left" w:pos="4082"/>
        </w:tabs>
        <w:suppressAutoHyphens/>
        <w:spacing w:before="240" w:line="240" w:lineRule="auto"/>
        <w:ind w:left="1247" w:right="16" w:hanging="1247"/>
        <w:jc w:val="left"/>
        <w:rPr>
          <w:b/>
          <w:sz w:val="28"/>
          <w:szCs w:val="28"/>
          <w:lang w:val="en-GB"/>
        </w:rPr>
      </w:pPr>
      <w:r w:rsidRPr="00237745">
        <w:rPr>
          <w:b/>
          <w:sz w:val="28"/>
          <w:szCs w:val="28"/>
          <w:lang w:val="en-GB"/>
        </w:rPr>
        <w:tab/>
      </w:r>
      <w:r w:rsidRPr="00237745">
        <w:rPr>
          <w:b/>
          <w:sz w:val="28"/>
          <w:szCs w:val="28"/>
          <w:lang w:val="en-GB"/>
        </w:rPr>
        <w:tab/>
      </w:r>
      <w:r w:rsidRPr="00237745">
        <w:rPr>
          <w:rFonts w:ascii="SimHei" w:eastAsia="SimHei" w:hAnsi="SimHei" w:hint="eastAsia"/>
          <w:b/>
          <w:sz w:val="28"/>
          <w:szCs w:val="28"/>
          <w:lang w:val="en-GB"/>
        </w:rPr>
        <w:t>化学品审查委员会得出挪威和加拿大就工业</w:t>
      </w:r>
      <w:proofErr w:type="gramStart"/>
      <w:r w:rsidRPr="00237745">
        <w:rPr>
          <w:rFonts w:ascii="SimHei" w:eastAsia="SimHei" w:hAnsi="SimHei" w:hint="eastAsia"/>
          <w:b/>
          <w:sz w:val="28"/>
          <w:szCs w:val="28"/>
          <w:lang w:val="en-GB"/>
        </w:rPr>
        <w:t>类</w:t>
      </w:r>
      <w:r w:rsidRPr="00237745">
        <w:rPr>
          <w:rFonts w:ascii="SimHei" w:eastAsia="SimHei" w:hAnsi="SimHei"/>
          <w:b/>
          <w:sz w:val="28"/>
          <w:szCs w:val="28"/>
          <w:lang w:val="en-GB"/>
        </w:rPr>
        <w:t>全氟</w:t>
      </w:r>
      <w:proofErr w:type="gramEnd"/>
      <w:r w:rsidRPr="00237745">
        <w:rPr>
          <w:rFonts w:ascii="SimHei" w:eastAsia="SimHei" w:hAnsi="SimHei"/>
          <w:b/>
          <w:sz w:val="28"/>
          <w:szCs w:val="28"/>
          <w:lang w:val="en-GB"/>
        </w:rPr>
        <w:t>辛酸、其盐类</w:t>
      </w:r>
      <w:r w:rsidRPr="00237745">
        <w:rPr>
          <w:rFonts w:ascii="SimHei" w:eastAsia="SimHei" w:hAnsi="SimHei" w:hint="eastAsia"/>
          <w:b/>
          <w:sz w:val="28"/>
          <w:szCs w:val="28"/>
          <w:lang w:val="en-GB"/>
        </w:rPr>
        <w:t>及其</w:t>
      </w:r>
      <w:r w:rsidRPr="00237745">
        <w:rPr>
          <w:rFonts w:ascii="SimHei" w:eastAsia="SimHei" w:hAnsi="SimHei"/>
          <w:b/>
          <w:sz w:val="28"/>
          <w:szCs w:val="28"/>
          <w:lang w:val="en-GB"/>
        </w:rPr>
        <w:t>相关化合</w:t>
      </w:r>
      <w:r w:rsidRPr="00237745">
        <w:rPr>
          <w:rFonts w:ascii="SimHei" w:eastAsia="SimHei" w:hAnsi="SimHei" w:hint="eastAsia"/>
          <w:b/>
          <w:sz w:val="28"/>
          <w:szCs w:val="28"/>
          <w:lang w:val="en-GB"/>
        </w:rPr>
        <w:t>物提交的最后管制行动通知书达到《鹿特丹公约》附件</w:t>
      </w:r>
      <w:proofErr w:type="gramStart"/>
      <w:r w:rsidRPr="00237745">
        <w:rPr>
          <w:rFonts w:ascii="SimHei" w:eastAsia="SimHei" w:hAnsi="SimHei" w:hint="eastAsia"/>
          <w:b/>
          <w:sz w:val="28"/>
          <w:szCs w:val="28"/>
          <w:lang w:val="en-GB"/>
        </w:rPr>
        <w:t>二标准</w:t>
      </w:r>
      <w:proofErr w:type="gramEnd"/>
      <w:r w:rsidRPr="00237745">
        <w:rPr>
          <w:rFonts w:ascii="SimHei" w:eastAsia="SimHei" w:hAnsi="SimHei" w:hint="eastAsia"/>
          <w:b/>
          <w:sz w:val="28"/>
          <w:szCs w:val="28"/>
          <w:lang w:val="en-GB"/>
        </w:rPr>
        <w:t>的结论的理由说明</w:t>
      </w:r>
      <w:r w:rsidRPr="00237745">
        <w:rPr>
          <w:b/>
          <w:sz w:val="28"/>
          <w:szCs w:val="28"/>
          <w:lang w:val="en-GB"/>
        </w:rPr>
        <w:t xml:space="preserve"> </w:t>
      </w:r>
    </w:p>
    <w:p w:rsidR="001F52B3" w:rsidRPr="00237745"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rFonts w:eastAsiaTheme="minorEastAsia"/>
          <w:color w:val="333333"/>
          <w:sz w:val="24"/>
          <w:szCs w:val="24"/>
          <w:shd w:val="clear" w:color="auto" w:fill="FFFFFF"/>
          <w:lang w:val="en-GB"/>
        </w:rPr>
      </w:pPr>
      <w:r w:rsidRPr="00237745">
        <w:rPr>
          <w:rFonts w:eastAsiaTheme="minorEastAsia" w:hint="eastAsia"/>
          <w:color w:val="333333"/>
          <w:sz w:val="24"/>
          <w:szCs w:val="24"/>
          <w:shd w:val="clear" w:color="auto" w:fill="FFFFFF"/>
          <w:lang w:val="en-GB"/>
        </w:rPr>
        <w:t>秘书处已证实挪威和加拿大</w:t>
      </w:r>
      <w:proofErr w:type="gramStart"/>
      <w:r w:rsidRPr="00237745">
        <w:rPr>
          <w:rFonts w:eastAsiaTheme="minorEastAsia" w:hint="eastAsia"/>
          <w:color w:val="333333"/>
          <w:sz w:val="24"/>
          <w:szCs w:val="24"/>
          <w:shd w:val="clear" w:color="auto" w:fill="FFFFFF"/>
          <w:lang w:val="en-GB"/>
        </w:rPr>
        <w:t>关于</w:t>
      </w:r>
      <w:r w:rsidRPr="00237745">
        <w:rPr>
          <w:rFonts w:eastAsiaTheme="minorEastAsia"/>
          <w:color w:val="333333"/>
          <w:sz w:val="24"/>
          <w:szCs w:val="24"/>
          <w:shd w:val="clear" w:color="auto" w:fill="FFFFFF"/>
          <w:lang w:val="en-GB"/>
        </w:rPr>
        <w:t>全氟辛酸</w:t>
      </w:r>
      <w:proofErr w:type="gramEnd"/>
      <w:r w:rsidRPr="00237745">
        <w:rPr>
          <w:rFonts w:eastAsiaTheme="minorEastAsia"/>
          <w:color w:val="333333"/>
          <w:sz w:val="24"/>
          <w:szCs w:val="24"/>
          <w:shd w:val="clear" w:color="auto" w:fill="FFFFFF"/>
          <w:lang w:val="en-GB"/>
        </w:rPr>
        <w:t>、其盐类</w:t>
      </w:r>
      <w:r w:rsidRPr="00237745">
        <w:rPr>
          <w:rFonts w:eastAsiaTheme="minorEastAsia" w:hint="eastAsia"/>
          <w:color w:val="333333"/>
          <w:sz w:val="24"/>
          <w:szCs w:val="24"/>
          <w:shd w:val="clear" w:color="auto" w:fill="FFFFFF"/>
          <w:lang w:val="en-GB"/>
        </w:rPr>
        <w:t>及其</w:t>
      </w:r>
      <w:r w:rsidRPr="00237745">
        <w:rPr>
          <w:rFonts w:eastAsiaTheme="minorEastAsia"/>
          <w:color w:val="333333"/>
          <w:sz w:val="24"/>
          <w:szCs w:val="24"/>
          <w:shd w:val="clear" w:color="auto" w:fill="FFFFFF"/>
          <w:lang w:val="en-GB"/>
        </w:rPr>
        <w:t>相关化合</w:t>
      </w:r>
      <w:r w:rsidRPr="00237745">
        <w:rPr>
          <w:rFonts w:eastAsiaTheme="minorEastAsia" w:hint="eastAsia"/>
          <w:color w:val="333333"/>
          <w:sz w:val="24"/>
          <w:szCs w:val="24"/>
          <w:shd w:val="clear" w:color="auto" w:fill="FFFFFF"/>
          <w:lang w:val="en-GB"/>
        </w:rPr>
        <w:t>物的通知书中有《鹿特丹公约》附件</w:t>
      </w:r>
      <w:proofErr w:type="gramStart"/>
      <w:r w:rsidRPr="00237745">
        <w:rPr>
          <w:rFonts w:eastAsiaTheme="minorEastAsia" w:hint="eastAsia"/>
          <w:color w:val="333333"/>
          <w:sz w:val="24"/>
          <w:szCs w:val="24"/>
          <w:shd w:val="clear" w:color="auto" w:fill="FFFFFF"/>
          <w:lang w:val="en-GB"/>
        </w:rPr>
        <w:t>一要求</w:t>
      </w:r>
      <w:proofErr w:type="gramEnd"/>
      <w:r w:rsidRPr="00237745">
        <w:rPr>
          <w:rFonts w:eastAsiaTheme="minorEastAsia" w:hint="eastAsia"/>
          <w:color w:val="333333"/>
          <w:sz w:val="24"/>
          <w:szCs w:val="24"/>
          <w:shd w:val="clear" w:color="auto" w:fill="FFFFFF"/>
          <w:lang w:val="en-GB"/>
        </w:rPr>
        <w:t>提供的信息。秘书处和主席团对通知书进行了初步审查，以评定通知书是否符合《公约》的要求。</w:t>
      </w:r>
      <w:r w:rsidRPr="00237745">
        <w:rPr>
          <w:rFonts w:eastAsiaTheme="minorEastAsia"/>
          <w:color w:val="333333"/>
          <w:sz w:val="24"/>
          <w:szCs w:val="24"/>
          <w:shd w:val="clear" w:color="auto" w:fill="FFFFFF"/>
          <w:lang w:val="en-GB"/>
        </w:rPr>
        <w:t xml:space="preserve"> </w:t>
      </w:r>
    </w:p>
    <w:p w:rsidR="001F52B3" w:rsidRPr="00237745"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jc w:val="left"/>
        <w:rPr>
          <w:rFonts w:eastAsiaTheme="minorEastAsia"/>
          <w:color w:val="333333"/>
          <w:sz w:val="24"/>
          <w:szCs w:val="24"/>
          <w:shd w:val="clear" w:color="auto" w:fill="FFFFFF"/>
          <w:lang w:val="en-GB"/>
        </w:rPr>
      </w:pPr>
      <w:r w:rsidRPr="00237745">
        <w:rPr>
          <w:rFonts w:eastAsiaTheme="minorEastAsia" w:hint="eastAsia"/>
          <w:color w:val="333333"/>
          <w:sz w:val="24"/>
          <w:szCs w:val="24"/>
          <w:shd w:val="clear" w:color="auto" w:fill="FFFFFF"/>
          <w:lang w:val="en-GB"/>
        </w:rPr>
        <w:t>已经把通知书、辅助文件和初步审查的结果提交给化学品审查委员会审议</w:t>
      </w:r>
      <w:r w:rsidRPr="00237745">
        <w:rPr>
          <w:rFonts w:eastAsiaTheme="minorEastAsia"/>
          <w:color w:val="333333"/>
          <w:sz w:val="24"/>
          <w:szCs w:val="24"/>
          <w:shd w:val="clear" w:color="auto" w:fill="FFFFFF"/>
          <w:lang w:val="en-GB"/>
        </w:rPr>
        <w:t xml:space="preserve"> ( UNEP/FAO/RC/CRC.14/8</w:t>
      </w:r>
      <w:r w:rsidRPr="00237745">
        <w:rPr>
          <w:rFonts w:eastAsiaTheme="minorEastAsia" w:hint="eastAsia"/>
          <w:color w:val="333333"/>
          <w:sz w:val="24"/>
          <w:szCs w:val="24"/>
          <w:shd w:val="clear" w:color="auto" w:fill="FFFFFF"/>
          <w:lang w:val="en-GB"/>
        </w:rPr>
        <w:t>、</w:t>
      </w:r>
      <w:r w:rsidRPr="00237745">
        <w:rPr>
          <w:rFonts w:eastAsiaTheme="minorEastAsia"/>
          <w:color w:val="333333"/>
          <w:sz w:val="24"/>
          <w:szCs w:val="24"/>
          <w:shd w:val="clear" w:color="auto" w:fill="FFFFFF"/>
          <w:lang w:val="en-GB"/>
        </w:rPr>
        <w:t>UNEP/FAO/RC/CRC.14/INF/13</w:t>
      </w:r>
      <w:r w:rsidRPr="00237745">
        <w:rPr>
          <w:rFonts w:eastAsiaTheme="minorEastAsia" w:hint="eastAsia"/>
          <w:color w:val="333333"/>
          <w:sz w:val="24"/>
          <w:szCs w:val="24"/>
          <w:shd w:val="clear" w:color="auto" w:fill="FFFFFF"/>
          <w:lang w:val="en-GB"/>
        </w:rPr>
        <w:t>和</w:t>
      </w:r>
      <w:r w:rsidRPr="00237745">
        <w:rPr>
          <w:rFonts w:eastAsiaTheme="minorEastAsia"/>
          <w:color w:val="333333"/>
          <w:sz w:val="24"/>
          <w:szCs w:val="24"/>
          <w:shd w:val="clear" w:color="auto" w:fill="FFFFFF"/>
          <w:lang w:val="en-GB"/>
        </w:rPr>
        <w:t>UNEP/FAO/RC/CRC.14/INF/14</w:t>
      </w:r>
      <w:r w:rsidRPr="00237745">
        <w:rPr>
          <w:rFonts w:eastAsiaTheme="minorEastAsia" w:hint="eastAsia"/>
          <w:color w:val="333333"/>
          <w:sz w:val="24"/>
          <w:szCs w:val="24"/>
          <w:shd w:val="clear" w:color="auto" w:fill="FFFFFF"/>
          <w:lang w:val="en-GB"/>
        </w:rPr>
        <w:t>号文件</w:t>
      </w:r>
      <w:r w:rsidRPr="00237745">
        <w:rPr>
          <w:rFonts w:eastAsiaTheme="minorEastAsia"/>
          <w:color w:val="333333"/>
          <w:sz w:val="24"/>
          <w:szCs w:val="24"/>
          <w:shd w:val="clear" w:color="auto" w:fill="FFFFFF"/>
          <w:lang w:val="en-GB"/>
        </w:rPr>
        <w:t>)</w:t>
      </w:r>
      <w:r w:rsidRPr="00237745">
        <w:rPr>
          <w:rFonts w:eastAsiaTheme="minorEastAsia" w:hint="eastAsia"/>
          <w:color w:val="333333"/>
          <w:sz w:val="24"/>
          <w:szCs w:val="24"/>
          <w:shd w:val="clear" w:color="auto" w:fill="FFFFFF"/>
          <w:lang w:val="en-GB"/>
        </w:rPr>
        <w:t>。</w:t>
      </w:r>
    </w:p>
    <w:p w:rsidR="001F52B3" w:rsidRPr="00237745" w:rsidRDefault="001F52B3" w:rsidP="001F52B3">
      <w:pPr>
        <w:keepNext/>
        <w:keepLines/>
        <w:tabs>
          <w:tab w:val="right" w:pos="851"/>
          <w:tab w:val="left" w:pos="4082"/>
        </w:tabs>
        <w:suppressAutoHyphens/>
        <w:spacing w:before="240" w:line="240" w:lineRule="auto"/>
        <w:ind w:left="1247" w:right="284" w:hanging="1247"/>
        <w:jc w:val="left"/>
        <w:rPr>
          <w:b/>
          <w:sz w:val="28"/>
          <w:szCs w:val="28"/>
          <w:lang w:val="en-GB" w:eastAsia="en-US"/>
        </w:rPr>
      </w:pPr>
      <w:r w:rsidRPr="00237745">
        <w:rPr>
          <w:b/>
          <w:sz w:val="28"/>
          <w:szCs w:val="28"/>
          <w:lang w:val="en-GB" w:eastAsia="en-US"/>
        </w:rPr>
        <w:tab/>
      </w:r>
      <w:r w:rsidRPr="00237745">
        <w:rPr>
          <w:rFonts w:ascii="SimHei" w:eastAsia="SimHei" w:hAnsi="SimHei" w:hint="eastAsia"/>
          <w:b/>
          <w:bCs/>
          <w:sz w:val="28"/>
          <w:szCs w:val="26"/>
          <w:lang w:val="en-GB"/>
        </w:rPr>
        <w:t>一、</w:t>
      </w:r>
      <w:r w:rsidRPr="00237745">
        <w:rPr>
          <w:rFonts w:ascii="SimHei" w:eastAsia="SimHei" w:hAnsi="SimHei"/>
          <w:b/>
          <w:bCs/>
          <w:sz w:val="28"/>
          <w:szCs w:val="26"/>
          <w:lang w:val="en-GB"/>
        </w:rPr>
        <w:tab/>
      </w:r>
      <w:r w:rsidRPr="00237745">
        <w:rPr>
          <w:rFonts w:ascii="SimHei" w:eastAsia="SimHei" w:hAnsi="SimHei" w:hint="eastAsia"/>
          <w:b/>
          <w:bCs/>
          <w:sz w:val="28"/>
          <w:szCs w:val="26"/>
          <w:lang w:val="en-GB"/>
        </w:rPr>
        <w:t>挪威</w:t>
      </w:r>
    </w:p>
    <w:p w:rsidR="001F52B3" w:rsidRPr="00237745" w:rsidRDefault="001F52B3" w:rsidP="001F52B3">
      <w:pPr>
        <w:keepNext/>
        <w:keepLines/>
        <w:tabs>
          <w:tab w:val="right" w:pos="851"/>
          <w:tab w:val="left" w:pos="4082"/>
        </w:tabs>
        <w:suppressAutoHyphens/>
        <w:spacing w:line="240" w:lineRule="auto"/>
        <w:ind w:left="1247" w:right="284" w:hanging="1247"/>
        <w:jc w:val="left"/>
        <w:rPr>
          <w:b/>
          <w:snapToGrid w:val="0"/>
          <w:sz w:val="20"/>
          <w:szCs w:val="20"/>
          <w:lang w:val="en-GB" w:eastAsia="en-US"/>
        </w:rPr>
      </w:pPr>
      <w:r w:rsidRPr="00237745">
        <w:rPr>
          <w:b/>
          <w:snapToGrid w:val="0"/>
          <w:sz w:val="20"/>
          <w:szCs w:val="20"/>
          <w:lang w:val="en-GB" w:eastAsia="en-US"/>
        </w:rPr>
        <w:tab/>
      </w:r>
      <w:r w:rsidRPr="00237745">
        <w:rPr>
          <w:b/>
          <w:snapToGrid w:val="0"/>
          <w:sz w:val="24"/>
          <w:szCs w:val="24"/>
          <w:lang w:val="en-GB" w:eastAsia="en-US"/>
        </w:rPr>
        <w:t>(a)</w:t>
      </w:r>
      <w:r w:rsidRPr="00237745">
        <w:rPr>
          <w:b/>
          <w:snapToGrid w:val="0"/>
          <w:sz w:val="20"/>
          <w:szCs w:val="20"/>
          <w:lang w:val="en-GB" w:eastAsia="en-US"/>
        </w:rPr>
        <w:tab/>
      </w:r>
      <w:r w:rsidRPr="00237745">
        <w:rPr>
          <w:rFonts w:ascii="SimHei" w:eastAsia="SimHei" w:hAnsi="SimHei" w:hint="eastAsia"/>
          <w:b/>
          <w:snapToGrid w:val="0"/>
          <w:sz w:val="24"/>
          <w:szCs w:val="24"/>
          <w:lang w:val="en-GB"/>
        </w:rPr>
        <w:t>挪威通知的管制行动范围</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挪威通知的管制行动涉及用作工业化学品</w:t>
      </w:r>
      <w:proofErr w:type="gramStart"/>
      <w:r w:rsidRPr="009E1C9D">
        <w:rPr>
          <w:color w:val="333333"/>
          <w:sz w:val="24"/>
          <w:szCs w:val="24"/>
          <w:shd w:val="clear" w:color="auto" w:fill="FFFFFF"/>
          <w:lang w:val="en-GB"/>
        </w:rPr>
        <w:t>的全氟辛酸</w:t>
      </w:r>
      <w:proofErr w:type="gramEnd"/>
      <w:r w:rsidRPr="009E1C9D">
        <w:rPr>
          <w:color w:val="333333"/>
          <w:sz w:val="24"/>
          <w:szCs w:val="24"/>
          <w:shd w:val="clear" w:color="auto" w:fill="FFFFFF"/>
          <w:lang w:val="en-GB"/>
        </w:rPr>
        <w:t>、其盐类及其相关化合物（下面统称</w:t>
      </w:r>
      <w:proofErr w:type="gramStart"/>
      <w:r w:rsidRPr="009E1C9D">
        <w:rPr>
          <w:color w:val="333333"/>
          <w:sz w:val="24"/>
          <w:szCs w:val="24"/>
          <w:shd w:val="clear" w:color="auto" w:fill="FFFFFF"/>
          <w:lang w:val="en-GB"/>
        </w:rPr>
        <w:t>为全氟辛酸</w:t>
      </w:r>
      <w:proofErr w:type="gramEnd"/>
      <w:r w:rsidRPr="009E1C9D">
        <w:rPr>
          <w:color w:val="333333"/>
          <w:sz w:val="24"/>
          <w:szCs w:val="24"/>
          <w:shd w:val="clear" w:color="auto" w:fill="FFFFFF"/>
          <w:lang w:val="en-GB"/>
        </w:rPr>
        <w:t>）。已从</w:t>
      </w:r>
      <w:r w:rsidRPr="009E1C9D">
        <w:rPr>
          <w:color w:val="333333"/>
          <w:sz w:val="24"/>
          <w:szCs w:val="24"/>
          <w:shd w:val="clear" w:color="auto" w:fill="FFFFFF"/>
          <w:lang w:val="en-GB"/>
        </w:rPr>
        <w:t>2014</w:t>
      </w:r>
      <w:r w:rsidRPr="009E1C9D">
        <w:rPr>
          <w:color w:val="333333"/>
          <w:sz w:val="24"/>
          <w:szCs w:val="24"/>
          <w:shd w:val="clear" w:color="auto" w:fill="FFFFFF"/>
          <w:lang w:val="en-GB"/>
        </w:rPr>
        <w:t>年</w:t>
      </w:r>
      <w:r w:rsidRPr="009E1C9D">
        <w:rPr>
          <w:color w:val="333333"/>
          <w:sz w:val="24"/>
          <w:szCs w:val="24"/>
          <w:shd w:val="clear" w:color="auto" w:fill="FFFFFF"/>
          <w:lang w:val="en-GB"/>
        </w:rPr>
        <w:t>6</w:t>
      </w:r>
      <w:r w:rsidRPr="009E1C9D">
        <w:rPr>
          <w:color w:val="333333"/>
          <w:sz w:val="24"/>
          <w:szCs w:val="24"/>
          <w:shd w:val="clear" w:color="auto" w:fill="FFFFFF"/>
          <w:lang w:val="en-GB"/>
        </w:rPr>
        <w:t>月</w:t>
      </w:r>
      <w:r w:rsidRPr="009E1C9D">
        <w:rPr>
          <w:color w:val="333333"/>
          <w:sz w:val="24"/>
          <w:szCs w:val="24"/>
          <w:shd w:val="clear" w:color="auto" w:fill="FFFFFF"/>
          <w:lang w:val="en-GB"/>
        </w:rPr>
        <w:t>1</w:t>
      </w:r>
      <w:r w:rsidRPr="009E1C9D">
        <w:rPr>
          <w:color w:val="333333"/>
          <w:sz w:val="24"/>
          <w:szCs w:val="24"/>
          <w:shd w:val="clear" w:color="auto" w:fill="FFFFFF"/>
          <w:lang w:val="en-GB"/>
        </w:rPr>
        <w:t>日起禁止制造、进口、出口和销售含有</w:t>
      </w:r>
      <w:proofErr w:type="gramStart"/>
      <w:r w:rsidRPr="009E1C9D">
        <w:rPr>
          <w:color w:val="333333"/>
          <w:sz w:val="24"/>
          <w:szCs w:val="24"/>
          <w:shd w:val="clear" w:color="auto" w:fill="FFFFFF"/>
          <w:lang w:val="en-GB"/>
        </w:rPr>
        <w:t>纯全氟辛酸</w:t>
      </w:r>
      <w:proofErr w:type="gramEnd"/>
      <w:r w:rsidRPr="009E1C9D">
        <w:rPr>
          <w:color w:val="333333"/>
          <w:sz w:val="24"/>
          <w:szCs w:val="24"/>
          <w:shd w:val="clear" w:color="auto" w:fill="FFFFFF"/>
          <w:lang w:val="en-GB"/>
        </w:rPr>
        <w:t>和</w:t>
      </w:r>
      <w:proofErr w:type="gramStart"/>
      <w:r w:rsidRPr="009E1C9D">
        <w:rPr>
          <w:color w:val="333333"/>
          <w:sz w:val="24"/>
          <w:szCs w:val="24"/>
          <w:shd w:val="clear" w:color="auto" w:fill="FFFFFF"/>
          <w:lang w:val="en-GB"/>
        </w:rPr>
        <w:t>全氟辛酸单盐</w:t>
      </w:r>
      <w:proofErr w:type="gramEnd"/>
      <w:r w:rsidRPr="009E1C9D">
        <w:rPr>
          <w:color w:val="333333"/>
          <w:sz w:val="24"/>
          <w:szCs w:val="24"/>
          <w:shd w:val="clear" w:color="auto" w:fill="FFFFFF"/>
          <w:lang w:val="en-GB"/>
        </w:rPr>
        <w:t>和单酯</w:t>
      </w:r>
      <w:r w:rsidRPr="009E1C9D">
        <w:rPr>
          <w:color w:val="333333"/>
          <w:sz w:val="24"/>
          <w:szCs w:val="24"/>
          <w:shd w:val="clear" w:color="auto" w:fill="FFFFFF"/>
          <w:lang w:val="en-GB"/>
        </w:rPr>
        <w:t>(</w:t>
      </w:r>
      <w:r w:rsidRPr="009E1C9D">
        <w:rPr>
          <w:color w:val="333333"/>
          <w:sz w:val="24"/>
          <w:szCs w:val="24"/>
          <w:shd w:val="clear" w:color="auto" w:fill="FFFFFF"/>
          <w:lang w:val="en-GB"/>
        </w:rPr>
        <w:t>化学文摘社编号：</w:t>
      </w:r>
      <w:r w:rsidRPr="009E1C9D">
        <w:rPr>
          <w:color w:val="333333"/>
          <w:sz w:val="24"/>
          <w:szCs w:val="24"/>
          <w:shd w:val="clear" w:color="auto" w:fill="FFFFFF"/>
          <w:lang w:val="en-GB"/>
        </w:rPr>
        <w:t>335-67-1, 3825-26-1, 335-95-5, 2395-00-8, 335-93-3, 335-66-0, 376-27-2, 3108-24-5)</w:t>
      </w:r>
      <w:r w:rsidRPr="009E1C9D">
        <w:rPr>
          <w:color w:val="333333"/>
          <w:sz w:val="24"/>
          <w:szCs w:val="24"/>
          <w:shd w:val="clear" w:color="auto" w:fill="FFFFFF"/>
          <w:lang w:val="en-GB"/>
        </w:rPr>
        <w:t>或其混合物（如果混合物按重量计算含有</w:t>
      </w:r>
      <w:r w:rsidRPr="009E1C9D">
        <w:rPr>
          <w:color w:val="333333"/>
          <w:sz w:val="24"/>
          <w:szCs w:val="24"/>
          <w:shd w:val="clear" w:color="auto" w:fill="FFFFFF"/>
          <w:lang w:val="en-GB"/>
        </w:rPr>
        <w:t>0.001%</w:t>
      </w:r>
      <w:r w:rsidRPr="009E1C9D">
        <w:rPr>
          <w:color w:val="333333"/>
          <w:sz w:val="24"/>
          <w:szCs w:val="24"/>
          <w:shd w:val="clear" w:color="auto" w:fill="FFFFFF"/>
          <w:lang w:val="en-GB"/>
        </w:rPr>
        <w:t>或更多</w:t>
      </w:r>
      <w:proofErr w:type="gramStart"/>
      <w:r w:rsidRPr="009E1C9D">
        <w:rPr>
          <w:color w:val="333333"/>
          <w:sz w:val="24"/>
          <w:szCs w:val="24"/>
          <w:shd w:val="clear" w:color="auto" w:fill="FFFFFF"/>
          <w:lang w:val="en-GB"/>
        </w:rPr>
        <w:t>的全氟辛酸</w:t>
      </w:r>
      <w:proofErr w:type="gramEnd"/>
      <w:r w:rsidRPr="009E1C9D">
        <w:rPr>
          <w:color w:val="333333"/>
          <w:sz w:val="24"/>
          <w:szCs w:val="24"/>
          <w:shd w:val="clear" w:color="auto" w:fill="FFFFFF"/>
          <w:lang w:val="en-GB"/>
        </w:rPr>
        <w:t>）的消费产品。</w:t>
      </w:r>
      <w:r w:rsidRPr="009E1C9D">
        <w:rPr>
          <w:color w:val="333333"/>
          <w:sz w:val="24"/>
          <w:szCs w:val="24"/>
          <w:shd w:val="clear" w:color="auto" w:fill="FFFFFF"/>
          <w:lang w:val="en-GB"/>
        </w:rPr>
        <w:lastRenderedPageBreak/>
        <w:t>此外，从</w:t>
      </w:r>
      <w:r w:rsidRPr="009E1C9D">
        <w:rPr>
          <w:color w:val="333333"/>
          <w:sz w:val="24"/>
          <w:szCs w:val="24"/>
          <w:shd w:val="clear" w:color="auto" w:fill="FFFFFF"/>
          <w:lang w:val="en-GB"/>
        </w:rPr>
        <w:t>2014</w:t>
      </w:r>
      <w:r w:rsidRPr="009E1C9D">
        <w:rPr>
          <w:color w:val="333333"/>
          <w:sz w:val="24"/>
          <w:szCs w:val="24"/>
          <w:shd w:val="clear" w:color="auto" w:fill="FFFFFF"/>
          <w:lang w:val="en-GB"/>
        </w:rPr>
        <w:t>年</w:t>
      </w:r>
      <w:r w:rsidRPr="009E1C9D">
        <w:rPr>
          <w:color w:val="333333"/>
          <w:sz w:val="24"/>
          <w:szCs w:val="24"/>
          <w:shd w:val="clear" w:color="auto" w:fill="FFFFFF"/>
          <w:lang w:val="en-GB"/>
        </w:rPr>
        <w:t>6</w:t>
      </w:r>
      <w:r w:rsidRPr="009E1C9D">
        <w:rPr>
          <w:color w:val="333333"/>
          <w:sz w:val="24"/>
          <w:szCs w:val="24"/>
          <w:shd w:val="clear" w:color="auto" w:fill="FFFFFF"/>
          <w:lang w:val="en-GB"/>
        </w:rPr>
        <w:t>月</w:t>
      </w:r>
      <w:r w:rsidRPr="009E1C9D">
        <w:rPr>
          <w:color w:val="333333"/>
          <w:sz w:val="24"/>
          <w:szCs w:val="24"/>
          <w:shd w:val="clear" w:color="auto" w:fill="FFFFFF"/>
          <w:lang w:val="en-GB"/>
        </w:rPr>
        <w:t>1</w:t>
      </w:r>
      <w:r w:rsidRPr="009E1C9D">
        <w:rPr>
          <w:color w:val="333333"/>
          <w:sz w:val="24"/>
          <w:szCs w:val="24"/>
          <w:shd w:val="clear" w:color="auto" w:fill="FFFFFF"/>
          <w:lang w:val="en-GB"/>
        </w:rPr>
        <w:t>日起禁止制造、进口、出口和销售</w:t>
      </w:r>
      <w:proofErr w:type="gramStart"/>
      <w:r w:rsidRPr="009E1C9D">
        <w:rPr>
          <w:color w:val="333333"/>
          <w:sz w:val="24"/>
          <w:szCs w:val="24"/>
          <w:shd w:val="clear" w:color="auto" w:fill="FFFFFF"/>
          <w:lang w:val="en-GB"/>
        </w:rPr>
        <w:t>含有全氟辛酸</w:t>
      </w:r>
      <w:proofErr w:type="gramEnd"/>
      <w:r w:rsidRPr="009E1C9D">
        <w:rPr>
          <w:color w:val="333333"/>
          <w:sz w:val="24"/>
          <w:szCs w:val="24"/>
          <w:shd w:val="clear" w:color="auto" w:fill="FFFFFF"/>
          <w:lang w:val="en-GB"/>
        </w:rPr>
        <w:t>的纺织品、地毯和其他涂层消费产品，如果产品单个组成部分</w:t>
      </w:r>
      <w:proofErr w:type="gramStart"/>
      <w:r w:rsidRPr="009E1C9D">
        <w:rPr>
          <w:color w:val="333333"/>
          <w:sz w:val="24"/>
          <w:szCs w:val="24"/>
          <w:shd w:val="clear" w:color="auto" w:fill="FFFFFF"/>
          <w:lang w:val="en-GB"/>
        </w:rPr>
        <w:t>的全氟辛酸</w:t>
      </w:r>
      <w:proofErr w:type="gramEnd"/>
      <w:r w:rsidRPr="009E1C9D">
        <w:rPr>
          <w:color w:val="333333"/>
          <w:sz w:val="24"/>
          <w:szCs w:val="24"/>
          <w:shd w:val="clear" w:color="auto" w:fill="FFFFFF"/>
          <w:lang w:val="en-GB"/>
        </w:rPr>
        <w:t>含量按重量计算大于等于</w:t>
      </w:r>
      <w:r>
        <w:rPr>
          <w:rFonts w:hint="eastAsia"/>
          <w:color w:val="333333"/>
          <w:sz w:val="24"/>
          <w:szCs w:val="24"/>
          <w:shd w:val="clear" w:color="auto" w:fill="FFFFFF"/>
          <w:lang w:val="en-GB"/>
        </w:rPr>
        <w:t>0</w:t>
      </w:r>
      <w:r>
        <w:rPr>
          <w:color w:val="333333"/>
          <w:sz w:val="24"/>
          <w:szCs w:val="24"/>
          <w:shd w:val="clear" w:color="auto" w:fill="FFFFFF"/>
          <w:lang w:val="en-GB"/>
        </w:rPr>
        <w:t>.</w:t>
      </w:r>
      <w:r w:rsidRPr="009E1C9D">
        <w:rPr>
          <w:color w:val="333333"/>
          <w:sz w:val="24"/>
          <w:szCs w:val="24"/>
          <w:shd w:val="clear" w:color="auto" w:fill="FFFFFF"/>
          <w:lang w:val="en-GB"/>
        </w:rPr>
        <w:t>1%</w:t>
      </w:r>
      <w:r w:rsidRPr="009E1C9D">
        <w:rPr>
          <w:color w:val="333333"/>
          <w:sz w:val="24"/>
          <w:szCs w:val="24"/>
          <w:shd w:val="clear" w:color="auto" w:fill="FFFFFF"/>
          <w:lang w:val="en-GB"/>
        </w:rPr>
        <w:t>。禁令不适用于食品包装、食品接触材料和医疗器械，也不适用于</w:t>
      </w:r>
      <w:r w:rsidRPr="009E1C9D">
        <w:rPr>
          <w:color w:val="333333"/>
          <w:sz w:val="24"/>
          <w:szCs w:val="24"/>
          <w:shd w:val="clear" w:color="auto" w:fill="FFFFFF"/>
          <w:lang w:val="en-GB"/>
        </w:rPr>
        <w:t>2014</w:t>
      </w:r>
      <w:r w:rsidRPr="009E1C9D">
        <w:rPr>
          <w:color w:val="333333"/>
          <w:sz w:val="24"/>
          <w:szCs w:val="24"/>
          <w:shd w:val="clear" w:color="auto" w:fill="FFFFFF"/>
          <w:lang w:val="en-GB"/>
        </w:rPr>
        <w:t>年</w:t>
      </w:r>
      <w:r w:rsidRPr="009E1C9D">
        <w:rPr>
          <w:color w:val="333333"/>
          <w:sz w:val="24"/>
          <w:szCs w:val="24"/>
          <w:shd w:val="clear" w:color="auto" w:fill="FFFFFF"/>
          <w:lang w:val="en-GB"/>
        </w:rPr>
        <w:t>6</w:t>
      </w:r>
      <w:r w:rsidRPr="009E1C9D">
        <w:rPr>
          <w:color w:val="333333"/>
          <w:sz w:val="24"/>
          <w:szCs w:val="24"/>
          <w:shd w:val="clear" w:color="auto" w:fill="FFFFFF"/>
          <w:lang w:val="en-GB"/>
        </w:rPr>
        <w:t>月</w:t>
      </w:r>
      <w:r w:rsidRPr="009E1C9D">
        <w:rPr>
          <w:color w:val="333333"/>
          <w:sz w:val="24"/>
          <w:szCs w:val="24"/>
          <w:shd w:val="clear" w:color="auto" w:fill="FFFFFF"/>
          <w:lang w:val="en-GB"/>
        </w:rPr>
        <w:t>1</w:t>
      </w:r>
      <w:r w:rsidRPr="009E1C9D">
        <w:rPr>
          <w:color w:val="333333"/>
          <w:sz w:val="24"/>
          <w:szCs w:val="24"/>
          <w:shd w:val="clear" w:color="auto" w:fill="FFFFFF"/>
          <w:lang w:val="en-GB"/>
        </w:rPr>
        <w:t>日前销售的消费产品的备件。</w:t>
      </w:r>
    </w:p>
    <w:p w:rsidR="001F52B3" w:rsidRPr="00237745" w:rsidRDefault="001F52B3" w:rsidP="001F52B3">
      <w:pPr>
        <w:keepNext/>
        <w:keepLines/>
        <w:tabs>
          <w:tab w:val="right" w:pos="851"/>
          <w:tab w:val="left" w:pos="4082"/>
        </w:tabs>
        <w:suppressAutoHyphens/>
        <w:spacing w:line="240" w:lineRule="auto"/>
        <w:ind w:left="1247" w:right="284" w:hanging="1247"/>
        <w:jc w:val="left"/>
        <w:rPr>
          <w:b/>
          <w:snapToGrid w:val="0"/>
          <w:sz w:val="20"/>
          <w:szCs w:val="20"/>
          <w:lang w:val="en-GB" w:eastAsia="en-US"/>
        </w:rPr>
      </w:pPr>
      <w:r w:rsidRPr="00237745">
        <w:rPr>
          <w:b/>
          <w:snapToGrid w:val="0"/>
          <w:sz w:val="20"/>
          <w:szCs w:val="20"/>
          <w:lang w:val="en-GB"/>
        </w:rPr>
        <w:tab/>
      </w:r>
      <w:r w:rsidRPr="00237745">
        <w:rPr>
          <w:b/>
          <w:snapToGrid w:val="0"/>
          <w:sz w:val="24"/>
          <w:szCs w:val="24"/>
          <w:lang w:val="en-GB" w:eastAsia="en-US"/>
        </w:rPr>
        <w:t>(b)</w:t>
      </w:r>
      <w:r w:rsidRPr="00237745">
        <w:rPr>
          <w:b/>
          <w:snapToGrid w:val="0"/>
          <w:sz w:val="20"/>
          <w:szCs w:val="20"/>
          <w:lang w:val="en-GB" w:eastAsia="en-US"/>
        </w:rPr>
        <w:tab/>
      </w:r>
      <w:r w:rsidRPr="009E1C9D">
        <w:rPr>
          <w:rFonts w:eastAsia="SimHei"/>
          <w:b/>
          <w:snapToGrid w:val="0"/>
          <w:sz w:val="24"/>
          <w:szCs w:val="24"/>
          <w:lang w:val="en-GB"/>
        </w:rPr>
        <w:t>附件二</w:t>
      </w:r>
      <w:r w:rsidRPr="009E1C9D">
        <w:rPr>
          <w:rFonts w:eastAsia="SimHei"/>
          <w:b/>
          <w:snapToGrid w:val="0"/>
          <w:sz w:val="24"/>
          <w:szCs w:val="24"/>
          <w:lang w:val="en-GB"/>
        </w:rPr>
        <w:t xml:space="preserve"> (a)</w:t>
      </w:r>
      <w:r w:rsidRPr="009E1C9D">
        <w:rPr>
          <w:rFonts w:eastAsia="SimHei"/>
          <w:b/>
          <w:snapToGrid w:val="0"/>
          <w:sz w:val="24"/>
          <w:szCs w:val="24"/>
          <w:lang w:val="en-GB"/>
        </w:rPr>
        <w:t>段的标准</w:t>
      </w:r>
    </w:p>
    <w:p w:rsidR="001F52B3" w:rsidRPr="009E1C9D" w:rsidRDefault="001F52B3" w:rsidP="001F52B3">
      <w:pPr>
        <w:tabs>
          <w:tab w:val="clear" w:pos="1247"/>
          <w:tab w:val="clear" w:pos="1814"/>
          <w:tab w:val="clear" w:pos="2381"/>
          <w:tab w:val="clear" w:pos="2948"/>
          <w:tab w:val="clear" w:pos="3515"/>
          <w:tab w:val="left" w:pos="624"/>
        </w:tabs>
        <w:spacing w:line="240" w:lineRule="auto"/>
        <w:ind w:left="1247" w:firstLine="624"/>
        <w:jc w:val="left"/>
        <w:rPr>
          <w:rFonts w:eastAsia="KaiTi"/>
          <w:i/>
          <w:sz w:val="20"/>
          <w:szCs w:val="20"/>
          <w:lang w:val="en-GB" w:eastAsia="ja-JP"/>
        </w:rPr>
      </w:pPr>
      <w:r w:rsidRPr="009E1C9D">
        <w:rPr>
          <w:rFonts w:eastAsia="KaiTi"/>
          <w:sz w:val="24"/>
          <w:szCs w:val="24"/>
          <w:lang w:val="en-GB"/>
        </w:rPr>
        <w:t>(a)</w:t>
      </w:r>
      <w:r w:rsidRPr="009E1C9D">
        <w:rPr>
          <w:rFonts w:eastAsia="KaiTi"/>
          <w:sz w:val="24"/>
          <w:szCs w:val="24"/>
          <w:lang w:val="en-GB"/>
        </w:rPr>
        <w:tab/>
      </w:r>
      <w:r w:rsidRPr="009E1C9D">
        <w:rPr>
          <w:rFonts w:eastAsia="KaiTi"/>
          <w:sz w:val="24"/>
          <w:szCs w:val="24"/>
          <w:lang w:val="en-GB"/>
        </w:rPr>
        <w:t>确认为保护人民健康或环境已采取了最后管制行动；</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sz w:val="24"/>
          <w:szCs w:val="24"/>
          <w:lang w:val="en-GB"/>
        </w:rPr>
      </w:pPr>
      <w:r w:rsidRPr="009E1C9D">
        <w:rPr>
          <w:sz w:val="24"/>
          <w:szCs w:val="24"/>
          <w:lang w:val="en-GB"/>
        </w:rPr>
        <w:t>委员会确认，采取管制行动是为了保护人民健康和环境。通知书称，</w:t>
      </w:r>
      <w:proofErr w:type="gramStart"/>
      <w:r w:rsidRPr="009E1C9D">
        <w:rPr>
          <w:sz w:val="24"/>
          <w:szCs w:val="24"/>
          <w:lang w:val="en-GB"/>
        </w:rPr>
        <w:t>就全氟辛酸</w:t>
      </w:r>
      <w:proofErr w:type="gramEnd"/>
      <w:r w:rsidRPr="009E1C9D">
        <w:rPr>
          <w:sz w:val="24"/>
          <w:szCs w:val="24"/>
          <w:lang w:val="en-GB"/>
        </w:rPr>
        <w:t>的健康和环境特性而言，它是一个非常值得关注的物质。</w:t>
      </w:r>
      <w:proofErr w:type="gramStart"/>
      <w:r w:rsidRPr="009E1C9D">
        <w:rPr>
          <w:sz w:val="24"/>
          <w:szCs w:val="24"/>
          <w:lang w:val="en-GB"/>
        </w:rPr>
        <w:t>全氟辛酸</w:t>
      </w:r>
      <w:proofErr w:type="gramEnd"/>
      <w:r w:rsidRPr="009E1C9D">
        <w:rPr>
          <w:sz w:val="24"/>
          <w:szCs w:val="24"/>
          <w:lang w:val="en-GB"/>
        </w:rPr>
        <w:t>对生殖系统有害，反复接触会致癌、导致中毒和损害人体健康，它也是一种刺激物质。</w:t>
      </w:r>
      <w:proofErr w:type="gramStart"/>
      <w:r w:rsidRPr="009E1C9D">
        <w:rPr>
          <w:sz w:val="24"/>
          <w:szCs w:val="24"/>
          <w:lang w:val="en-GB"/>
        </w:rPr>
        <w:t>全氟辛酸</w:t>
      </w:r>
      <w:proofErr w:type="gramEnd"/>
      <w:r w:rsidRPr="009E1C9D">
        <w:rPr>
          <w:sz w:val="24"/>
          <w:szCs w:val="24"/>
          <w:lang w:val="en-GB"/>
        </w:rPr>
        <w:t>在环境中不会降解。通知书阐述了有关特定风险，认为</w:t>
      </w:r>
      <w:proofErr w:type="gramStart"/>
      <w:r w:rsidRPr="009E1C9D">
        <w:rPr>
          <w:sz w:val="24"/>
          <w:szCs w:val="24"/>
          <w:lang w:val="en-GB"/>
        </w:rPr>
        <w:t>由于全氟辛酸</w:t>
      </w:r>
      <w:proofErr w:type="gramEnd"/>
      <w:r w:rsidRPr="009E1C9D">
        <w:rPr>
          <w:sz w:val="24"/>
          <w:szCs w:val="24"/>
          <w:lang w:val="en-GB"/>
        </w:rPr>
        <w:t>在环境中具有这些特性，无法确定一个可以接受的水平，并认为应尽可能限制排放和接触。</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sz w:val="24"/>
          <w:szCs w:val="24"/>
          <w:lang w:val="en-GB"/>
        </w:rPr>
      </w:pPr>
      <w:r w:rsidRPr="009E1C9D">
        <w:rPr>
          <w:sz w:val="24"/>
          <w:szCs w:val="24"/>
          <w:lang w:val="en-GB"/>
        </w:rPr>
        <w:t>在挪威，</w:t>
      </w:r>
      <w:proofErr w:type="gramStart"/>
      <w:r w:rsidRPr="009E1C9D">
        <w:rPr>
          <w:sz w:val="24"/>
          <w:szCs w:val="24"/>
          <w:lang w:val="en-GB"/>
        </w:rPr>
        <w:t>全氟辛酸被</w:t>
      </w:r>
      <w:proofErr w:type="gramEnd"/>
      <w:r w:rsidRPr="009E1C9D">
        <w:rPr>
          <w:sz w:val="24"/>
          <w:szCs w:val="24"/>
          <w:lang w:val="en-GB"/>
        </w:rPr>
        <w:t>用作地毯、纺织品、家具、鞋、纸张、食品包装、印版、油漆、地板蜡、胶水和照相胶片的涂层剂。它还以化学杂质或生产</w:t>
      </w:r>
      <w:proofErr w:type="gramStart"/>
      <w:r w:rsidRPr="009E1C9D">
        <w:rPr>
          <w:sz w:val="24"/>
          <w:szCs w:val="24"/>
          <w:lang w:val="en-GB"/>
        </w:rPr>
        <w:t>其他全氟化合物</w:t>
      </w:r>
      <w:proofErr w:type="gramEnd"/>
      <w:r w:rsidRPr="009E1C9D">
        <w:rPr>
          <w:sz w:val="24"/>
          <w:szCs w:val="24"/>
          <w:lang w:val="en-GB"/>
        </w:rPr>
        <w:t>过程中剩余的痕量起始材料的形式出现在产品中。进口的</w:t>
      </w:r>
      <w:proofErr w:type="gramStart"/>
      <w:r w:rsidRPr="009E1C9D">
        <w:rPr>
          <w:sz w:val="24"/>
          <w:szCs w:val="24"/>
          <w:lang w:val="en-GB"/>
        </w:rPr>
        <w:t>用全氟化合物</w:t>
      </w:r>
      <w:proofErr w:type="gramEnd"/>
      <w:r w:rsidRPr="009E1C9D">
        <w:rPr>
          <w:sz w:val="24"/>
          <w:szCs w:val="24"/>
          <w:lang w:val="en-GB"/>
        </w:rPr>
        <w:t>处理过的纺织品和具有不粘特性的食品接触材料等产品中</w:t>
      </w:r>
      <w:proofErr w:type="gramStart"/>
      <w:r w:rsidRPr="009E1C9D">
        <w:rPr>
          <w:sz w:val="24"/>
          <w:szCs w:val="24"/>
          <w:lang w:val="en-GB"/>
        </w:rPr>
        <w:t>有全氟辛酸</w:t>
      </w:r>
      <w:proofErr w:type="gramEnd"/>
      <w:r w:rsidRPr="009E1C9D">
        <w:rPr>
          <w:sz w:val="24"/>
          <w:szCs w:val="24"/>
          <w:lang w:val="en-GB"/>
        </w:rPr>
        <w:t>。以前的</w:t>
      </w:r>
      <w:proofErr w:type="gramStart"/>
      <w:r w:rsidRPr="009E1C9D">
        <w:rPr>
          <w:sz w:val="24"/>
          <w:szCs w:val="24"/>
          <w:lang w:val="en-GB"/>
        </w:rPr>
        <w:t>滑雪板腊中有</w:t>
      </w:r>
      <w:proofErr w:type="gramEnd"/>
      <w:r w:rsidRPr="009E1C9D">
        <w:rPr>
          <w:sz w:val="24"/>
          <w:szCs w:val="24"/>
          <w:lang w:val="en-GB"/>
        </w:rPr>
        <w:t>以全氟化成分的化学杂质形式存在</w:t>
      </w:r>
      <w:proofErr w:type="gramStart"/>
      <w:r w:rsidRPr="009E1C9D">
        <w:rPr>
          <w:sz w:val="24"/>
          <w:szCs w:val="24"/>
          <w:lang w:val="en-GB"/>
        </w:rPr>
        <w:t>的全氟辛酸</w:t>
      </w:r>
      <w:proofErr w:type="gramEnd"/>
      <w:r w:rsidRPr="009E1C9D">
        <w:rPr>
          <w:sz w:val="24"/>
          <w:szCs w:val="24"/>
          <w:lang w:val="en-GB"/>
        </w:rPr>
        <w:t>。</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sz w:val="24"/>
          <w:szCs w:val="24"/>
          <w:lang w:val="en-GB"/>
        </w:rPr>
      </w:pPr>
      <w:r w:rsidRPr="009E1C9D">
        <w:rPr>
          <w:sz w:val="24"/>
          <w:szCs w:val="24"/>
          <w:lang w:val="en-GB"/>
        </w:rPr>
        <w:t>通知书提到监管机构进行的各种审查：管制消费产品中</w:t>
      </w:r>
      <w:proofErr w:type="gramStart"/>
      <w:r w:rsidRPr="009E1C9D">
        <w:rPr>
          <w:sz w:val="24"/>
          <w:szCs w:val="24"/>
          <w:lang w:val="en-GB"/>
        </w:rPr>
        <w:t>的全氟辛酸</w:t>
      </w:r>
      <w:proofErr w:type="gramEnd"/>
      <w:r w:rsidRPr="009E1C9D">
        <w:rPr>
          <w:sz w:val="24"/>
          <w:szCs w:val="24"/>
          <w:lang w:val="en-GB"/>
        </w:rPr>
        <w:t>和</w:t>
      </w:r>
      <w:proofErr w:type="gramStart"/>
      <w:r w:rsidRPr="009E1C9D">
        <w:rPr>
          <w:sz w:val="24"/>
          <w:szCs w:val="24"/>
          <w:lang w:val="en-GB"/>
        </w:rPr>
        <w:t>全氟辛酸单盐</w:t>
      </w:r>
      <w:proofErr w:type="gramEnd"/>
      <w:r w:rsidRPr="009E1C9D">
        <w:rPr>
          <w:sz w:val="24"/>
          <w:szCs w:val="24"/>
          <w:lang w:val="en-GB"/>
        </w:rPr>
        <w:t>和单酯的风险评估</w:t>
      </w:r>
      <w:r w:rsidRPr="009E1C9D">
        <w:rPr>
          <w:sz w:val="24"/>
          <w:szCs w:val="24"/>
          <w:lang w:val="en-GB"/>
        </w:rPr>
        <w:t>(UNEP/FAO/RC/CRC.14/INF/13)</w:t>
      </w:r>
      <w:r w:rsidRPr="009E1C9D">
        <w:rPr>
          <w:sz w:val="24"/>
          <w:szCs w:val="24"/>
          <w:lang w:val="en-GB"/>
        </w:rPr>
        <w:t>；欧洲食品安全局的文件</w:t>
      </w:r>
      <w:r w:rsidRPr="009E1C9D">
        <w:rPr>
          <w:rFonts w:ascii="SimSun" w:hAnsi="SimSun"/>
          <w:sz w:val="24"/>
          <w:szCs w:val="24"/>
          <w:lang w:val="en-GB"/>
        </w:rPr>
        <w:t>“</w:t>
      </w:r>
      <w:r w:rsidRPr="009E1C9D">
        <w:rPr>
          <w:sz w:val="24"/>
          <w:szCs w:val="24"/>
          <w:lang w:val="en-GB"/>
        </w:rPr>
        <w:t>全氟辛烷磺酸（</w:t>
      </w:r>
      <w:r w:rsidRPr="009E1C9D">
        <w:rPr>
          <w:sz w:val="24"/>
          <w:szCs w:val="24"/>
          <w:lang w:val="en-GB"/>
        </w:rPr>
        <w:t>PFOS</w:t>
      </w:r>
      <w:r w:rsidRPr="009E1C9D">
        <w:rPr>
          <w:sz w:val="24"/>
          <w:szCs w:val="24"/>
          <w:lang w:val="en-GB"/>
        </w:rPr>
        <w:t>）、全氟辛酸（</w:t>
      </w:r>
      <w:r w:rsidRPr="009E1C9D">
        <w:rPr>
          <w:sz w:val="24"/>
          <w:szCs w:val="24"/>
          <w:lang w:val="en-GB"/>
        </w:rPr>
        <w:t>PFOA</w:t>
      </w:r>
      <w:r w:rsidRPr="009E1C9D">
        <w:rPr>
          <w:sz w:val="24"/>
          <w:szCs w:val="24"/>
          <w:lang w:val="en-GB"/>
        </w:rPr>
        <w:t>）及其盐类：食物链污染物小组的科学意见</w:t>
      </w:r>
      <w:r w:rsidRPr="009E1C9D">
        <w:rPr>
          <w:rFonts w:ascii="SimSun" w:hAnsi="SimSun"/>
          <w:sz w:val="24"/>
          <w:szCs w:val="24"/>
          <w:lang w:val="en-GB"/>
        </w:rPr>
        <w:t xml:space="preserve">” </w:t>
      </w:r>
      <w:r w:rsidRPr="009E1C9D">
        <w:rPr>
          <w:sz w:val="24"/>
          <w:szCs w:val="24"/>
          <w:lang w:val="en-GB"/>
        </w:rPr>
        <w:t>(</w:t>
      </w:r>
      <w:r w:rsidRPr="009E1C9D">
        <w:rPr>
          <w:sz w:val="24"/>
          <w:szCs w:val="24"/>
          <w:lang w:val="en-GB"/>
        </w:rPr>
        <w:t>《欧洲食品安全局日刊》</w:t>
      </w:r>
      <w:r w:rsidRPr="009E1C9D">
        <w:rPr>
          <w:sz w:val="24"/>
          <w:szCs w:val="24"/>
          <w:lang w:val="en-GB"/>
        </w:rPr>
        <w:t xml:space="preserve"> 2008, 653, 1–131)</w:t>
      </w:r>
      <w:r w:rsidRPr="009E1C9D">
        <w:rPr>
          <w:sz w:val="24"/>
          <w:szCs w:val="24"/>
          <w:lang w:val="en-GB"/>
        </w:rPr>
        <w:t>；欧洲化学品管理局的文件</w:t>
      </w:r>
      <w:r w:rsidRPr="009E1C9D">
        <w:rPr>
          <w:rFonts w:ascii="SimSun" w:hAnsi="SimSun"/>
          <w:sz w:val="24"/>
          <w:szCs w:val="24"/>
          <w:lang w:val="en-GB"/>
        </w:rPr>
        <w:t>“</w:t>
      </w:r>
      <w:r w:rsidRPr="009E1C9D">
        <w:rPr>
          <w:sz w:val="24"/>
          <w:szCs w:val="24"/>
          <w:lang w:val="en-GB"/>
        </w:rPr>
        <w:t>全氟辛酸具有致癌、致突变或生殖毒性和持久、生物积累和有毒等特性，因此是一个值得高度关注的物质</w:t>
      </w:r>
      <w:r w:rsidRPr="009E1C9D">
        <w:rPr>
          <w:rFonts w:ascii="SimSun" w:hAnsi="SimSun"/>
          <w:sz w:val="24"/>
          <w:szCs w:val="24"/>
          <w:lang w:val="en-GB"/>
        </w:rPr>
        <w:t>”</w:t>
      </w:r>
      <w:r w:rsidRPr="009E1C9D">
        <w:rPr>
          <w:sz w:val="24"/>
          <w:szCs w:val="24"/>
          <w:lang w:val="en-GB"/>
        </w:rPr>
        <w:t>，</w:t>
      </w:r>
      <w:r w:rsidRPr="009E1C9D">
        <w:rPr>
          <w:sz w:val="24"/>
          <w:szCs w:val="24"/>
          <w:lang w:val="en-GB"/>
        </w:rPr>
        <w:t>2013</w:t>
      </w:r>
      <w:r w:rsidRPr="009E1C9D">
        <w:rPr>
          <w:sz w:val="24"/>
          <w:szCs w:val="24"/>
          <w:lang w:val="en-GB"/>
        </w:rPr>
        <w:t>年</w:t>
      </w:r>
      <w:r w:rsidRPr="009E1C9D">
        <w:rPr>
          <w:sz w:val="24"/>
          <w:szCs w:val="24"/>
          <w:lang w:val="en-GB"/>
        </w:rPr>
        <w:t>6</w:t>
      </w:r>
      <w:r w:rsidRPr="009E1C9D">
        <w:rPr>
          <w:sz w:val="24"/>
          <w:szCs w:val="24"/>
          <w:lang w:val="en-GB"/>
        </w:rPr>
        <w:t>月</w:t>
      </w:r>
      <w:r w:rsidRPr="009E1C9D">
        <w:rPr>
          <w:sz w:val="24"/>
          <w:szCs w:val="24"/>
          <w:lang w:val="en-GB"/>
        </w:rPr>
        <w:t>14</w:t>
      </w:r>
      <w:r w:rsidRPr="009E1C9D">
        <w:rPr>
          <w:sz w:val="24"/>
          <w:szCs w:val="24"/>
          <w:lang w:val="en-GB"/>
        </w:rPr>
        <w:t>日。</w:t>
      </w:r>
      <w:r w:rsidRPr="009E1C9D">
        <w:rPr>
          <w:sz w:val="24"/>
          <w:szCs w:val="24"/>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sz w:val="24"/>
          <w:szCs w:val="24"/>
          <w:lang w:val="en-GB"/>
        </w:rPr>
      </w:pPr>
      <w:r w:rsidRPr="009E1C9D">
        <w:rPr>
          <w:sz w:val="24"/>
          <w:szCs w:val="24"/>
          <w:lang w:val="en-GB"/>
        </w:rPr>
        <w:t>委员会确认附件二</w:t>
      </w:r>
      <w:r w:rsidRPr="009E1C9D">
        <w:rPr>
          <w:sz w:val="24"/>
          <w:szCs w:val="24"/>
          <w:lang w:val="en-GB"/>
        </w:rPr>
        <w:t xml:space="preserve">(a) </w:t>
      </w:r>
      <w:r w:rsidRPr="009E1C9D">
        <w:rPr>
          <w:sz w:val="24"/>
          <w:szCs w:val="24"/>
          <w:lang w:val="en-GB"/>
        </w:rPr>
        <w:t>段的标准已经达到。</w:t>
      </w:r>
    </w:p>
    <w:p w:rsidR="001F52B3" w:rsidRPr="00237745" w:rsidRDefault="001F52B3" w:rsidP="001F52B3">
      <w:pPr>
        <w:keepNext/>
        <w:keepLines/>
        <w:tabs>
          <w:tab w:val="right" w:pos="851"/>
          <w:tab w:val="left" w:pos="4082"/>
        </w:tabs>
        <w:suppressAutoHyphens/>
        <w:spacing w:line="240" w:lineRule="auto"/>
        <w:ind w:left="1247" w:right="284" w:hanging="1247"/>
        <w:jc w:val="left"/>
        <w:rPr>
          <w:b/>
          <w:snapToGrid w:val="0"/>
          <w:sz w:val="20"/>
          <w:szCs w:val="20"/>
          <w:lang w:val="fr-CH"/>
        </w:rPr>
      </w:pPr>
      <w:r w:rsidRPr="00237745">
        <w:rPr>
          <w:b/>
          <w:snapToGrid w:val="0"/>
          <w:sz w:val="20"/>
          <w:szCs w:val="20"/>
          <w:lang w:val="en-GB"/>
        </w:rPr>
        <w:tab/>
      </w:r>
      <w:r w:rsidRPr="00237745">
        <w:rPr>
          <w:b/>
          <w:snapToGrid w:val="0"/>
          <w:sz w:val="24"/>
          <w:szCs w:val="24"/>
          <w:lang w:val="en-GB"/>
        </w:rPr>
        <w:t>(c)</w:t>
      </w:r>
      <w:r w:rsidRPr="00237745">
        <w:rPr>
          <w:b/>
          <w:snapToGrid w:val="0"/>
          <w:sz w:val="20"/>
          <w:szCs w:val="20"/>
          <w:lang w:val="fr-CH"/>
        </w:rPr>
        <w:tab/>
      </w:r>
      <w:r w:rsidRPr="009E1C9D">
        <w:rPr>
          <w:rFonts w:eastAsia="SimHei"/>
          <w:b/>
          <w:snapToGrid w:val="0"/>
          <w:sz w:val="24"/>
          <w:szCs w:val="24"/>
          <w:lang w:val="en-GB"/>
        </w:rPr>
        <w:t>附件二</w:t>
      </w:r>
      <w:r w:rsidRPr="009E1C9D">
        <w:rPr>
          <w:rFonts w:eastAsia="SimHei"/>
          <w:b/>
          <w:snapToGrid w:val="0"/>
          <w:sz w:val="24"/>
          <w:szCs w:val="24"/>
          <w:lang w:val="en-GB"/>
        </w:rPr>
        <w:t>(b)</w:t>
      </w:r>
      <w:r w:rsidRPr="009E1C9D">
        <w:rPr>
          <w:rFonts w:eastAsia="SimHei"/>
          <w:b/>
          <w:snapToGrid w:val="0"/>
          <w:sz w:val="24"/>
          <w:szCs w:val="24"/>
          <w:lang w:val="en-GB"/>
        </w:rPr>
        <w:t>段的标准</w:t>
      </w:r>
      <w:r w:rsidRPr="00237745">
        <w:rPr>
          <w:b/>
          <w:snapToGrid w:val="0"/>
          <w:sz w:val="20"/>
          <w:szCs w:val="20"/>
          <w:lang w:val="fr-CH"/>
        </w:rPr>
        <w:t xml:space="preserve"> </w:t>
      </w:r>
    </w:p>
    <w:p w:rsidR="001F52B3" w:rsidRPr="009E1C9D" w:rsidRDefault="001F52B3" w:rsidP="001F52B3">
      <w:pPr>
        <w:keepNext/>
        <w:keepLines/>
        <w:tabs>
          <w:tab w:val="clear" w:pos="1247"/>
          <w:tab w:val="clear" w:pos="1814"/>
          <w:tab w:val="clear" w:pos="2381"/>
          <w:tab w:val="clear" w:pos="2948"/>
          <w:tab w:val="clear" w:pos="3515"/>
          <w:tab w:val="left" w:pos="624"/>
        </w:tabs>
        <w:spacing w:line="240" w:lineRule="auto"/>
        <w:ind w:left="1247" w:firstLine="624"/>
        <w:jc w:val="left"/>
        <w:rPr>
          <w:rFonts w:eastAsia="KaiTi"/>
          <w:sz w:val="24"/>
          <w:szCs w:val="24"/>
          <w:lang w:val="en-GB"/>
        </w:rPr>
      </w:pPr>
      <w:r w:rsidRPr="009E1C9D">
        <w:rPr>
          <w:rFonts w:eastAsia="KaiTi"/>
          <w:sz w:val="24"/>
          <w:szCs w:val="24"/>
          <w:lang w:val="en-GB"/>
        </w:rPr>
        <w:t>(b)</w:t>
      </w:r>
      <w:r w:rsidRPr="009E1C9D">
        <w:rPr>
          <w:rFonts w:eastAsia="KaiTi"/>
          <w:sz w:val="24"/>
          <w:szCs w:val="24"/>
          <w:lang w:val="en-GB"/>
        </w:rPr>
        <w:tab/>
      </w:r>
      <w:r w:rsidRPr="009E1C9D">
        <w:rPr>
          <w:rFonts w:eastAsia="KaiTi"/>
          <w:sz w:val="24"/>
          <w:szCs w:val="24"/>
          <w:lang w:val="en-GB"/>
        </w:rPr>
        <w:t>确定已根据风险评估结果采取了最后管制行动。该评估应在根据有关缔约方的现有条件对科学数据进行审查的基础上进行。为此，所提供的文件应表明：</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sz w:val="24"/>
          <w:szCs w:val="24"/>
          <w:lang w:val="en-GB"/>
        </w:rPr>
      </w:pPr>
      <w:r w:rsidRPr="009E1C9D">
        <w:rPr>
          <w:rFonts w:eastAsia="KaiTi"/>
          <w:sz w:val="24"/>
          <w:szCs w:val="24"/>
          <w:lang w:val="en-GB"/>
        </w:rPr>
        <w:t>(</w:t>
      </w:r>
      <w:r w:rsidRPr="009E1C9D">
        <w:rPr>
          <w:rFonts w:eastAsia="KaiTi"/>
          <w:sz w:val="24"/>
          <w:szCs w:val="24"/>
          <w:lang w:val="en-GB"/>
        </w:rPr>
        <w:t>一</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数据是根据公认的科学方法得出的；</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sz w:val="24"/>
          <w:szCs w:val="24"/>
          <w:lang w:val="en-GB"/>
        </w:rPr>
      </w:pPr>
      <w:r w:rsidRPr="009E1C9D">
        <w:rPr>
          <w:rFonts w:eastAsia="KaiTi"/>
          <w:sz w:val="24"/>
          <w:szCs w:val="24"/>
          <w:lang w:val="en-GB"/>
        </w:rPr>
        <w:t>(</w:t>
      </w:r>
      <w:r w:rsidRPr="009E1C9D">
        <w:rPr>
          <w:rFonts w:eastAsia="KaiTi"/>
          <w:sz w:val="24"/>
          <w:szCs w:val="24"/>
          <w:lang w:val="en-GB"/>
        </w:rPr>
        <w:t>二</w:t>
      </w:r>
      <w:r w:rsidRPr="009E1C9D">
        <w:rPr>
          <w:rFonts w:eastAsia="KaiTi"/>
          <w:sz w:val="24"/>
          <w:szCs w:val="24"/>
          <w:lang w:val="en-GB"/>
        </w:rPr>
        <w:t>)</w:t>
      </w:r>
      <w:r w:rsidRPr="009E1C9D">
        <w:rPr>
          <w:rFonts w:eastAsia="KaiTi"/>
          <w:sz w:val="24"/>
          <w:szCs w:val="24"/>
          <w:lang w:val="en-GB"/>
        </w:rPr>
        <w:tab/>
        <w:t xml:space="preserve"> </w:t>
      </w:r>
      <w:r w:rsidRPr="009E1C9D">
        <w:rPr>
          <w:rFonts w:eastAsia="KaiTi"/>
          <w:sz w:val="24"/>
          <w:szCs w:val="24"/>
          <w:lang w:val="en-GB"/>
        </w:rPr>
        <w:t>数据的审查和记录是根据公认的科学原则和程序进行的；</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政府和机构提交的审查报告</w:t>
      </w:r>
      <w:r w:rsidRPr="009E1C9D">
        <w:rPr>
          <w:color w:val="333333"/>
          <w:sz w:val="24"/>
          <w:szCs w:val="24"/>
          <w:shd w:val="clear" w:color="auto" w:fill="FFFFFF"/>
          <w:lang w:val="en-GB"/>
        </w:rPr>
        <w:t xml:space="preserve">(UNEP/FAO/RC/CRC.14/INF/13) </w:t>
      </w:r>
      <w:r w:rsidRPr="009E1C9D">
        <w:rPr>
          <w:color w:val="333333"/>
          <w:sz w:val="24"/>
          <w:szCs w:val="24"/>
          <w:shd w:val="clear" w:color="auto" w:fill="FFFFFF"/>
          <w:lang w:val="en-GB"/>
        </w:rPr>
        <w:t>是科学的，是根据公认科学方法编写和按照公认的科学原则和流程提交的。</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通知书引述了一些在经同行评审的科学刊物上发表的文章或政府机构的报告。</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委员会确认附件二</w:t>
      </w:r>
      <w:r w:rsidRPr="009E1C9D">
        <w:rPr>
          <w:color w:val="333333"/>
          <w:sz w:val="24"/>
          <w:szCs w:val="24"/>
          <w:shd w:val="clear" w:color="auto" w:fill="FFFFFF"/>
          <w:lang w:val="en-GB"/>
        </w:rPr>
        <w:t>(b) (</w:t>
      </w:r>
      <w:proofErr w:type="gramStart"/>
      <w:r w:rsidRPr="009E1C9D">
        <w:rPr>
          <w:color w:val="333333"/>
          <w:sz w:val="24"/>
          <w:szCs w:val="24"/>
          <w:shd w:val="clear" w:color="auto" w:fill="FFFFFF"/>
          <w:lang w:val="en-GB"/>
        </w:rPr>
        <w:t>一</w:t>
      </w:r>
      <w:proofErr w:type="gramEnd"/>
      <w:r w:rsidRPr="009E1C9D">
        <w:rPr>
          <w:color w:val="333333"/>
          <w:sz w:val="24"/>
          <w:szCs w:val="24"/>
          <w:shd w:val="clear" w:color="auto" w:fill="FFFFFF"/>
          <w:lang w:val="en-GB"/>
        </w:rPr>
        <w:t>)</w:t>
      </w:r>
      <w:r w:rsidRPr="009E1C9D">
        <w:rPr>
          <w:color w:val="333333"/>
          <w:sz w:val="24"/>
          <w:szCs w:val="24"/>
          <w:shd w:val="clear" w:color="auto" w:fill="FFFFFF"/>
          <w:lang w:val="en-GB"/>
        </w:rPr>
        <w:t>和</w:t>
      </w:r>
      <w:r w:rsidRPr="009E1C9D">
        <w:rPr>
          <w:color w:val="333333"/>
          <w:sz w:val="24"/>
          <w:szCs w:val="24"/>
          <w:shd w:val="clear" w:color="auto" w:fill="FFFFFF"/>
          <w:lang w:val="en-GB"/>
        </w:rPr>
        <w:t xml:space="preserve"> (</w:t>
      </w:r>
      <w:r w:rsidRPr="009E1C9D">
        <w:rPr>
          <w:color w:val="333333"/>
          <w:sz w:val="24"/>
          <w:szCs w:val="24"/>
          <w:shd w:val="clear" w:color="auto" w:fill="FFFFFF"/>
          <w:lang w:val="en-GB"/>
        </w:rPr>
        <w:t>二</w:t>
      </w:r>
      <w:r w:rsidRPr="009E1C9D">
        <w:rPr>
          <w:color w:val="333333"/>
          <w:sz w:val="24"/>
          <w:szCs w:val="24"/>
          <w:shd w:val="clear" w:color="auto" w:fill="FFFFFF"/>
          <w:lang w:val="en-GB"/>
        </w:rPr>
        <w:t xml:space="preserve">) </w:t>
      </w:r>
      <w:r w:rsidRPr="009E1C9D">
        <w:rPr>
          <w:color w:val="333333"/>
          <w:sz w:val="24"/>
          <w:szCs w:val="24"/>
          <w:shd w:val="clear" w:color="auto" w:fill="FFFFFF"/>
          <w:lang w:val="en-GB"/>
        </w:rPr>
        <w:t>段的标准已经达到。</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ascii="KaiTi" w:eastAsia="KaiTi" w:hAnsi="KaiTi"/>
          <w:sz w:val="24"/>
          <w:szCs w:val="24"/>
          <w:lang w:val="en-GB"/>
        </w:rPr>
      </w:pPr>
      <w:r w:rsidRPr="009E1C9D">
        <w:rPr>
          <w:rFonts w:ascii="KaiTi" w:eastAsia="KaiTi" w:hAnsi="KaiTi"/>
          <w:sz w:val="24"/>
          <w:szCs w:val="24"/>
          <w:lang w:val="en-GB"/>
        </w:rPr>
        <w:t>(三)</w:t>
      </w:r>
      <w:r w:rsidRPr="009E1C9D">
        <w:rPr>
          <w:rFonts w:ascii="KaiTi" w:eastAsia="KaiTi" w:hAnsi="KaiTi"/>
          <w:sz w:val="24"/>
          <w:szCs w:val="24"/>
          <w:lang w:val="en-GB"/>
        </w:rPr>
        <w:tab/>
        <w:t>最后管制行动是根据采取此种行动的缔约方的现有条件的风险评估确定的；</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sz w:val="24"/>
          <w:szCs w:val="24"/>
          <w:lang w:val="en-GB"/>
        </w:rPr>
      </w:pPr>
      <w:r w:rsidRPr="009E1C9D">
        <w:rPr>
          <w:color w:val="333333"/>
          <w:sz w:val="24"/>
          <w:szCs w:val="24"/>
          <w:shd w:val="clear" w:color="auto" w:fill="FFFFFF"/>
          <w:lang w:val="en-GB"/>
        </w:rPr>
        <w:lastRenderedPageBreak/>
        <w:t>挪威的通知书和辅助材料提供了大量人类接触的数据，并提供了欧洲食品安全局的文件</w:t>
      </w:r>
      <w:r w:rsidRPr="009E1C9D">
        <w:rPr>
          <w:rFonts w:ascii="SimSun" w:hAnsi="SimSun"/>
          <w:color w:val="333333"/>
          <w:sz w:val="24"/>
          <w:szCs w:val="24"/>
          <w:shd w:val="clear" w:color="auto" w:fill="FFFFFF"/>
          <w:lang w:val="en-GB"/>
        </w:rPr>
        <w:t>“</w:t>
      </w:r>
      <w:r w:rsidRPr="009E1C9D">
        <w:rPr>
          <w:color w:val="333333"/>
          <w:sz w:val="24"/>
          <w:szCs w:val="24"/>
          <w:shd w:val="clear" w:color="auto" w:fill="FFFFFF"/>
          <w:lang w:val="en-GB"/>
        </w:rPr>
        <w:t>全氟辛烷磺酸（</w:t>
      </w:r>
      <w:r w:rsidRPr="009E1C9D">
        <w:rPr>
          <w:color w:val="333333"/>
          <w:sz w:val="24"/>
          <w:szCs w:val="24"/>
          <w:shd w:val="clear" w:color="auto" w:fill="FFFFFF"/>
          <w:lang w:val="en-GB"/>
        </w:rPr>
        <w:t>PFOS</w:t>
      </w:r>
      <w:r w:rsidRPr="009E1C9D">
        <w:rPr>
          <w:color w:val="333333"/>
          <w:sz w:val="24"/>
          <w:szCs w:val="24"/>
          <w:shd w:val="clear" w:color="auto" w:fill="FFFFFF"/>
          <w:lang w:val="en-GB"/>
        </w:rPr>
        <w:t>）、全氟辛酸（</w:t>
      </w:r>
      <w:r w:rsidRPr="009E1C9D">
        <w:rPr>
          <w:color w:val="333333"/>
          <w:sz w:val="24"/>
          <w:szCs w:val="24"/>
          <w:shd w:val="clear" w:color="auto" w:fill="FFFFFF"/>
          <w:lang w:val="en-GB"/>
        </w:rPr>
        <w:t>PFOA</w:t>
      </w:r>
      <w:r w:rsidRPr="009E1C9D">
        <w:rPr>
          <w:color w:val="333333"/>
          <w:sz w:val="24"/>
          <w:szCs w:val="24"/>
          <w:shd w:val="clear" w:color="auto" w:fill="FFFFFF"/>
          <w:lang w:val="en-GB"/>
        </w:rPr>
        <w:t>）及其盐类：食物链污染物小组的科学意见</w:t>
      </w:r>
      <w:r w:rsidRPr="009E1C9D">
        <w:rPr>
          <w:rFonts w:ascii="SimSun" w:hAnsi="SimSun"/>
          <w:color w:val="333333"/>
          <w:sz w:val="24"/>
          <w:szCs w:val="24"/>
          <w:shd w:val="clear" w:color="auto" w:fill="FFFFFF"/>
          <w:lang w:val="en-GB"/>
        </w:rPr>
        <w:t>”</w:t>
      </w:r>
      <w:r w:rsidRPr="009E1C9D">
        <w:rPr>
          <w:color w:val="333333"/>
          <w:sz w:val="24"/>
          <w:szCs w:val="24"/>
          <w:shd w:val="clear" w:color="auto" w:fill="FFFFFF"/>
          <w:lang w:val="en-GB"/>
        </w:rPr>
        <w:t>和欧洲化学品管理局的文件</w:t>
      </w:r>
      <w:r w:rsidRPr="009E1C9D">
        <w:rPr>
          <w:rFonts w:ascii="SimSun" w:hAnsi="SimSun"/>
          <w:color w:val="333333"/>
          <w:sz w:val="24"/>
          <w:szCs w:val="24"/>
          <w:shd w:val="clear" w:color="auto" w:fill="FFFFFF"/>
          <w:lang w:val="en-GB"/>
        </w:rPr>
        <w:t>“</w:t>
      </w:r>
      <w:r w:rsidRPr="009E1C9D">
        <w:rPr>
          <w:color w:val="333333"/>
          <w:sz w:val="24"/>
          <w:szCs w:val="24"/>
          <w:shd w:val="clear" w:color="auto" w:fill="FFFFFF"/>
          <w:lang w:val="en-GB"/>
        </w:rPr>
        <w:t>全氟辛酸具有致癌、致突变或生殖毒性和持久、生物积累和有毒等特性，因此是一个值得高度关注的物质</w:t>
      </w:r>
      <w:r w:rsidRPr="009E1C9D">
        <w:rPr>
          <w:rFonts w:ascii="SimSun" w:hAnsi="SimSun"/>
          <w:color w:val="333333"/>
          <w:sz w:val="24"/>
          <w:szCs w:val="24"/>
          <w:shd w:val="clear" w:color="auto" w:fill="FFFFFF"/>
          <w:lang w:val="en-GB"/>
        </w:rPr>
        <w:t>”</w:t>
      </w:r>
      <w:r w:rsidRPr="009E1C9D">
        <w:rPr>
          <w:color w:val="333333"/>
          <w:sz w:val="24"/>
          <w:szCs w:val="24"/>
          <w:shd w:val="clear" w:color="auto" w:fill="FFFFFF"/>
          <w:lang w:val="en-GB"/>
        </w:rPr>
        <w:t>。挪威的研究表明，</w:t>
      </w:r>
      <w:proofErr w:type="gramStart"/>
      <w:r w:rsidRPr="009E1C9D">
        <w:rPr>
          <w:color w:val="333333"/>
          <w:sz w:val="24"/>
          <w:szCs w:val="24"/>
          <w:shd w:val="clear" w:color="auto" w:fill="FFFFFF"/>
          <w:lang w:val="en-GB"/>
        </w:rPr>
        <w:t>全氟辛酸可</w:t>
      </w:r>
      <w:proofErr w:type="gramEnd"/>
      <w:r w:rsidRPr="009E1C9D">
        <w:rPr>
          <w:color w:val="333333"/>
          <w:sz w:val="24"/>
          <w:szCs w:val="24"/>
          <w:shd w:val="clear" w:color="auto" w:fill="FFFFFF"/>
          <w:lang w:val="en-GB"/>
        </w:rPr>
        <w:t>从母体</w:t>
      </w:r>
      <w:r w:rsidRPr="009E1C9D">
        <w:rPr>
          <w:sz w:val="24"/>
          <w:szCs w:val="24"/>
          <w:lang w:val="en-GB"/>
        </w:rPr>
        <w:t>转移到胎儿；在幼儿的血样中，</w:t>
      </w:r>
      <w:proofErr w:type="gramStart"/>
      <w:r w:rsidRPr="009E1C9D">
        <w:rPr>
          <w:sz w:val="24"/>
          <w:szCs w:val="24"/>
          <w:lang w:val="en-GB"/>
        </w:rPr>
        <w:t>发现全氟辛酸</w:t>
      </w:r>
      <w:proofErr w:type="gramEnd"/>
      <w:r w:rsidRPr="009E1C9D">
        <w:rPr>
          <w:sz w:val="24"/>
          <w:szCs w:val="24"/>
          <w:lang w:val="en-GB"/>
        </w:rPr>
        <w:t>在血浆中的浓度较高。还提供了挪威专门为雪板打蜡的人因职业需要</w:t>
      </w:r>
      <w:proofErr w:type="gramStart"/>
      <w:r w:rsidRPr="009E1C9D">
        <w:rPr>
          <w:sz w:val="24"/>
          <w:szCs w:val="24"/>
          <w:lang w:val="en-GB"/>
        </w:rPr>
        <w:t>接触全氟</w:t>
      </w:r>
      <w:proofErr w:type="gramEnd"/>
      <w:r w:rsidRPr="009E1C9D">
        <w:rPr>
          <w:sz w:val="24"/>
          <w:szCs w:val="24"/>
          <w:lang w:val="en-GB"/>
        </w:rPr>
        <w:t>辛酸因此血清中浓度较高的信息。风险评估报告中的信息表明，挪威环境（空气、水和沉淀物）中普遍存在不同浓度</w:t>
      </w:r>
      <w:proofErr w:type="gramStart"/>
      <w:r w:rsidRPr="009E1C9D">
        <w:rPr>
          <w:sz w:val="24"/>
          <w:szCs w:val="24"/>
          <w:lang w:val="en-GB"/>
        </w:rPr>
        <w:t>的全氟辛酸</w:t>
      </w:r>
      <w:proofErr w:type="gramEnd"/>
      <w:r w:rsidRPr="009E1C9D">
        <w:rPr>
          <w:sz w:val="24"/>
          <w:szCs w:val="24"/>
          <w:lang w:val="en-GB"/>
        </w:rPr>
        <w:t>。一些北极物种（例如北极熊）中的持久性、生物积累、时间趋势</w:t>
      </w:r>
      <w:proofErr w:type="gramStart"/>
      <w:r w:rsidRPr="009E1C9D">
        <w:rPr>
          <w:sz w:val="24"/>
          <w:szCs w:val="24"/>
          <w:lang w:val="en-GB"/>
        </w:rPr>
        <w:t>和全氟辛酸</w:t>
      </w:r>
      <w:proofErr w:type="gramEnd"/>
      <w:r w:rsidRPr="009E1C9D">
        <w:rPr>
          <w:sz w:val="24"/>
          <w:szCs w:val="24"/>
          <w:lang w:val="en-GB"/>
        </w:rPr>
        <w:t>远距离转移的证据表明，应该对其加以关注。</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sz w:val="24"/>
          <w:szCs w:val="24"/>
          <w:lang w:val="en-GB"/>
        </w:rPr>
      </w:pPr>
      <w:r w:rsidRPr="009E1C9D">
        <w:rPr>
          <w:sz w:val="24"/>
          <w:szCs w:val="24"/>
          <w:lang w:val="en-GB"/>
        </w:rPr>
        <w:t>通知书表示，</w:t>
      </w:r>
      <w:proofErr w:type="gramStart"/>
      <w:r w:rsidRPr="009E1C9D">
        <w:rPr>
          <w:sz w:val="24"/>
          <w:szCs w:val="24"/>
          <w:lang w:val="en-GB"/>
        </w:rPr>
        <w:t>全氟辛酸</w:t>
      </w:r>
      <w:proofErr w:type="gramEnd"/>
      <w:r w:rsidRPr="009E1C9D">
        <w:rPr>
          <w:sz w:val="24"/>
          <w:szCs w:val="24"/>
          <w:lang w:val="en-GB"/>
        </w:rPr>
        <w:t>因其健康和环境特性非常值得关注。</w:t>
      </w:r>
      <w:proofErr w:type="gramStart"/>
      <w:r w:rsidRPr="009E1C9D">
        <w:rPr>
          <w:sz w:val="24"/>
          <w:szCs w:val="24"/>
          <w:lang w:val="en-GB"/>
        </w:rPr>
        <w:t>全氟辛酸</w:t>
      </w:r>
      <w:proofErr w:type="gramEnd"/>
      <w:r w:rsidRPr="009E1C9D">
        <w:rPr>
          <w:sz w:val="24"/>
          <w:szCs w:val="24"/>
          <w:lang w:val="en-GB"/>
        </w:rPr>
        <w:t>对生殖系统有害，致癌、有毒和损害人体健康，它也是一种刺激物质。</w:t>
      </w:r>
      <w:proofErr w:type="gramStart"/>
      <w:r w:rsidRPr="009E1C9D">
        <w:rPr>
          <w:sz w:val="24"/>
          <w:szCs w:val="24"/>
          <w:lang w:val="en-GB"/>
        </w:rPr>
        <w:t>全氟辛酸</w:t>
      </w:r>
      <w:proofErr w:type="gramEnd"/>
      <w:r w:rsidRPr="009E1C9D">
        <w:rPr>
          <w:sz w:val="24"/>
          <w:szCs w:val="24"/>
          <w:lang w:val="en-GB"/>
        </w:rPr>
        <w:t>在环境中</w:t>
      </w:r>
      <w:proofErr w:type="gramStart"/>
      <w:r w:rsidRPr="009E1C9D">
        <w:rPr>
          <w:sz w:val="24"/>
          <w:szCs w:val="24"/>
          <w:lang w:val="en-GB"/>
        </w:rPr>
        <w:t>不</w:t>
      </w:r>
      <w:proofErr w:type="gramEnd"/>
      <w:r w:rsidRPr="009E1C9D">
        <w:rPr>
          <w:sz w:val="24"/>
          <w:szCs w:val="24"/>
          <w:lang w:val="en-GB"/>
        </w:rPr>
        <w:t>降解。它是一种具有持久、生物积累和有毒性质的物质。</w:t>
      </w:r>
      <w:r w:rsidRPr="009E1C9D">
        <w:rPr>
          <w:sz w:val="24"/>
          <w:szCs w:val="24"/>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sz w:val="24"/>
          <w:szCs w:val="24"/>
          <w:lang w:val="en-GB"/>
        </w:rPr>
      </w:pPr>
      <w:r w:rsidRPr="009E1C9D">
        <w:rPr>
          <w:sz w:val="24"/>
          <w:szCs w:val="24"/>
          <w:lang w:val="en-GB"/>
        </w:rPr>
        <w:t>通知书认为，</w:t>
      </w:r>
      <w:proofErr w:type="gramStart"/>
      <w:r w:rsidRPr="009E1C9D">
        <w:rPr>
          <w:sz w:val="24"/>
          <w:szCs w:val="24"/>
          <w:lang w:val="en-GB"/>
        </w:rPr>
        <w:t>由于全氟辛酸</w:t>
      </w:r>
      <w:proofErr w:type="gramEnd"/>
      <w:r w:rsidRPr="009E1C9D">
        <w:rPr>
          <w:sz w:val="24"/>
          <w:szCs w:val="24"/>
          <w:lang w:val="en-GB"/>
        </w:rPr>
        <w:t>在环境中具有这些特性，无法确定一个可以接受的水平，应尽可能限制排放和接触。</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sz w:val="24"/>
          <w:szCs w:val="24"/>
          <w:lang w:val="en-GB"/>
        </w:rPr>
        <w:t>因此</w:t>
      </w:r>
      <w:r w:rsidRPr="009E1C9D">
        <w:rPr>
          <w:color w:val="333333"/>
          <w:sz w:val="24"/>
          <w:szCs w:val="24"/>
          <w:shd w:val="clear" w:color="auto" w:fill="FFFFFF"/>
          <w:lang w:val="en-GB"/>
        </w:rPr>
        <w:t>，委员会确认附件二</w:t>
      </w:r>
      <w:r w:rsidRPr="009E1C9D">
        <w:rPr>
          <w:color w:val="333333"/>
          <w:sz w:val="24"/>
          <w:szCs w:val="24"/>
          <w:shd w:val="clear" w:color="auto" w:fill="FFFFFF"/>
          <w:lang w:val="en-GB"/>
        </w:rPr>
        <w:t>(b) (</w:t>
      </w:r>
      <w:r w:rsidRPr="009E1C9D">
        <w:rPr>
          <w:color w:val="333333"/>
          <w:sz w:val="24"/>
          <w:szCs w:val="24"/>
          <w:shd w:val="clear" w:color="auto" w:fill="FFFFFF"/>
          <w:lang w:val="en-GB"/>
        </w:rPr>
        <w:t>三</w:t>
      </w:r>
      <w:r w:rsidRPr="009E1C9D">
        <w:rPr>
          <w:color w:val="333333"/>
          <w:sz w:val="24"/>
          <w:szCs w:val="24"/>
          <w:shd w:val="clear" w:color="auto" w:fill="FFFFFF"/>
          <w:lang w:val="en-GB"/>
        </w:rPr>
        <w:t xml:space="preserve">) </w:t>
      </w:r>
      <w:r w:rsidRPr="009E1C9D">
        <w:rPr>
          <w:color w:val="333333"/>
          <w:sz w:val="24"/>
          <w:szCs w:val="24"/>
          <w:shd w:val="clear" w:color="auto" w:fill="FFFFFF"/>
          <w:lang w:val="en-GB"/>
        </w:rPr>
        <w:t>段的标准已经达到。</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委员会确认附件二</w:t>
      </w:r>
      <w:r w:rsidRPr="009E1C9D">
        <w:rPr>
          <w:color w:val="333333"/>
          <w:sz w:val="24"/>
          <w:szCs w:val="24"/>
          <w:shd w:val="clear" w:color="auto" w:fill="FFFFFF"/>
          <w:lang w:val="en-GB"/>
        </w:rPr>
        <w:t xml:space="preserve">(b) </w:t>
      </w:r>
      <w:r w:rsidRPr="009E1C9D">
        <w:rPr>
          <w:color w:val="333333"/>
          <w:sz w:val="24"/>
          <w:szCs w:val="24"/>
          <w:shd w:val="clear" w:color="auto" w:fill="FFFFFF"/>
          <w:lang w:val="en-GB"/>
        </w:rPr>
        <w:t>段的标准已经达到。</w:t>
      </w:r>
    </w:p>
    <w:p w:rsidR="001F52B3" w:rsidRPr="00237745" w:rsidRDefault="001F52B3" w:rsidP="001F52B3">
      <w:pPr>
        <w:keepNext/>
        <w:keepLines/>
        <w:tabs>
          <w:tab w:val="right" w:pos="851"/>
          <w:tab w:val="left" w:pos="4082"/>
        </w:tabs>
        <w:suppressAutoHyphens/>
        <w:spacing w:line="240" w:lineRule="auto"/>
        <w:ind w:left="1247" w:right="284" w:hanging="1247"/>
        <w:jc w:val="left"/>
        <w:rPr>
          <w:b/>
          <w:snapToGrid w:val="0"/>
          <w:sz w:val="20"/>
          <w:szCs w:val="20"/>
          <w:lang w:val="en-GB"/>
        </w:rPr>
      </w:pPr>
      <w:r w:rsidRPr="00237745">
        <w:rPr>
          <w:b/>
          <w:snapToGrid w:val="0"/>
          <w:sz w:val="20"/>
          <w:szCs w:val="20"/>
          <w:lang w:val="en-GB"/>
        </w:rPr>
        <w:tab/>
      </w:r>
      <w:r w:rsidRPr="00237745">
        <w:rPr>
          <w:b/>
          <w:snapToGrid w:val="0"/>
          <w:sz w:val="24"/>
          <w:szCs w:val="24"/>
          <w:lang w:val="en-GB"/>
        </w:rPr>
        <w:t>(d)</w:t>
      </w:r>
      <w:r w:rsidRPr="00237745">
        <w:rPr>
          <w:b/>
          <w:snapToGrid w:val="0"/>
          <w:sz w:val="20"/>
          <w:szCs w:val="20"/>
          <w:lang w:val="en-GB"/>
        </w:rPr>
        <w:tab/>
      </w:r>
      <w:r w:rsidRPr="009E1C9D">
        <w:rPr>
          <w:rFonts w:eastAsia="SimHei"/>
          <w:b/>
          <w:snapToGrid w:val="0"/>
          <w:sz w:val="24"/>
          <w:szCs w:val="24"/>
          <w:lang w:val="en-GB"/>
        </w:rPr>
        <w:t>附件二</w:t>
      </w:r>
      <w:r w:rsidRPr="009E1C9D">
        <w:rPr>
          <w:rFonts w:eastAsia="SimHei"/>
          <w:b/>
          <w:snapToGrid w:val="0"/>
          <w:sz w:val="24"/>
          <w:szCs w:val="24"/>
          <w:lang w:val="en-GB"/>
        </w:rPr>
        <w:t>(c)</w:t>
      </w:r>
      <w:r w:rsidRPr="009E1C9D">
        <w:rPr>
          <w:rFonts w:eastAsia="SimHei"/>
          <w:b/>
          <w:snapToGrid w:val="0"/>
          <w:sz w:val="24"/>
          <w:szCs w:val="24"/>
          <w:lang w:val="en-GB"/>
        </w:rPr>
        <w:t>段的标准</w:t>
      </w:r>
    </w:p>
    <w:p w:rsidR="001F52B3" w:rsidRPr="009E1C9D" w:rsidRDefault="001F52B3" w:rsidP="001F52B3">
      <w:pPr>
        <w:keepNext/>
        <w:keepLines/>
        <w:tabs>
          <w:tab w:val="clear" w:pos="1247"/>
          <w:tab w:val="clear" w:pos="1814"/>
          <w:tab w:val="clear" w:pos="2381"/>
          <w:tab w:val="clear" w:pos="2948"/>
          <w:tab w:val="clear" w:pos="3515"/>
          <w:tab w:val="left" w:pos="624"/>
        </w:tabs>
        <w:snapToGrid w:val="0"/>
        <w:spacing w:line="240" w:lineRule="auto"/>
        <w:ind w:left="1247" w:firstLine="624"/>
        <w:jc w:val="left"/>
        <w:rPr>
          <w:rFonts w:eastAsia="KaiTi"/>
          <w:sz w:val="24"/>
          <w:szCs w:val="24"/>
          <w:lang w:val="en-GB"/>
        </w:rPr>
      </w:pPr>
      <w:r w:rsidRPr="009E1C9D">
        <w:rPr>
          <w:rFonts w:eastAsia="KaiTi"/>
          <w:sz w:val="24"/>
          <w:szCs w:val="24"/>
          <w:lang w:val="en-GB"/>
        </w:rPr>
        <w:t>(c)</w:t>
      </w:r>
      <w:r w:rsidRPr="009E1C9D">
        <w:rPr>
          <w:rFonts w:eastAsia="KaiTi"/>
          <w:sz w:val="24"/>
          <w:szCs w:val="24"/>
          <w:lang w:val="en-GB"/>
        </w:rPr>
        <w:tab/>
      </w:r>
      <w:r w:rsidRPr="009E1C9D">
        <w:rPr>
          <w:rFonts w:eastAsia="KaiTi"/>
          <w:sz w:val="24"/>
          <w:szCs w:val="24"/>
          <w:lang w:val="en-GB"/>
        </w:rPr>
        <w:t>通过考虑下列因素审议有关的最后管制行动是否提供了充分的依据、因而值得将有关化学品列入附件三：</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sz w:val="24"/>
          <w:szCs w:val="24"/>
          <w:lang w:val="en-GB"/>
        </w:rPr>
      </w:pPr>
      <w:r w:rsidRPr="009E1C9D">
        <w:rPr>
          <w:rFonts w:eastAsia="KaiTi"/>
          <w:sz w:val="24"/>
          <w:szCs w:val="24"/>
          <w:lang w:val="en-GB"/>
        </w:rPr>
        <w:t>(</w:t>
      </w:r>
      <w:r w:rsidRPr="009E1C9D">
        <w:rPr>
          <w:rFonts w:eastAsia="KaiTi"/>
          <w:sz w:val="24"/>
          <w:szCs w:val="24"/>
          <w:lang w:val="en-GB"/>
        </w:rPr>
        <w:t>一</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有关的最后管制行动是否导致了或预期将导致所有化学品数量或使用次数大幅度下降；</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sz w:val="24"/>
          <w:szCs w:val="24"/>
          <w:lang w:val="en-GB"/>
        </w:rPr>
      </w:pPr>
      <w:r w:rsidRPr="009E1C9D">
        <w:rPr>
          <w:sz w:val="24"/>
          <w:szCs w:val="24"/>
          <w:lang w:val="en-GB"/>
        </w:rPr>
        <w:t>通知书未提供实际用量的信息，但提供了挪威的使用情况信息。挪威上报的管制行动是禁止制造、进口、出口和销售含有</w:t>
      </w:r>
      <w:proofErr w:type="gramStart"/>
      <w:r w:rsidRPr="009E1C9D">
        <w:rPr>
          <w:sz w:val="24"/>
          <w:szCs w:val="24"/>
          <w:lang w:val="en-GB"/>
        </w:rPr>
        <w:t>纯全氟辛酸</w:t>
      </w:r>
      <w:proofErr w:type="gramEnd"/>
      <w:r w:rsidRPr="009E1C9D">
        <w:rPr>
          <w:sz w:val="24"/>
          <w:szCs w:val="24"/>
          <w:lang w:val="en-GB"/>
        </w:rPr>
        <w:t>和</w:t>
      </w:r>
      <w:proofErr w:type="gramStart"/>
      <w:r w:rsidRPr="009E1C9D">
        <w:rPr>
          <w:sz w:val="24"/>
          <w:szCs w:val="24"/>
          <w:lang w:val="en-GB"/>
        </w:rPr>
        <w:t>全氟辛酸单盐</w:t>
      </w:r>
      <w:proofErr w:type="gramEnd"/>
      <w:r w:rsidRPr="009E1C9D">
        <w:rPr>
          <w:sz w:val="24"/>
          <w:szCs w:val="24"/>
          <w:lang w:val="en-GB"/>
        </w:rPr>
        <w:t>和单酯或其混合物（如果混合物</w:t>
      </w:r>
      <w:r w:rsidRPr="009E1C9D">
        <w:rPr>
          <w:color w:val="333333"/>
          <w:sz w:val="24"/>
          <w:szCs w:val="24"/>
          <w:shd w:val="clear" w:color="auto" w:fill="FFFFFF"/>
          <w:lang w:val="en-GB"/>
        </w:rPr>
        <w:t>按重量计算含有</w:t>
      </w:r>
      <w:r w:rsidRPr="009E1C9D">
        <w:rPr>
          <w:color w:val="333333"/>
          <w:sz w:val="24"/>
          <w:szCs w:val="24"/>
          <w:shd w:val="clear" w:color="auto" w:fill="FFFFFF"/>
          <w:lang w:val="en-GB"/>
        </w:rPr>
        <w:t>0.001%</w:t>
      </w:r>
      <w:r w:rsidRPr="009E1C9D">
        <w:rPr>
          <w:color w:val="333333"/>
          <w:sz w:val="24"/>
          <w:szCs w:val="24"/>
          <w:shd w:val="clear" w:color="auto" w:fill="FFFFFF"/>
          <w:lang w:val="en-GB"/>
        </w:rPr>
        <w:t>或更多</w:t>
      </w:r>
      <w:proofErr w:type="gramStart"/>
      <w:r w:rsidRPr="009E1C9D">
        <w:rPr>
          <w:color w:val="333333"/>
          <w:sz w:val="24"/>
          <w:szCs w:val="24"/>
          <w:shd w:val="clear" w:color="auto" w:fill="FFFFFF"/>
          <w:lang w:val="en-GB"/>
        </w:rPr>
        <w:t>的全氟辛酸</w:t>
      </w:r>
      <w:proofErr w:type="gramEnd"/>
      <w:r w:rsidRPr="009E1C9D">
        <w:rPr>
          <w:color w:val="333333"/>
          <w:sz w:val="24"/>
          <w:szCs w:val="24"/>
          <w:shd w:val="clear" w:color="auto" w:fill="FFFFFF"/>
          <w:lang w:val="en-GB"/>
        </w:rPr>
        <w:t>）的消费产品。此外，如果产品单个部件中</w:t>
      </w:r>
      <w:proofErr w:type="gramStart"/>
      <w:r w:rsidRPr="009E1C9D">
        <w:rPr>
          <w:color w:val="333333"/>
          <w:sz w:val="24"/>
          <w:szCs w:val="24"/>
          <w:shd w:val="clear" w:color="auto" w:fill="FFFFFF"/>
          <w:lang w:val="en-GB"/>
        </w:rPr>
        <w:t>的全氟辛酸</w:t>
      </w:r>
      <w:proofErr w:type="gramEnd"/>
      <w:r w:rsidRPr="009E1C9D">
        <w:rPr>
          <w:color w:val="333333"/>
          <w:sz w:val="24"/>
          <w:szCs w:val="24"/>
          <w:shd w:val="clear" w:color="auto" w:fill="FFFFFF"/>
          <w:lang w:val="en-GB"/>
        </w:rPr>
        <w:t>含量大于或等于</w:t>
      </w:r>
      <w:r w:rsidRPr="009E1C9D">
        <w:rPr>
          <w:color w:val="333333"/>
          <w:sz w:val="24"/>
          <w:szCs w:val="24"/>
          <w:shd w:val="clear" w:color="auto" w:fill="FFFFFF"/>
          <w:lang w:val="en-GB"/>
        </w:rPr>
        <w:t>1 µg/m</w:t>
      </w:r>
      <w:r w:rsidRPr="009E1C9D">
        <w:rPr>
          <w:color w:val="333333"/>
          <w:sz w:val="24"/>
          <w:szCs w:val="24"/>
          <w:shd w:val="clear" w:color="auto" w:fill="FFFFFF"/>
          <w:vertAlign w:val="superscript"/>
          <w:lang w:val="en-GB"/>
        </w:rPr>
        <w:t>2</w:t>
      </w:r>
      <w:r w:rsidRPr="009E1C9D">
        <w:rPr>
          <w:color w:val="333333"/>
          <w:sz w:val="24"/>
          <w:szCs w:val="24"/>
          <w:shd w:val="clear" w:color="auto" w:fill="FFFFFF"/>
          <w:lang w:val="en-GB"/>
        </w:rPr>
        <w:t>的话，还禁止制造、进口、出口和销售</w:t>
      </w:r>
      <w:proofErr w:type="gramStart"/>
      <w:r w:rsidRPr="009E1C9D">
        <w:rPr>
          <w:color w:val="333333"/>
          <w:sz w:val="24"/>
          <w:szCs w:val="24"/>
          <w:shd w:val="clear" w:color="auto" w:fill="FFFFFF"/>
          <w:lang w:val="en-GB"/>
        </w:rPr>
        <w:t>含有全氟辛酸</w:t>
      </w:r>
      <w:proofErr w:type="gramEnd"/>
      <w:r w:rsidRPr="009E1C9D">
        <w:rPr>
          <w:color w:val="333333"/>
          <w:sz w:val="24"/>
          <w:szCs w:val="24"/>
          <w:shd w:val="clear" w:color="auto" w:fill="FFFFFF"/>
          <w:lang w:val="en-GB"/>
        </w:rPr>
        <w:t>的纺织品、地毯和其他有涂层的产品。单个部件包括制造产品的材料和产品的各个</w:t>
      </w:r>
      <w:r w:rsidRPr="009E1C9D">
        <w:rPr>
          <w:sz w:val="24"/>
          <w:szCs w:val="24"/>
          <w:lang w:val="en-GB"/>
        </w:rPr>
        <w:t>组件。</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sz w:val="24"/>
          <w:szCs w:val="24"/>
          <w:lang w:val="en-GB"/>
        </w:rPr>
        <w:t>此外，还禁止制造、进口、出口和销售</w:t>
      </w:r>
      <w:proofErr w:type="gramStart"/>
      <w:r w:rsidRPr="009E1C9D">
        <w:rPr>
          <w:sz w:val="24"/>
          <w:szCs w:val="24"/>
          <w:lang w:val="en-GB"/>
        </w:rPr>
        <w:t>含有全氟辛酸</w:t>
      </w:r>
      <w:proofErr w:type="gramEnd"/>
      <w:r w:rsidRPr="009E1C9D">
        <w:rPr>
          <w:sz w:val="24"/>
          <w:szCs w:val="24"/>
          <w:lang w:val="en-GB"/>
        </w:rPr>
        <w:t>的消费产品，如果按重量计算产品单个部件中</w:t>
      </w:r>
      <w:proofErr w:type="gramStart"/>
      <w:r w:rsidRPr="009E1C9D">
        <w:rPr>
          <w:sz w:val="24"/>
          <w:szCs w:val="24"/>
          <w:lang w:val="en-GB"/>
        </w:rPr>
        <w:t>的全氟</w:t>
      </w:r>
      <w:r w:rsidRPr="009E1C9D">
        <w:rPr>
          <w:color w:val="333333"/>
          <w:sz w:val="24"/>
          <w:szCs w:val="24"/>
          <w:shd w:val="clear" w:color="auto" w:fill="FFFFFF"/>
          <w:lang w:val="en-GB"/>
        </w:rPr>
        <w:t>辛酸</w:t>
      </w:r>
      <w:proofErr w:type="gramEnd"/>
      <w:r w:rsidRPr="009E1C9D">
        <w:rPr>
          <w:color w:val="333333"/>
          <w:sz w:val="24"/>
          <w:szCs w:val="24"/>
          <w:shd w:val="clear" w:color="auto" w:fill="FFFFFF"/>
          <w:lang w:val="en-GB"/>
        </w:rPr>
        <w:t>含量大于</w:t>
      </w:r>
      <w:r w:rsidRPr="009E1C9D">
        <w:rPr>
          <w:color w:val="333333"/>
          <w:sz w:val="24"/>
          <w:szCs w:val="24"/>
          <w:shd w:val="clear" w:color="auto" w:fill="FFFFFF"/>
          <w:lang w:val="en-GB"/>
        </w:rPr>
        <w:t>0.1%</w:t>
      </w:r>
      <w:r w:rsidRPr="009E1C9D">
        <w:rPr>
          <w:color w:val="333333"/>
          <w:sz w:val="24"/>
          <w:szCs w:val="24"/>
          <w:shd w:val="clear" w:color="auto" w:fill="FFFFFF"/>
          <w:lang w:val="en-GB"/>
        </w:rPr>
        <w:t>。制造和出口禁令适用于半导体的粘合剂、箔片和胶带以及薄膜、纸和印版的照相涂料。</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考虑到全氟辛酸以前在挪威的使用情况，尽管有关限制不适应于</w:t>
      </w:r>
      <w:r w:rsidRPr="009E1C9D">
        <w:rPr>
          <w:color w:val="333333"/>
          <w:sz w:val="24"/>
          <w:szCs w:val="24"/>
          <w:shd w:val="clear" w:color="auto" w:fill="FFFFFF"/>
          <w:lang w:val="en-GB"/>
        </w:rPr>
        <w:t>2014</w:t>
      </w:r>
      <w:r w:rsidRPr="009E1C9D">
        <w:rPr>
          <w:color w:val="333333"/>
          <w:sz w:val="24"/>
          <w:szCs w:val="24"/>
          <w:shd w:val="clear" w:color="auto" w:fill="FFFFFF"/>
          <w:lang w:val="en-GB"/>
        </w:rPr>
        <w:t>年</w:t>
      </w:r>
      <w:r w:rsidRPr="009E1C9D">
        <w:rPr>
          <w:color w:val="333333"/>
          <w:sz w:val="24"/>
          <w:szCs w:val="24"/>
          <w:shd w:val="clear" w:color="auto" w:fill="FFFFFF"/>
          <w:lang w:val="en-GB"/>
        </w:rPr>
        <w:t>6</w:t>
      </w:r>
      <w:r w:rsidRPr="009E1C9D">
        <w:rPr>
          <w:color w:val="333333"/>
          <w:sz w:val="24"/>
          <w:szCs w:val="24"/>
          <w:shd w:val="clear" w:color="auto" w:fill="FFFFFF"/>
          <w:lang w:val="en-GB"/>
        </w:rPr>
        <w:t>月</w:t>
      </w:r>
      <w:r w:rsidRPr="009E1C9D">
        <w:rPr>
          <w:color w:val="333333"/>
          <w:sz w:val="24"/>
          <w:szCs w:val="24"/>
          <w:shd w:val="clear" w:color="auto" w:fill="FFFFFF"/>
          <w:lang w:val="en-GB"/>
        </w:rPr>
        <w:t>1</w:t>
      </w:r>
      <w:r w:rsidRPr="009E1C9D">
        <w:rPr>
          <w:color w:val="333333"/>
          <w:sz w:val="24"/>
          <w:szCs w:val="24"/>
          <w:shd w:val="clear" w:color="auto" w:fill="FFFFFF"/>
          <w:lang w:val="en-GB"/>
        </w:rPr>
        <w:t>日前供销售的包装、食品接触材料和医疗器械，但可以认为它们已使挪威境内使用</w:t>
      </w:r>
      <w:proofErr w:type="gramStart"/>
      <w:r w:rsidRPr="009E1C9D">
        <w:rPr>
          <w:color w:val="333333"/>
          <w:sz w:val="24"/>
          <w:szCs w:val="24"/>
          <w:shd w:val="clear" w:color="auto" w:fill="FFFFFF"/>
          <w:lang w:val="en-GB"/>
        </w:rPr>
        <w:t>的全氟辛酸</w:t>
      </w:r>
      <w:proofErr w:type="gramEnd"/>
      <w:r w:rsidRPr="009E1C9D">
        <w:rPr>
          <w:color w:val="333333"/>
          <w:sz w:val="24"/>
          <w:szCs w:val="24"/>
          <w:shd w:val="clear" w:color="auto" w:fill="FFFFFF"/>
          <w:lang w:val="en-GB"/>
        </w:rPr>
        <w:t>数量大幅度减少。</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sz w:val="20"/>
          <w:szCs w:val="20"/>
          <w:lang w:val="en-GB"/>
        </w:rPr>
      </w:pPr>
      <w:r w:rsidRPr="009E1C9D">
        <w:rPr>
          <w:color w:val="333333"/>
          <w:sz w:val="24"/>
          <w:szCs w:val="24"/>
          <w:shd w:val="clear" w:color="auto" w:fill="FFFFFF"/>
          <w:lang w:val="en-GB"/>
        </w:rPr>
        <w:t>因此，委员会确认附件二</w:t>
      </w:r>
      <w:r w:rsidRPr="009E1C9D">
        <w:rPr>
          <w:color w:val="333333"/>
          <w:sz w:val="24"/>
          <w:szCs w:val="24"/>
          <w:shd w:val="clear" w:color="auto" w:fill="FFFFFF"/>
          <w:lang w:val="en-GB"/>
        </w:rPr>
        <w:t>(c) (</w:t>
      </w:r>
      <w:proofErr w:type="gramStart"/>
      <w:r w:rsidRPr="009E1C9D">
        <w:rPr>
          <w:color w:val="333333"/>
          <w:sz w:val="24"/>
          <w:szCs w:val="24"/>
          <w:shd w:val="clear" w:color="auto" w:fill="FFFFFF"/>
          <w:lang w:val="en-GB"/>
        </w:rPr>
        <w:t>一</w:t>
      </w:r>
      <w:proofErr w:type="gramEnd"/>
      <w:r w:rsidRPr="009E1C9D">
        <w:rPr>
          <w:color w:val="333333"/>
          <w:sz w:val="24"/>
          <w:szCs w:val="24"/>
          <w:shd w:val="clear" w:color="auto" w:fill="FFFFFF"/>
          <w:lang w:val="en-GB"/>
        </w:rPr>
        <w:t xml:space="preserve">) </w:t>
      </w:r>
      <w:r w:rsidRPr="009E1C9D">
        <w:rPr>
          <w:color w:val="333333"/>
          <w:sz w:val="24"/>
          <w:szCs w:val="24"/>
          <w:shd w:val="clear" w:color="auto" w:fill="FFFFFF"/>
          <w:lang w:val="en-GB"/>
        </w:rPr>
        <w:t>段的标准已经</w:t>
      </w:r>
      <w:r w:rsidRPr="009E1C9D">
        <w:rPr>
          <w:sz w:val="24"/>
          <w:szCs w:val="24"/>
          <w:lang w:val="en-GB"/>
        </w:rPr>
        <w:t>达到。</w:t>
      </w:r>
      <w:r w:rsidRPr="009E1C9D">
        <w:rPr>
          <w:sz w:val="20"/>
          <w:szCs w:val="20"/>
          <w:lang w:val="en-GB"/>
        </w:rPr>
        <w:t xml:space="preserve"> </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i/>
          <w:sz w:val="20"/>
          <w:szCs w:val="20"/>
          <w:lang w:val="en-GB"/>
        </w:rPr>
      </w:pPr>
      <w:r w:rsidRPr="009E1C9D">
        <w:rPr>
          <w:rFonts w:eastAsia="KaiTi"/>
          <w:sz w:val="24"/>
          <w:szCs w:val="24"/>
          <w:lang w:val="en-GB"/>
        </w:rPr>
        <w:t>(</w:t>
      </w:r>
      <w:r w:rsidRPr="009E1C9D">
        <w:rPr>
          <w:rFonts w:eastAsia="KaiTi"/>
          <w:sz w:val="24"/>
          <w:szCs w:val="24"/>
          <w:lang w:val="en-GB"/>
        </w:rPr>
        <w:t>二</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有关的最后管制行动是否导致了对发出通知缔约方的人民健康或环境的风险的实际减少或预期将使这类风险大幅度减少；</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lastRenderedPageBreak/>
        <w:t>通知书指出，</w:t>
      </w:r>
      <w:proofErr w:type="gramStart"/>
      <w:r w:rsidRPr="009E1C9D">
        <w:rPr>
          <w:color w:val="333333"/>
          <w:sz w:val="24"/>
          <w:szCs w:val="24"/>
          <w:shd w:val="clear" w:color="auto" w:fill="FFFFFF"/>
          <w:lang w:val="en-GB"/>
        </w:rPr>
        <w:t>由于全氟辛酸</w:t>
      </w:r>
      <w:proofErr w:type="gramEnd"/>
      <w:r w:rsidRPr="009E1C9D">
        <w:rPr>
          <w:color w:val="333333"/>
          <w:sz w:val="24"/>
          <w:szCs w:val="24"/>
          <w:shd w:val="clear" w:color="auto" w:fill="FFFFFF"/>
          <w:lang w:val="en-GB"/>
        </w:rPr>
        <w:t>在环境中具有这些特性，无法确定一个可以接受的水平，应尽可能限制排放和接触。因此，减少人和环境接触这一物质预计会大大降低风险，特别是</w:t>
      </w:r>
      <w:proofErr w:type="gramStart"/>
      <w:r w:rsidRPr="009E1C9D">
        <w:rPr>
          <w:color w:val="333333"/>
          <w:sz w:val="24"/>
          <w:szCs w:val="24"/>
          <w:shd w:val="clear" w:color="auto" w:fill="FFFFFF"/>
          <w:lang w:val="en-GB"/>
        </w:rPr>
        <w:t>鉴于全氟辛酸</w:t>
      </w:r>
      <w:proofErr w:type="gramEnd"/>
      <w:r w:rsidRPr="009E1C9D">
        <w:rPr>
          <w:color w:val="333333"/>
          <w:sz w:val="24"/>
          <w:szCs w:val="24"/>
          <w:shd w:val="clear" w:color="auto" w:fill="FFFFFF"/>
          <w:lang w:val="en-GB"/>
        </w:rPr>
        <w:t>具有致癌、致突变或生殖毒性和持久、生物积累和有毒等特性。</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委员会确认附件二</w:t>
      </w:r>
      <w:r w:rsidRPr="009E1C9D">
        <w:rPr>
          <w:color w:val="333333"/>
          <w:sz w:val="24"/>
          <w:szCs w:val="24"/>
          <w:shd w:val="clear" w:color="auto" w:fill="FFFFFF"/>
          <w:lang w:val="en-GB"/>
        </w:rPr>
        <w:t>(c) (</w:t>
      </w:r>
      <w:r w:rsidRPr="009E1C9D">
        <w:rPr>
          <w:color w:val="333333"/>
          <w:sz w:val="24"/>
          <w:szCs w:val="24"/>
          <w:shd w:val="clear" w:color="auto" w:fill="FFFFFF"/>
          <w:lang w:val="en-GB"/>
        </w:rPr>
        <w:t>二</w:t>
      </w:r>
      <w:r w:rsidRPr="009E1C9D">
        <w:rPr>
          <w:color w:val="333333"/>
          <w:sz w:val="24"/>
          <w:szCs w:val="24"/>
          <w:shd w:val="clear" w:color="auto" w:fill="FFFFFF"/>
          <w:lang w:val="en-GB"/>
        </w:rPr>
        <w:t xml:space="preserve">) </w:t>
      </w:r>
      <w:r w:rsidRPr="009E1C9D">
        <w:rPr>
          <w:color w:val="333333"/>
          <w:sz w:val="24"/>
          <w:szCs w:val="24"/>
          <w:shd w:val="clear" w:color="auto" w:fill="FFFFFF"/>
          <w:lang w:val="en-GB"/>
        </w:rPr>
        <w:t>段的标准已经达到。</w:t>
      </w:r>
      <w:r w:rsidRPr="009E1C9D">
        <w:rPr>
          <w:color w:val="333333"/>
          <w:sz w:val="24"/>
          <w:szCs w:val="24"/>
          <w:shd w:val="clear" w:color="auto" w:fill="FFFFFF"/>
          <w:lang w:val="en-GB"/>
        </w:rPr>
        <w:t xml:space="preserve"> </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sz w:val="24"/>
          <w:szCs w:val="24"/>
          <w:lang w:val="en-GB"/>
        </w:rPr>
      </w:pPr>
      <w:r w:rsidRPr="009E1C9D">
        <w:rPr>
          <w:rFonts w:eastAsia="KaiTi"/>
          <w:sz w:val="24"/>
          <w:szCs w:val="24"/>
          <w:lang w:val="en-GB"/>
        </w:rPr>
        <w:t>(</w:t>
      </w:r>
      <w:r w:rsidRPr="009E1C9D">
        <w:rPr>
          <w:rFonts w:eastAsia="KaiTi"/>
          <w:sz w:val="24"/>
          <w:szCs w:val="24"/>
          <w:lang w:val="en-GB"/>
        </w:rPr>
        <w:t>三</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导致采取最后管制行动的考虑因素是否仅适用于一个有限的地理区域或其它有限情况；</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通知书指出，其他</w:t>
      </w:r>
      <w:proofErr w:type="gramStart"/>
      <w:r w:rsidRPr="009E1C9D">
        <w:rPr>
          <w:color w:val="333333"/>
          <w:sz w:val="24"/>
          <w:szCs w:val="24"/>
          <w:shd w:val="clear" w:color="auto" w:fill="FFFFFF"/>
          <w:lang w:val="en-GB"/>
        </w:rPr>
        <w:t>使用全氟辛酸</w:t>
      </w:r>
      <w:proofErr w:type="gramEnd"/>
      <w:r w:rsidRPr="009E1C9D">
        <w:rPr>
          <w:color w:val="333333"/>
          <w:sz w:val="24"/>
          <w:szCs w:val="24"/>
          <w:shd w:val="clear" w:color="auto" w:fill="FFFFFF"/>
          <w:lang w:val="en-GB"/>
        </w:rPr>
        <w:t>的国家可能也会有与挪威相同的关注。世界各地不同的产品中</w:t>
      </w:r>
      <w:proofErr w:type="gramStart"/>
      <w:r w:rsidRPr="009E1C9D">
        <w:rPr>
          <w:color w:val="333333"/>
          <w:sz w:val="24"/>
          <w:szCs w:val="24"/>
          <w:shd w:val="clear" w:color="auto" w:fill="FFFFFF"/>
          <w:lang w:val="en-GB"/>
        </w:rPr>
        <w:t>都有全氟辛酸</w:t>
      </w:r>
      <w:proofErr w:type="gramEnd"/>
      <w:r w:rsidRPr="009E1C9D">
        <w:rPr>
          <w:color w:val="333333"/>
          <w:sz w:val="24"/>
          <w:szCs w:val="24"/>
          <w:shd w:val="clear" w:color="auto" w:fill="FFFFFF"/>
          <w:lang w:val="en-GB"/>
        </w:rPr>
        <w:t>。改变生产方式以到达挪威的要求也可在其他国家中降低产品</w:t>
      </w:r>
      <w:proofErr w:type="gramStart"/>
      <w:r w:rsidRPr="009E1C9D">
        <w:rPr>
          <w:color w:val="333333"/>
          <w:sz w:val="24"/>
          <w:szCs w:val="24"/>
          <w:shd w:val="clear" w:color="auto" w:fill="FFFFFF"/>
          <w:lang w:val="en-GB"/>
        </w:rPr>
        <w:t>的全氟辛酸</w:t>
      </w:r>
      <w:proofErr w:type="gramEnd"/>
      <w:r w:rsidRPr="009E1C9D">
        <w:rPr>
          <w:color w:val="333333"/>
          <w:sz w:val="24"/>
          <w:szCs w:val="24"/>
          <w:shd w:val="clear" w:color="auto" w:fill="FFFFFF"/>
          <w:lang w:val="en-GB"/>
        </w:rPr>
        <w:t>含量。由于不同的利益攸关方</w:t>
      </w:r>
      <w:proofErr w:type="gramStart"/>
      <w:r w:rsidRPr="009E1C9D">
        <w:rPr>
          <w:color w:val="333333"/>
          <w:sz w:val="24"/>
          <w:szCs w:val="24"/>
          <w:shd w:val="clear" w:color="auto" w:fill="FFFFFF"/>
          <w:lang w:val="en-GB"/>
        </w:rPr>
        <w:t>对全氟化合物</w:t>
      </w:r>
      <w:proofErr w:type="gramEnd"/>
      <w:r w:rsidRPr="009E1C9D">
        <w:rPr>
          <w:color w:val="333333"/>
          <w:sz w:val="24"/>
          <w:szCs w:val="24"/>
          <w:shd w:val="clear" w:color="auto" w:fill="FFFFFF"/>
          <w:lang w:val="en-GB"/>
        </w:rPr>
        <w:t>进行了负面评述，有些纺织品品牌已经停止在防水处理中</w:t>
      </w:r>
      <w:proofErr w:type="gramStart"/>
      <w:r w:rsidRPr="009E1C9D">
        <w:rPr>
          <w:color w:val="333333"/>
          <w:sz w:val="24"/>
          <w:szCs w:val="24"/>
          <w:shd w:val="clear" w:color="auto" w:fill="FFFFFF"/>
          <w:lang w:val="en-GB"/>
        </w:rPr>
        <w:t>使用全氟化合物</w:t>
      </w:r>
      <w:proofErr w:type="gramEnd"/>
      <w:r w:rsidRPr="009E1C9D">
        <w:rPr>
          <w:color w:val="333333"/>
          <w:sz w:val="24"/>
          <w:szCs w:val="24"/>
          <w:shd w:val="clear" w:color="auto" w:fill="FFFFFF"/>
          <w:lang w:val="en-GB"/>
        </w:rPr>
        <w:t>。</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通知书还引用了挪威的</w:t>
      </w:r>
      <w:r w:rsidRPr="009E1C9D">
        <w:rPr>
          <w:rFonts w:ascii="SimSun" w:hAnsi="SimSun"/>
          <w:color w:val="333333"/>
          <w:sz w:val="24"/>
          <w:szCs w:val="24"/>
          <w:shd w:val="clear" w:color="auto" w:fill="FFFFFF"/>
          <w:lang w:val="en-GB"/>
        </w:rPr>
        <w:t>“</w:t>
      </w:r>
      <w:r w:rsidRPr="009E1C9D">
        <w:rPr>
          <w:color w:val="333333"/>
          <w:sz w:val="24"/>
          <w:szCs w:val="24"/>
          <w:shd w:val="clear" w:color="auto" w:fill="FFFFFF"/>
          <w:lang w:val="en-GB"/>
        </w:rPr>
        <w:t>关于对消费产品中的全氟辛酸和某些盐和</w:t>
      </w:r>
      <w:proofErr w:type="gramStart"/>
      <w:r w:rsidRPr="009E1C9D">
        <w:rPr>
          <w:color w:val="333333"/>
          <w:sz w:val="24"/>
          <w:szCs w:val="24"/>
          <w:shd w:val="clear" w:color="auto" w:fill="FFFFFF"/>
          <w:lang w:val="en-GB"/>
        </w:rPr>
        <w:t>酯实行</w:t>
      </w:r>
      <w:proofErr w:type="gramEnd"/>
      <w:r w:rsidRPr="009E1C9D">
        <w:rPr>
          <w:color w:val="333333"/>
          <w:sz w:val="24"/>
          <w:szCs w:val="24"/>
          <w:shd w:val="clear" w:color="auto" w:fill="FFFFFF"/>
          <w:lang w:val="en-GB"/>
        </w:rPr>
        <w:t>管制的后果的评估报告</w:t>
      </w:r>
      <w:r w:rsidRPr="009E1C9D">
        <w:rPr>
          <w:rFonts w:ascii="SimSun" w:hAnsi="SimSun"/>
          <w:color w:val="333333"/>
          <w:sz w:val="24"/>
          <w:szCs w:val="24"/>
          <w:shd w:val="clear" w:color="auto" w:fill="FFFFFF"/>
          <w:lang w:val="en-GB"/>
        </w:rPr>
        <w:t>”</w:t>
      </w:r>
      <w:r w:rsidRPr="009E1C9D">
        <w:rPr>
          <w:color w:val="333333"/>
          <w:sz w:val="24"/>
          <w:szCs w:val="24"/>
          <w:shd w:val="clear" w:color="auto" w:fill="FFFFFF"/>
          <w:lang w:val="en-GB"/>
        </w:rPr>
        <w:t>；该报告称，</w:t>
      </w:r>
      <w:proofErr w:type="gramStart"/>
      <w:r w:rsidRPr="009E1C9D">
        <w:rPr>
          <w:color w:val="333333"/>
          <w:sz w:val="24"/>
          <w:szCs w:val="24"/>
          <w:shd w:val="clear" w:color="auto" w:fill="FFFFFF"/>
          <w:lang w:val="en-GB"/>
        </w:rPr>
        <w:t>全氟辛酸</w:t>
      </w:r>
      <w:proofErr w:type="gramEnd"/>
      <w:r w:rsidRPr="009E1C9D">
        <w:rPr>
          <w:color w:val="333333"/>
          <w:sz w:val="24"/>
          <w:szCs w:val="24"/>
          <w:shd w:val="clear" w:color="auto" w:fill="FFFFFF"/>
          <w:lang w:val="en-GB"/>
        </w:rPr>
        <w:t>通过空气和海流远距离转移，已在海鸟、海豹和北极熊等不同北极物种中发现</w:t>
      </w:r>
      <w:proofErr w:type="gramStart"/>
      <w:r w:rsidRPr="009E1C9D">
        <w:rPr>
          <w:color w:val="333333"/>
          <w:sz w:val="24"/>
          <w:szCs w:val="24"/>
          <w:shd w:val="clear" w:color="auto" w:fill="FFFFFF"/>
          <w:lang w:val="en-GB"/>
        </w:rPr>
        <w:t>了全氟辛酸</w:t>
      </w:r>
      <w:proofErr w:type="gramEnd"/>
      <w:r w:rsidRPr="009E1C9D">
        <w:rPr>
          <w:color w:val="333333"/>
          <w:sz w:val="24"/>
          <w:szCs w:val="24"/>
          <w:shd w:val="clear" w:color="auto" w:fill="FFFFFF"/>
          <w:lang w:val="en-GB"/>
        </w:rPr>
        <w:t>。它也是一种有致癌、致突变或生殖毒性和持久、生物积累和有毒特性的物质，任何</w:t>
      </w:r>
      <w:proofErr w:type="gramStart"/>
      <w:r w:rsidRPr="009E1C9D">
        <w:rPr>
          <w:color w:val="333333"/>
          <w:sz w:val="24"/>
          <w:szCs w:val="24"/>
          <w:shd w:val="clear" w:color="auto" w:fill="FFFFFF"/>
          <w:lang w:val="en-GB"/>
        </w:rPr>
        <w:t>有全氟辛酸</w:t>
      </w:r>
      <w:proofErr w:type="gramEnd"/>
      <w:r w:rsidRPr="009E1C9D">
        <w:rPr>
          <w:color w:val="333333"/>
          <w:sz w:val="24"/>
          <w:szCs w:val="24"/>
          <w:shd w:val="clear" w:color="auto" w:fill="FFFFFF"/>
          <w:lang w:val="en-GB"/>
        </w:rPr>
        <w:t>释放的国家或地区可能都会关注。</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委员会确认附件二</w:t>
      </w:r>
      <w:r w:rsidRPr="009E1C9D">
        <w:rPr>
          <w:color w:val="333333"/>
          <w:sz w:val="24"/>
          <w:szCs w:val="24"/>
          <w:shd w:val="clear" w:color="auto" w:fill="FFFFFF"/>
          <w:lang w:val="en-GB"/>
        </w:rPr>
        <w:t>(c) (</w:t>
      </w:r>
      <w:r w:rsidRPr="009E1C9D">
        <w:rPr>
          <w:color w:val="333333"/>
          <w:sz w:val="24"/>
          <w:szCs w:val="24"/>
          <w:shd w:val="clear" w:color="auto" w:fill="FFFFFF"/>
          <w:lang w:val="en-GB"/>
        </w:rPr>
        <w:t>三</w:t>
      </w:r>
      <w:r w:rsidRPr="009E1C9D">
        <w:rPr>
          <w:color w:val="333333"/>
          <w:sz w:val="24"/>
          <w:szCs w:val="24"/>
          <w:shd w:val="clear" w:color="auto" w:fill="FFFFFF"/>
          <w:lang w:val="en-GB"/>
        </w:rPr>
        <w:t xml:space="preserve">) </w:t>
      </w:r>
      <w:r w:rsidRPr="009E1C9D">
        <w:rPr>
          <w:color w:val="333333"/>
          <w:sz w:val="24"/>
          <w:szCs w:val="24"/>
          <w:shd w:val="clear" w:color="auto" w:fill="FFFFFF"/>
          <w:lang w:val="en-GB"/>
        </w:rPr>
        <w:t>段的标准已经达到。</w:t>
      </w:r>
      <w:r w:rsidRPr="009E1C9D">
        <w:rPr>
          <w:color w:val="333333"/>
          <w:sz w:val="24"/>
          <w:szCs w:val="24"/>
          <w:shd w:val="clear" w:color="auto" w:fill="FFFFFF"/>
          <w:lang w:val="en-GB"/>
        </w:rPr>
        <w:t xml:space="preserve"> </w:t>
      </w:r>
    </w:p>
    <w:p w:rsidR="001F52B3" w:rsidRPr="009E1C9D" w:rsidRDefault="001F52B3" w:rsidP="001F52B3">
      <w:pPr>
        <w:tabs>
          <w:tab w:val="left" w:pos="624"/>
        </w:tabs>
        <w:snapToGrid w:val="0"/>
        <w:spacing w:line="240" w:lineRule="auto"/>
        <w:ind w:left="2495" w:hanging="624"/>
        <w:jc w:val="left"/>
        <w:rPr>
          <w:rFonts w:eastAsia="KaiTi"/>
          <w:sz w:val="24"/>
          <w:szCs w:val="24"/>
          <w:lang w:val="en-GB"/>
        </w:rPr>
      </w:pPr>
      <w:r w:rsidRPr="009E1C9D">
        <w:rPr>
          <w:rFonts w:eastAsia="KaiTi"/>
          <w:sz w:val="24"/>
          <w:szCs w:val="24"/>
          <w:lang w:val="en-GB"/>
        </w:rPr>
        <w:t>(</w:t>
      </w:r>
      <w:r w:rsidRPr="009E1C9D">
        <w:rPr>
          <w:rFonts w:eastAsia="KaiTi"/>
          <w:sz w:val="24"/>
          <w:szCs w:val="24"/>
          <w:lang w:val="en-GB"/>
        </w:rPr>
        <w:t>四</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是否有证据表明仍在进行该化学品的国际贸易；</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没有挪威</w:t>
      </w:r>
      <w:proofErr w:type="gramStart"/>
      <w:r w:rsidRPr="009E1C9D">
        <w:rPr>
          <w:color w:val="333333"/>
          <w:sz w:val="24"/>
          <w:szCs w:val="24"/>
          <w:shd w:val="clear" w:color="auto" w:fill="FFFFFF"/>
          <w:lang w:val="en-GB"/>
        </w:rPr>
        <w:t>进行全氟辛酸</w:t>
      </w:r>
      <w:proofErr w:type="gramEnd"/>
      <w:r w:rsidRPr="009E1C9D">
        <w:rPr>
          <w:color w:val="333333"/>
          <w:sz w:val="24"/>
          <w:szCs w:val="24"/>
          <w:shd w:val="clear" w:color="auto" w:fill="FFFFFF"/>
          <w:lang w:val="en-GB"/>
        </w:rPr>
        <w:t>贸易的信息。但通知书指出，</w:t>
      </w:r>
      <w:proofErr w:type="gramStart"/>
      <w:r w:rsidRPr="009E1C9D">
        <w:rPr>
          <w:color w:val="333333"/>
          <w:sz w:val="24"/>
          <w:szCs w:val="24"/>
          <w:shd w:val="clear" w:color="auto" w:fill="FFFFFF"/>
          <w:lang w:val="en-GB"/>
        </w:rPr>
        <w:t>虽然全氟辛酸</w:t>
      </w:r>
      <w:proofErr w:type="gramEnd"/>
      <w:r w:rsidRPr="009E1C9D">
        <w:rPr>
          <w:color w:val="333333"/>
          <w:sz w:val="24"/>
          <w:szCs w:val="24"/>
          <w:shd w:val="clear" w:color="auto" w:fill="FFFFFF"/>
          <w:lang w:val="en-GB"/>
        </w:rPr>
        <w:t>不是挪威生产的，但它仍以化学杂质或物品成分的形式被人们使用和进口。</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持久性有机污染物审查委员会目前讨论情况的信息表明，有该物质的国际贸易</w:t>
      </w:r>
      <w:r w:rsidRPr="009E1C9D">
        <w:rPr>
          <w:color w:val="333333"/>
          <w:sz w:val="24"/>
          <w:szCs w:val="24"/>
          <w:shd w:val="clear" w:color="auto" w:fill="FFFFFF"/>
          <w:lang w:val="en-GB"/>
        </w:rPr>
        <w:t xml:space="preserve">(UNEP/POPS/POPRC.12/11/Add.2 </w:t>
      </w:r>
      <w:r w:rsidRPr="009E1C9D">
        <w:rPr>
          <w:color w:val="333333"/>
          <w:sz w:val="24"/>
          <w:szCs w:val="24"/>
          <w:shd w:val="clear" w:color="auto" w:fill="FFFFFF"/>
          <w:lang w:val="en-GB"/>
        </w:rPr>
        <w:t>和</w:t>
      </w:r>
      <w:r w:rsidRPr="009E1C9D">
        <w:rPr>
          <w:color w:val="333333"/>
          <w:sz w:val="24"/>
          <w:szCs w:val="24"/>
          <w:shd w:val="clear" w:color="auto" w:fill="FFFFFF"/>
          <w:lang w:val="en-GB"/>
        </w:rPr>
        <w:t>UNEP/POPS/POPRC.13/7/Add.2)</w:t>
      </w:r>
      <w:r w:rsidRPr="009E1C9D">
        <w:rPr>
          <w:color w:val="333333"/>
          <w:sz w:val="24"/>
          <w:szCs w:val="24"/>
          <w:shd w:val="clear" w:color="auto" w:fill="FFFFFF"/>
          <w:lang w:val="en-GB"/>
        </w:rPr>
        <w:t>。</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因此，委员会确认附件二</w:t>
      </w:r>
      <w:r w:rsidRPr="009E1C9D">
        <w:rPr>
          <w:color w:val="333333"/>
          <w:sz w:val="24"/>
          <w:szCs w:val="24"/>
          <w:shd w:val="clear" w:color="auto" w:fill="FFFFFF"/>
          <w:lang w:val="en-GB"/>
        </w:rPr>
        <w:t>(c) (</w:t>
      </w:r>
      <w:r w:rsidRPr="009E1C9D">
        <w:rPr>
          <w:color w:val="333333"/>
          <w:sz w:val="24"/>
          <w:szCs w:val="24"/>
          <w:shd w:val="clear" w:color="auto" w:fill="FFFFFF"/>
          <w:lang w:val="en-GB"/>
        </w:rPr>
        <w:t>四</w:t>
      </w:r>
      <w:r w:rsidRPr="009E1C9D">
        <w:rPr>
          <w:color w:val="333333"/>
          <w:sz w:val="24"/>
          <w:szCs w:val="24"/>
          <w:shd w:val="clear" w:color="auto" w:fill="FFFFFF"/>
          <w:lang w:val="en-GB"/>
        </w:rPr>
        <w:t xml:space="preserve">) </w:t>
      </w:r>
      <w:r w:rsidRPr="009E1C9D">
        <w:rPr>
          <w:color w:val="333333"/>
          <w:sz w:val="24"/>
          <w:szCs w:val="24"/>
          <w:shd w:val="clear" w:color="auto" w:fill="FFFFFF"/>
          <w:lang w:val="en-GB"/>
        </w:rPr>
        <w:t>段的标准已经达到。</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委员会确认附件二</w:t>
      </w:r>
      <w:r w:rsidRPr="009E1C9D">
        <w:rPr>
          <w:color w:val="333333"/>
          <w:sz w:val="24"/>
          <w:szCs w:val="24"/>
          <w:shd w:val="clear" w:color="auto" w:fill="FFFFFF"/>
          <w:lang w:val="en-GB"/>
        </w:rPr>
        <w:t xml:space="preserve">(c) </w:t>
      </w:r>
      <w:r w:rsidRPr="009E1C9D">
        <w:rPr>
          <w:color w:val="333333"/>
          <w:sz w:val="24"/>
          <w:szCs w:val="24"/>
          <w:shd w:val="clear" w:color="auto" w:fill="FFFFFF"/>
          <w:lang w:val="en-GB"/>
        </w:rPr>
        <w:t>段的标准已经达到。</w:t>
      </w:r>
    </w:p>
    <w:p w:rsidR="001F52B3" w:rsidRPr="00237745" w:rsidRDefault="001F52B3" w:rsidP="001F52B3">
      <w:pPr>
        <w:keepNext/>
        <w:keepLines/>
        <w:tabs>
          <w:tab w:val="right" w:pos="851"/>
          <w:tab w:val="left" w:pos="4082"/>
        </w:tabs>
        <w:suppressAutoHyphens/>
        <w:spacing w:line="240" w:lineRule="auto"/>
        <w:ind w:left="1247" w:right="284" w:hanging="1247"/>
        <w:jc w:val="left"/>
        <w:rPr>
          <w:rFonts w:ascii="SimHei" w:eastAsia="SimHei" w:hAnsi="SimHei"/>
          <w:b/>
          <w:snapToGrid w:val="0"/>
          <w:sz w:val="24"/>
          <w:szCs w:val="24"/>
          <w:lang w:val="en-GB"/>
        </w:rPr>
      </w:pPr>
      <w:r w:rsidRPr="00237745">
        <w:rPr>
          <w:b/>
          <w:snapToGrid w:val="0"/>
          <w:sz w:val="20"/>
          <w:szCs w:val="20"/>
          <w:lang w:val="en-GB"/>
        </w:rPr>
        <w:tab/>
      </w:r>
      <w:r w:rsidRPr="00237745">
        <w:rPr>
          <w:b/>
          <w:snapToGrid w:val="0"/>
          <w:sz w:val="24"/>
          <w:szCs w:val="24"/>
          <w:lang w:val="en-GB"/>
        </w:rPr>
        <w:t>(e)</w:t>
      </w:r>
      <w:r w:rsidRPr="00237745">
        <w:rPr>
          <w:b/>
          <w:snapToGrid w:val="0"/>
          <w:sz w:val="20"/>
          <w:szCs w:val="20"/>
          <w:lang w:val="en-GB"/>
        </w:rPr>
        <w:tab/>
      </w:r>
      <w:r w:rsidRPr="009E1C9D">
        <w:rPr>
          <w:rFonts w:eastAsia="SimHei"/>
          <w:b/>
          <w:snapToGrid w:val="0"/>
          <w:sz w:val="24"/>
          <w:szCs w:val="24"/>
          <w:lang w:val="en-GB"/>
        </w:rPr>
        <w:t>附件二</w:t>
      </w:r>
      <w:r w:rsidRPr="009E1C9D">
        <w:rPr>
          <w:rFonts w:eastAsia="SimHei"/>
          <w:b/>
          <w:snapToGrid w:val="0"/>
          <w:sz w:val="24"/>
          <w:szCs w:val="24"/>
          <w:lang w:val="en-GB"/>
        </w:rPr>
        <w:t>(d)</w:t>
      </w:r>
      <w:r w:rsidRPr="009E1C9D">
        <w:rPr>
          <w:rFonts w:eastAsia="SimHei"/>
          <w:b/>
          <w:snapToGrid w:val="0"/>
          <w:sz w:val="24"/>
          <w:szCs w:val="24"/>
          <w:lang w:val="en-GB"/>
        </w:rPr>
        <w:t>段的标准</w:t>
      </w:r>
    </w:p>
    <w:p w:rsidR="001F52B3" w:rsidRPr="009E1C9D" w:rsidRDefault="001F52B3" w:rsidP="001F52B3">
      <w:pPr>
        <w:keepNext/>
        <w:keepLines/>
        <w:tabs>
          <w:tab w:val="clear" w:pos="1247"/>
          <w:tab w:val="clear" w:pos="1814"/>
          <w:tab w:val="clear" w:pos="2381"/>
          <w:tab w:val="clear" w:pos="2948"/>
          <w:tab w:val="clear" w:pos="3515"/>
          <w:tab w:val="left" w:pos="624"/>
        </w:tabs>
        <w:snapToGrid w:val="0"/>
        <w:spacing w:line="240" w:lineRule="auto"/>
        <w:ind w:left="1247" w:firstLine="624"/>
        <w:jc w:val="left"/>
        <w:rPr>
          <w:rFonts w:eastAsia="KaiTi"/>
          <w:sz w:val="24"/>
          <w:szCs w:val="24"/>
          <w:lang w:val="en-GB"/>
        </w:rPr>
      </w:pPr>
      <w:r w:rsidRPr="009E1C9D">
        <w:rPr>
          <w:rFonts w:eastAsia="KaiTi"/>
          <w:sz w:val="24"/>
          <w:szCs w:val="24"/>
          <w:lang w:val="en-GB"/>
        </w:rPr>
        <w:t>(d)</w:t>
      </w:r>
      <w:r w:rsidRPr="009E1C9D">
        <w:rPr>
          <w:rFonts w:eastAsia="KaiTi"/>
          <w:sz w:val="24"/>
          <w:szCs w:val="24"/>
          <w:lang w:val="en-GB"/>
        </w:rPr>
        <w:tab/>
      </w:r>
      <w:r w:rsidRPr="009E1C9D">
        <w:rPr>
          <w:rFonts w:eastAsia="KaiTi"/>
          <w:sz w:val="24"/>
          <w:szCs w:val="24"/>
          <w:lang w:val="en-GB"/>
        </w:rPr>
        <w:t>考虑到有意滥用行为本身并不构成将某一化学品列入附件三的充分理由。</w:t>
      </w:r>
    </w:p>
    <w:p w:rsidR="001F52B3" w:rsidRPr="00237745"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rFonts w:asciiTheme="minorEastAsia" w:eastAsiaTheme="minorEastAsia" w:hAnsiTheme="minorEastAsia"/>
          <w:color w:val="333333"/>
          <w:sz w:val="24"/>
          <w:szCs w:val="24"/>
          <w:shd w:val="clear" w:color="auto" w:fill="FFFFFF"/>
          <w:lang w:val="en-GB"/>
        </w:rPr>
      </w:pPr>
      <w:r w:rsidRPr="00237745">
        <w:rPr>
          <w:rFonts w:asciiTheme="minorEastAsia" w:eastAsiaTheme="minorEastAsia" w:hAnsiTheme="minorEastAsia" w:hint="eastAsia"/>
          <w:color w:val="333333"/>
          <w:sz w:val="24"/>
          <w:szCs w:val="24"/>
          <w:shd w:val="clear" w:color="auto" w:fill="FFFFFF"/>
          <w:lang w:val="en-GB"/>
        </w:rPr>
        <w:t>通知书未表明采取管制行动是出于对有意滥用行为的关切。</w:t>
      </w:r>
    </w:p>
    <w:p w:rsidR="001F52B3" w:rsidRPr="00237745"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rFonts w:asciiTheme="minorEastAsia" w:eastAsiaTheme="minorEastAsia" w:hAnsiTheme="minorEastAsia"/>
          <w:color w:val="333333"/>
          <w:sz w:val="24"/>
          <w:szCs w:val="24"/>
          <w:shd w:val="clear" w:color="auto" w:fill="FFFFFF"/>
          <w:lang w:val="en-GB"/>
        </w:rPr>
      </w:pPr>
      <w:r w:rsidRPr="00237745">
        <w:rPr>
          <w:rFonts w:asciiTheme="minorEastAsia" w:eastAsiaTheme="minorEastAsia" w:hAnsiTheme="minorEastAsia" w:hint="eastAsia"/>
          <w:color w:val="333333"/>
          <w:sz w:val="24"/>
          <w:szCs w:val="24"/>
          <w:shd w:val="clear" w:color="auto" w:fill="FFFFFF"/>
          <w:lang w:val="en-GB"/>
        </w:rPr>
        <w:t>有鉴于此，委员会确认</w:t>
      </w:r>
      <w:r w:rsidRPr="00237745">
        <w:rPr>
          <w:rFonts w:eastAsiaTheme="minorEastAsia" w:hint="eastAsia"/>
          <w:color w:val="333333"/>
          <w:sz w:val="24"/>
          <w:szCs w:val="24"/>
          <w:shd w:val="clear" w:color="auto" w:fill="FFFFFF"/>
          <w:lang w:val="en-GB"/>
        </w:rPr>
        <w:t>附件二</w:t>
      </w:r>
      <w:r w:rsidRPr="00237745">
        <w:rPr>
          <w:rFonts w:eastAsiaTheme="minorEastAsia"/>
          <w:color w:val="333333"/>
          <w:sz w:val="24"/>
          <w:szCs w:val="24"/>
          <w:shd w:val="clear" w:color="auto" w:fill="FFFFFF"/>
          <w:lang w:val="en-GB"/>
        </w:rPr>
        <w:t>(d)</w:t>
      </w:r>
      <w:r w:rsidRPr="00237745">
        <w:rPr>
          <w:rFonts w:eastAsiaTheme="minorEastAsia" w:hint="eastAsia"/>
          <w:color w:val="333333"/>
          <w:sz w:val="24"/>
          <w:szCs w:val="24"/>
          <w:shd w:val="clear" w:color="auto" w:fill="FFFFFF"/>
          <w:lang w:val="en-GB"/>
        </w:rPr>
        <w:t>段的标</w:t>
      </w:r>
      <w:r w:rsidRPr="00237745">
        <w:rPr>
          <w:rFonts w:asciiTheme="minorEastAsia" w:eastAsiaTheme="minorEastAsia" w:hAnsiTheme="minorEastAsia" w:hint="eastAsia"/>
          <w:color w:val="333333"/>
          <w:sz w:val="24"/>
          <w:szCs w:val="24"/>
          <w:shd w:val="clear" w:color="auto" w:fill="FFFFFF"/>
          <w:lang w:val="en-GB"/>
        </w:rPr>
        <w:t>准已经达到。</w:t>
      </w:r>
      <w:r w:rsidRPr="00237745">
        <w:rPr>
          <w:rFonts w:asciiTheme="minorEastAsia" w:eastAsiaTheme="minorEastAsia" w:hAnsiTheme="minorEastAsia"/>
          <w:color w:val="333333"/>
          <w:sz w:val="24"/>
          <w:szCs w:val="24"/>
          <w:shd w:val="clear" w:color="auto" w:fill="FFFFFF"/>
          <w:lang w:val="en-GB"/>
        </w:rPr>
        <w:t xml:space="preserve"> </w:t>
      </w:r>
    </w:p>
    <w:p w:rsidR="001F52B3" w:rsidRPr="00237745" w:rsidRDefault="001F52B3" w:rsidP="001F52B3">
      <w:pPr>
        <w:keepNext/>
        <w:keepLines/>
        <w:tabs>
          <w:tab w:val="right" w:pos="851"/>
          <w:tab w:val="left" w:pos="4082"/>
        </w:tabs>
        <w:suppressAutoHyphens/>
        <w:spacing w:line="240" w:lineRule="auto"/>
        <w:ind w:left="1247" w:right="284" w:hanging="1247"/>
        <w:jc w:val="left"/>
        <w:rPr>
          <w:rFonts w:ascii="SimHei" w:eastAsia="SimHei" w:hAnsi="SimHei"/>
          <w:b/>
          <w:snapToGrid w:val="0"/>
          <w:sz w:val="24"/>
          <w:szCs w:val="24"/>
          <w:lang w:val="en-GB"/>
        </w:rPr>
      </w:pPr>
      <w:r w:rsidRPr="00237745">
        <w:rPr>
          <w:b/>
          <w:snapToGrid w:val="0"/>
          <w:sz w:val="20"/>
          <w:szCs w:val="20"/>
          <w:lang w:val="en-GB"/>
        </w:rPr>
        <w:tab/>
      </w:r>
      <w:r w:rsidRPr="00237745">
        <w:rPr>
          <w:b/>
          <w:snapToGrid w:val="0"/>
          <w:sz w:val="24"/>
          <w:szCs w:val="24"/>
          <w:lang w:val="en-GB" w:eastAsia="en-US"/>
        </w:rPr>
        <w:t>(f)</w:t>
      </w:r>
      <w:r w:rsidRPr="00237745">
        <w:rPr>
          <w:b/>
          <w:snapToGrid w:val="0"/>
          <w:sz w:val="20"/>
          <w:szCs w:val="20"/>
          <w:lang w:val="en-GB" w:eastAsia="en-US"/>
        </w:rPr>
        <w:tab/>
      </w:r>
      <w:r w:rsidRPr="00237745">
        <w:rPr>
          <w:rFonts w:ascii="SimHei" w:eastAsia="SimHei" w:hAnsi="SimHei" w:hint="eastAsia"/>
          <w:b/>
          <w:snapToGrid w:val="0"/>
          <w:sz w:val="24"/>
          <w:szCs w:val="24"/>
          <w:lang w:val="en-GB"/>
        </w:rPr>
        <w:t>结论</w:t>
      </w:r>
    </w:p>
    <w:p w:rsidR="001F52B3" w:rsidRPr="00237745"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sz w:val="20"/>
          <w:szCs w:val="20"/>
          <w:lang w:val="en-GB"/>
        </w:rPr>
      </w:pPr>
      <w:r w:rsidRPr="00237745">
        <w:rPr>
          <w:rFonts w:asciiTheme="minorEastAsia" w:eastAsiaTheme="minorEastAsia" w:hAnsiTheme="minorEastAsia" w:hint="eastAsia"/>
          <w:color w:val="333333"/>
          <w:sz w:val="24"/>
          <w:szCs w:val="24"/>
          <w:shd w:val="clear" w:color="auto" w:fill="FFFFFF"/>
          <w:lang w:val="en-GB"/>
        </w:rPr>
        <w:t>委员会得出结论认为，挪威最后管制行动通知书达到《公约》附件二规定的标准。</w:t>
      </w:r>
      <w:r w:rsidRPr="00237745">
        <w:rPr>
          <w:sz w:val="20"/>
          <w:szCs w:val="20"/>
          <w:lang w:val="en-GB"/>
        </w:rPr>
        <w:t xml:space="preserve"> </w:t>
      </w:r>
    </w:p>
    <w:p w:rsidR="001F52B3" w:rsidRPr="00237745" w:rsidRDefault="001F52B3" w:rsidP="001F52B3">
      <w:pPr>
        <w:keepNext/>
        <w:keepLines/>
        <w:tabs>
          <w:tab w:val="right" w:pos="851"/>
          <w:tab w:val="left" w:pos="4082"/>
        </w:tabs>
        <w:suppressAutoHyphens/>
        <w:spacing w:before="240" w:line="240" w:lineRule="auto"/>
        <w:ind w:left="1247" w:right="284" w:hanging="1247"/>
        <w:jc w:val="left"/>
        <w:rPr>
          <w:b/>
          <w:sz w:val="28"/>
          <w:szCs w:val="28"/>
          <w:lang w:val="en-GB" w:eastAsia="en-US"/>
        </w:rPr>
      </w:pPr>
      <w:r w:rsidRPr="00237745">
        <w:rPr>
          <w:b/>
          <w:sz w:val="28"/>
          <w:szCs w:val="28"/>
          <w:lang w:val="en-GB"/>
        </w:rPr>
        <w:lastRenderedPageBreak/>
        <w:tab/>
      </w:r>
      <w:r w:rsidRPr="00237745">
        <w:rPr>
          <w:rFonts w:ascii="SimHei" w:eastAsia="SimHei" w:hAnsi="SimHei" w:hint="eastAsia"/>
          <w:b/>
          <w:bCs/>
          <w:sz w:val="28"/>
          <w:szCs w:val="26"/>
          <w:lang w:val="en-GB"/>
        </w:rPr>
        <w:t>二、</w:t>
      </w:r>
      <w:r w:rsidRPr="00237745">
        <w:rPr>
          <w:rFonts w:ascii="SimHei" w:eastAsia="SimHei" w:hAnsi="SimHei"/>
          <w:b/>
          <w:bCs/>
          <w:sz w:val="28"/>
          <w:szCs w:val="26"/>
          <w:lang w:val="en-GB"/>
        </w:rPr>
        <w:tab/>
      </w:r>
      <w:r w:rsidRPr="00237745">
        <w:rPr>
          <w:rFonts w:ascii="SimHei" w:eastAsia="SimHei" w:hAnsi="SimHei" w:hint="eastAsia"/>
          <w:b/>
          <w:bCs/>
          <w:sz w:val="28"/>
          <w:szCs w:val="26"/>
          <w:lang w:val="en-GB"/>
        </w:rPr>
        <w:t>加拿大</w:t>
      </w:r>
    </w:p>
    <w:p w:rsidR="001F52B3" w:rsidRPr="00237745" w:rsidRDefault="001F52B3" w:rsidP="001F52B3">
      <w:pPr>
        <w:keepNext/>
        <w:keepLines/>
        <w:tabs>
          <w:tab w:val="right" w:pos="851"/>
          <w:tab w:val="left" w:pos="4082"/>
        </w:tabs>
        <w:suppressAutoHyphens/>
        <w:spacing w:line="240" w:lineRule="auto"/>
        <w:ind w:left="1247" w:right="284" w:hanging="1247"/>
        <w:jc w:val="left"/>
        <w:rPr>
          <w:b/>
          <w:snapToGrid w:val="0"/>
          <w:sz w:val="20"/>
          <w:szCs w:val="20"/>
          <w:lang w:val="en-GB" w:eastAsia="en-US"/>
        </w:rPr>
      </w:pPr>
      <w:r w:rsidRPr="00237745">
        <w:rPr>
          <w:b/>
          <w:snapToGrid w:val="0"/>
          <w:sz w:val="20"/>
          <w:szCs w:val="20"/>
          <w:lang w:val="en-GB" w:eastAsia="en-US"/>
        </w:rPr>
        <w:tab/>
      </w:r>
      <w:r w:rsidRPr="00237745">
        <w:rPr>
          <w:b/>
          <w:snapToGrid w:val="0"/>
          <w:sz w:val="24"/>
          <w:szCs w:val="24"/>
          <w:lang w:val="en-GB" w:eastAsia="en-US"/>
        </w:rPr>
        <w:t>(a)</w:t>
      </w:r>
      <w:r w:rsidRPr="00237745">
        <w:rPr>
          <w:b/>
          <w:snapToGrid w:val="0"/>
          <w:sz w:val="20"/>
          <w:szCs w:val="20"/>
          <w:lang w:val="en-GB" w:eastAsia="en-US"/>
        </w:rPr>
        <w:tab/>
      </w:r>
      <w:r w:rsidRPr="00237745">
        <w:rPr>
          <w:rFonts w:ascii="SimHei" w:eastAsia="SimHei" w:hAnsi="SimHei" w:hint="eastAsia"/>
          <w:b/>
          <w:snapToGrid w:val="0"/>
          <w:sz w:val="24"/>
          <w:szCs w:val="24"/>
          <w:lang w:val="en-GB"/>
        </w:rPr>
        <w:t>加拿大通知的管制行动范围</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加拿大通知的管制行动涉及分子式为</w:t>
      </w:r>
      <w:r w:rsidRPr="009E1C9D">
        <w:rPr>
          <w:color w:val="333333"/>
          <w:sz w:val="24"/>
          <w:szCs w:val="24"/>
          <w:shd w:val="clear" w:color="auto" w:fill="FFFFFF"/>
          <w:lang w:val="en-GB"/>
        </w:rPr>
        <w:t>C</w:t>
      </w:r>
      <w:r w:rsidRPr="009E1C9D">
        <w:rPr>
          <w:color w:val="333333"/>
          <w:sz w:val="24"/>
          <w:szCs w:val="24"/>
          <w:shd w:val="clear" w:color="auto" w:fill="FFFFFF"/>
          <w:vertAlign w:val="subscript"/>
          <w:lang w:val="en-GB"/>
        </w:rPr>
        <w:t>7</w:t>
      </w:r>
      <w:r w:rsidRPr="009E1C9D">
        <w:rPr>
          <w:color w:val="333333"/>
          <w:sz w:val="24"/>
          <w:szCs w:val="24"/>
          <w:shd w:val="clear" w:color="auto" w:fill="FFFFFF"/>
          <w:lang w:val="en-GB"/>
        </w:rPr>
        <w:t>F</w:t>
      </w:r>
      <w:r w:rsidRPr="009E1C9D">
        <w:rPr>
          <w:color w:val="333333"/>
          <w:sz w:val="24"/>
          <w:szCs w:val="24"/>
          <w:shd w:val="clear" w:color="auto" w:fill="FFFFFF"/>
          <w:vertAlign w:val="subscript"/>
          <w:lang w:val="en-GB"/>
        </w:rPr>
        <w:t>15</w:t>
      </w:r>
      <w:r w:rsidRPr="009E1C9D">
        <w:rPr>
          <w:color w:val="333333"/>
          <w:sz w:val="24"/>
          <w:szCs w:val="24"/>
          <w:shd w:val="clear" w:color="auto" w:fill="FFFFFF"/>
          <w:lang w:val="en-GB"/>
        </w:rPr>
        <w:t>CO</w:t>
      </w:r>
      <w:r w:rsidRPr="009E1C9D">
        <w:rPr>
          <w:color w:val="333333"/>
          <w:sz w:val="24"/>
          <w:szCs w:val="24"/>
          <w:shd w:val="clear" w:color="auto" w:fill="FFFFFF"/>
          <w:vertAlign w:val="subscript"/>
          <w:lang w:val="en-GB"/>
        </w:rPr>
        <w:t>2</w:t>
      </w:r>
      <w:r w:rsidRPr="009E1C9D">
        <w:rPr>
          <w:color w:val="333333"/>
          <w:sz w:val="24"/>
          <w:szCs w:val="24"/>
          <w:shd w:val="clear" w:color="auto" w:fill="FFFFFF"/>
          <w:lang w:val="en-GB"/>
        </w:rPr>
        <w:t>H</w:t>
      </w:r>
      <w:proofErr w:type="gramStart"/>
      <w:r w:rsidRPr="009E1C9D">
        <w:rPr>
          <w:color w:val="333333"/>
          <w:sz w:val="24"/>
          <w:szCs w:val="24"/>
          <w:shd w:val="clear" w:color="auto" w:fill="FFFFFF"/>
          <w:lang w:val="en-GB"/>
        </w:rPr>
        <w:t>的全氟辛酸</w:t>
      </w:r>
      <w:proofErr w:type="gramEnd"/>
      <w:r w:rsidRPr="009E1C9D">
        <w:rPr>
          <w:color w:val="333333"/>
          <w:sz w:val="24"/>
          <w:szCs w:val="24"/>
          <w:shd w:val="clear" w:color="auto" w:fill="FFFFFF"/>
          <w:lang w:val="en-GB"/>
        </w:rPr>
        <w:t>、其盐类以及由全氟化烷基组成的化合物，全氟化烷基的分子式为</w:t>
      </w:r>
      <w:r w:rsidRPr="009E1C9D">
        <w:rPr>
          <w:color w:val="333333"/>
          <w:sz w:val="24"/>
          <w:szCs w:val="24"/>
          <w:shd w:val="clear" w:color="auto" w:fill="FFFFFF"/>
          <w:lang w:val="en-GB"/>
        </w:rPr>
        <w:t>C</w:t>
      </w:r>
      <w:r w:rsidRPr="009E1C9D">
        <w:rPr>
          <w:color w:val="333333"/>
          <w:sz w:val="24"/>
          <w:szCs w:val="24"/>
          <w:shd w:val="clear" w:color="auto" w:fill="FFFFFF"/>
          <w:vertAlign w:val="subscript"/>
          <w:lang w:val="en-GB"/>
        </w:rPr>
        <w:t>n</w:t>
      </w:r>
      <w:r w:rsidRPr="009E1C9D">
        <w:rPr>
          <w:color w:val="333333"/>
          <w:sz w:val="24"/>
          <w:szCs w:val="24"/>
          <w:shd w:val="clear" w:color="auto" w:fill="FFFFFF"/>
          <w:lang w:val="en-GB"/>
        </w:rPr>
        <w:t>F</w:t>
      </w:r>
      <w:r w:rsidRPr="009E1C9D">
        <w:rPr>
          <w:color w:val="333333"/>
          <w:sz w:val="24"/>
          <w:szCs w:val="24"/>
          <w:shd w:val="clear" w:color="auto" w:fill="FFFFFF"/>
          <w:vertAlign w:val="subscript"/>
          <w:lang w:val="en-GB"/>
        </w:rPr>
        <w:t>2n+1</w:t>
      </w:r>
      <w:r w:rsidRPr="009E1C9D">
        <w:rPr>
          <w:color w:val="333333"/>
          <w:sz w:val="24"/>
          <w:szCs w:val="24"/>
          <w:shd w:val="clear" w:color="auto" w:fill="FFFFFF"/>
          <w:lang w:val="en-GB"/>
        </w:rPr>
        <w:t>（</w:t>
      </w:r>
      <w:r w:rsidRPr="009E1C9D">
        <w:rPr>
          <w:color w:val="333333"/>
          <w:sz w:val="24"/>
          <w:szCs w:val="24"/>
          <w:shd w:val="clear" w:color="auto" w:fill="FFFFFF"/>
          <w:lang w:val="en-GB"/>
        </w:rPr>
        <w:t>n=7</w:t>
      </w:r>
      <w:r w:rsidRPr="009E1C9D">
        <w:rPr>
          <w:color w:val="333333"/>
          <w:sz w:val="24"/>
          <w:szCs w:val="24"/>
          <w:shd w:val="clear" w:color="auto" w:fill="FFFFFF"/>
          <w:lang w:val="en-GB"/>
        </w:rPr>
        <w:t>或</w:t>
      </w:r>
      <w:r w:rsidRPr="009E1C9D">
        <w:rPr>
          <w:color w:val="333333"/>
          <w:sz w:val="24"/>
          <w:szCs w:val="24"/>
          <w:shd w:val="clear" w:color="auto" w:fill="FFFFFF"/>
          <w:lang w:val="en-GB"/>
        </w:rPr>
        <w:t>8</w:t>
      </w:r>
      <w:r w:rsidRPr="009E1C9D">
        <w:rPr>
          <w:color w:val="333333"/>
          <w:sz w:val="24"/>
          <w:szCs w:val="24"/>
          <w:shd w:val="clear" w:color="auto" w:fill="FFFFFF"/>
          <w:lang w:val="en-GB"/>
        </w:rPr>
        <w:t>），它直接键合到除氟、氯或溴原子以外的任何化学部分。这些化学品统称</w:t>
      </w:r>
      <w:proofErr w:type="gramStart"/>
      <w:r w:rsidRPr="009E1C9D">
        <w:rPr>
          <w:color w:val="333333"/>
          <w:sz w:val="24"/>
          <w:szCs w:val="24"/>
          <w:shd w:val="clear" w:color="auto" w:fill="FFFFFF"/>
          <w:lang w:val="en-GB"/>
        </w:rPr>
        <w:t>为全氟辛酸</w:t>
      </w:r>
      <w:proofErr w:type="gramEnd"/>
      <w:r w:rsidRPr="009E1C9D">
        <w:rPr>
          <w:color w:val="333333"/>
          <w:sz w:val="24"/>
          <w:szCs w:val="24"/>
          <w:shd w:val="clear" w:color="auto" w:fill="FFFFFF"/>
          <w:lang w:val="en-GB"/>
        </w:rPr>
        <w:t>。</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通知书列出了以下化学文摘社编号：</w:t>
      </w:r>
      <w:proofErr w:type="gramStart"/>
      <w:r w:rsidRPr="009E1C9D">
        <w:rPr>
          <w:color w:val="333333"/>
          <w:sz w:val="24"/>
          <w:szCs w:val="24"/>
          <w:shd w:val="clear" w:color="auto" w:fill="FFFFFF"/>
          <w:lang w:val="en-GB"/>
        </w:rPr>
        <w:t>全氟辛酸</w:t>
      </w:r>
      <w:proofErr w:type="gramEnd"/>
      <w:r w:rsidRPr="009E1C9D">
        <w:rPr>
          <w:color w:val="333333"/>
          <w:sz w:val="24"/>
          <w:szCs w:val="24"/>
          <w:shd w:val="clear" w:color="auto" w:fill="FFFFFF"/>
          <w:lang w:val="en-GB"/>
        </w:rPr>
        <w:t>：</w:t>
      </w:r>
      <w:r w:rsidRPr="009E1C9D">
        <w:rPr>
          <w:color w:val="333333"/>
          <w:sz w:val="24"/>
          <w:szCs w:val="24"/>
          <w:shd w:val="clear" w:color="auto" w:fill="FFFFFF"/>
          <w:lang w:val="en-GB"/>
        </w:rPr>
        <w:t>335-67-1</w:t>
      </w:r>
      <w:r w:rsidRPr="009E1C9D">
        <w:rPr>
          <w:color w:val="333333"/>
          <w:sz w:val="24"/>
          <w:szCs w:val="24"/>
          <w:shd w:val="clear" w:color="auto" w:fill="FFFFFF"/>
          <w:lang w:val="en-GB"/>
        </w:rPr>
        <w:t>；</w:t>
      </w:r>
      <w:r w:rsidRPr="009E1C9D">
        <w:rPr>
          <w:color w:val="333333"/>
          <w:sz w:val="24"/>
          <w:szCs w:val="24"/>
          <w:shd w:val="clear" w:color="auto" w:fill="FFFFFF"/>
          <w:lang w:val="en-GB"/>
        </w:rPr>
        <w:t>PFO: 45285-51-6</w:t>
      </w:r>
      <w:r w:rsidRPr="009E1C9D">
        <w:rPr>
          <w:color w:val="333333"/>
          <w:sz w:val="24"/>
          <w:szCs w:val="24"/>
          <w:shd w:val="clear" w:color="auto" w:fill="FFFFFF"/>
          <w:lang w:val="en-GB"/>
        </w:rPr>
        <w:t>；全氟辛酸盐类：全氟辛酸</w:t>
      </w:r>
      <w:r w:rsidRPr="009E1C9D">
        <w:rPr>
          <w:color w:val="333333"/>
          <w:sz w:val="24"/>
          <w:szCs w:val="24"/>
          <w:shd w:val="clear" w:color="auto" w:fill="FFFFFF"/>
          <w:lang w:val="en-GB"/>
        </w:rPr>
        <w:t xml:space="preserve"> (NH4</w:t>
      </w:r>
      <w:proofErr w:type="gramStart"/>
      <w:r w:rsidRPr="009E1C9D">
        <w:rPr>
          <w:color w:val="333333"/>
          <w:sz w:val="24"/>
          <w:szCs w:val="24"/>
          <w:shd w:val="clear" w:color="auto" w:fill="FFFFFF"/>
          <w:lang w:val="en-GB"/>
        </w:rPr>
        <w:t>+)</w:t>
      </w:r>
      <w:r w:rsidRPr="009E1C9D">
        <w:rPr>
          <w:color w:val="333333"/>
          <w:sz w:val="24"/>
          <w:szCs w:val="24"/>
          <w:shd w:val="clear" w:color="auto" w:fill="FFFFFF"/>
          <w:lang w:val="en-GB"/>
        </w:rPr>
        <w:t>：</w:t>
      </w:r>
      <w:proofErr w:type="gramEnd"/>
      <w:r w:rsidRPr="009E1C9D">
        <w:rPr>
          <w:color w:val="333333"/>
          <w:sz w:val="24"/>
          <w:szCs w:val="24"/>
          <w:shd w:val="clear" w:color="auto" w:fill="FFFFFF"/>
          <w:lang w:val="en-GB"/>
        </w:rPr>
        <w:t xml:space="preserve"> 3825-26-1</w:t>
      </w:r>
      <w:r w:rsidRPr="009E1C9D">
        <w:rPr>
          <w:color w:val="333333"/>
          <w:sz w:val="24"/>
          <w:szCs w:val="24"/>
          <w:shd w:val="clear" w:color="auto" w:fill="FFFFFF"/>
          <w:lang w:val="en-GB"/>
        </w:rPr>
        <w:t>、全氟辛酸直链</w:t>
      </w:r>
      <w:r w:rsidRPr="009E1C9D">
        <w:rPr>
          <w:color w:val="333333"/>
          <w:sz w:val="24"/>
          <w:szCs w:val="24"/>
          <w:shd w:val="clear" w:color="auto" w:fill="FFFFFF"/>
          <w:lang w:val="en-GB"/>
        </w:rPr>
        <w:t>/</w:t>
      </w:r>
      <w:r w:rsidRPr="009E1C9D">
        <w:rPr>
          <w:color w:val="333333"/>
          <w:sz w:val="24"/>
          <w:szCs w:val="24"/>
          <w:shd w:val="clear" w:color="auto" w:fill="FFFFFF"/>
          <w:lang w:val="en-GB"/>
        </w:rPr>
        <w:t>支链</w:t>
      </w:r>
      <w:r w:rsidRPr="009E1C9D">
        <w:rPr>
          <w:color w:val="333333"/>
          <w:sz w:val="24"/>
          <w:szCs w:val="24"/>
          <w:shd w:val="clear" w:color="auto" w:fill="FFFFFF"/>
          <w:lang w:val="en-GB"/>
        </w:rPr>
        <w:t xml:space="preserve"> (NH4+)</w:t>
      </w:r>
      <w:r w:rsidRPr="009E1C9D">
        <w:rPr>
          <w:color w:val="333333"/>
          <w:sz w:val="24"/>
          <w:szCs w:val="24"/>
          <w:shd w:val="clear" w:color="auto" w:fill="FFFFFF"/>
          <w:lang w:val="en-GB"/>
        </w:rPr>
        <w:t>：</w:t>
      </w:r>
      <w:r w:rsidRPr="009E1C9D">
        <w:rPr>
          <w:color w:val="333333"/>
          <w:sz w:val="24"/>
          <w:szCs w:val="24"/>
          <w:shd w:val="clear" w:color="auto" w:fill="FFFFFF"/>
          <w:lang w:val="en-GB"/>
        </w:rPr>
        <w:t xml:space="preserve"> 90480-56-1</w:t>
      </w:r>
      <w:r w:rsidRPr="009E1C9D">
        <w:rPr>
          <w:color w:val="333333"/>
          <w:sz w:val="24"/>
          <w:szCs w:val="24"/>
          <w:shd w:val="clear" w:color="auto" w:fill="FFFFFF"/>
          <w:lang w:val="en-GB"/>
        </w:rPr>
        <w:t>、全氟辛酸</w:t>
      </w:r>
      <w:r w:rsidRPr="009E1C9D">
        <w:rPr>
          <w:color w:val="333333"/>
          <w:sz w:val="24"/>
          <w:szCs w:val="24"/>
          <w:shd w:val="clear" w:color="auto" w:fill="FFFFFF"/>
          <w:lang w:val="en-GB"/>
        </w:rPr>
        <w:t xml:space="preserve">  (Na+)</w:t>
      </w:r>
      <w:r w:rsidRPr="009E1C9D">
        <w:rPr>
          <w:color w:val="333333"/>
          <w:sz w:val="24"/>
          <w:szCs w:val="24"/>
          <w:shd w:val="clear" w:color="auto" w:fill="FFFFFF"/>
          <w:lang w:val="en-GB"/>
        </w:rPr>
        <w:t>：</w:t>
      </w:r>
      <w:r w:rsidRPr="009E1C9D">
        <w:rPr>
          <w:color w:val="333333"/>
          <w:sz w:val="24"/>
          <w:szCs w:val="24"/>
          <w:shd w:val="clear" w:color="auto" w:fill="FFFFFF"/>
          <w:lang w:val="en-GB"/>
        </w:rPr>
        <w:t xml:space="preserve"> 335-95-5</w:t>
      </w:r>
      <w:r w:rsidRPr="009E1C9D">
        <w:rPr>
          <w:color w:val="333333"/>
          <w:sz w:val="24"/>
          <w:szCs w:val="24"/>
          <w:shd w:val="clear" w:color="auto" w:fill="FFFFFF"/>
          <w:lang w:val="en-GB"/>
        </w:rPr>
        <w:t>、全氟辛酸</w:t>
      </w:r>
      <w:r w:rsidRPr="009E1C9D">
        <w:rPr>
          <w:color w:val="333333"/>
          <w:sz w:val="24"/>
          <w:szCs w:val="24"/>
          <w:shd w:val="clear" w:color="auto" w:fill="FFFFFF"/>
          <w:lang w:val="en-GB"/>
        </w:rPr>
        <w:t>(K+)</w:t>
      </w:r>
      <w:r w:rsidRPr="009E1C9D">
        <w:rPr>
          <w:color w:val="333333"/>
          <w:sz w:val="24"/>
          <w:szCs w:val="24"/>
          <w:shd w:val="clear" w:color="auto" w:fill="FFFFFF"/>
          <w:lang w:val="en-GB"/>
        </w:rPr>
        <w:t>：</w:t>
      </w:r>
      <w:r w:rsidRPr="009E1C9D">
        <w:rPr>
          <w:color w:val="333333"/>
          <w:sz w:val="24"/>
          <w:szCs w:val="24"/>
          <w:shd w:val="clear" w:color="auto" w:fill="FFFFFF"/>
          <w:lang w:val="en-GB"/>
        </w:rPr>
        <w:t xml:space="preserve"> 2395-00-8</w:t>
      </w:r>
      <w:r w:rsidRPr="009E1C9D">
        <w:rPr>
          <w:color w:val="333333"/>
          <w:sz w:val="24"/>
          <w:szCs w:val="24"/>
          <w:shd w:val="clear" w:color="auto" w:fill="FFFFFF"/>
          <w:lang w:val="en-GB"/>
        </w:rPr>
        <w:t>、全氟辛酸</w:t>
      </w:r>
      <w:r w:rsidRPr="009E1C9D">
        <w:rPr>
          <w:color w:val="333333"/>
          <w:sz w:val="24"/>
          <w:szCs w:val="24"/>
          <w:shd w:val="clear" w:color="auto" w:fill="FFFFFF"/>
          <w:lang w:val="en-GB"/>
        </w:rPr>
        <w:t xml:space="preserve"> (Ag+)</w:t>
      </w:r>
      <w:r w:rsidRPr="009E1C9D">
        <w:rPr>
          <w:color w:val="333333"/>
          <w:sz w:val="24"/>
          <w:szCs w:val="24"/>
          <w:shd w:val="clear" w:color="auto" w:fill="FFFFFF"/>
          <w:lang w:val="en-GB"/>
        </w:rPr>
        <w:t>：</w:t>
      </w:r>
      <w:r w:rsidRPr="009E1C9D">
        <w:rPr>
          <w:color w:val="333333"/>
          <w:sz w:val="24"/>
          <w:szCs w:val="24"/>
          <w:shd w:val="clear" w:color="auto" w:fill="FFFFFF"/>
          <w:lang w:val="en-GB"/>
        </w:rPr>
        <w:t>335-93-3</w:t>
      </w:r>
      <w:r w:rsidRPr="009E1C9D">
        <w:rPr>
          <w:color w:val="333333"/>
          <w:sz w:val="24"/>
          <w:szCs w:val="24"/>
          <w:shd w:val="clear" w:color="auto" w:fill="FFFFFF"/>
          <w:lang w:val="en-GB"/>
        </w:rPr>
        <w:t>。通知书附件</w:t>
      </w:r>
      <w:r w:rsidRPr="009E1C9D">
        <w:rPr>
          <w:color w:val="333333"/>
          <w:sz w:val="24"/>
          <w:szCs w:val="24"/>
          <w:shd w:val="clear" w:color="auto" w:fill="FFFFFF"/>
          <w:lang w:val="en-GB"/>
        </w:rPr>
        <w:t>A</w:t>
      </w:r>
      <w:r w:rsidRPr="009E1C9D">
        <w:rPr>
          <w:color w:val="333333"/>
          <w:sz w:val="24"/>
          <w:szCs w:val="24"/>
          <w:shd w:val="clear" w:color="auto" w:fill="FFFFFF"/>
          <w:lang w:val="en-GB"/>
        </w:rPr>
        <w:t>表</w:t>
      </w:r>
      <w:r w:rsidRPr="009E1C9D">
        <w:rPr>
          <w:color w:val="333333"/>
          <w:sz w:val="24"/>
          <w:szCs w:val="24"/>
          <w:shd w:val="clear" w:color="auto" w:fill="FFFFFF"/>
          <w:lang w:val="en-GB"/>
        </w:rPr>
        <w:t xml:space="preserve"> A-1 </w:t>
      </w:r>
      <w:r w:rsidRPr="009E1C9D">
        <w:rPr>
          <w:color w:val="333333"/>
          <w:sz w:val="24"/>
          <w:szCs w:val="24"/>
          <w:shd w:val="clear" w:color="auto" w:fill="FFFFFF"/>
          <w:lang w:val="en-GB"/>
        </w:rPr>
        <w:t>列有全氟辛酸的潜在前体。</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根据</w:t>
      </w:r>
      <w:r w:rsidRPr="009E1C9D">
        <w:rPr>
          <w:color w:val="333333"/>
          <w:sz w:val="24"/>
          <w:szCs w:val="24"/>
          <w:shd w:val="clear" w:color="auto" w:fill="FFFFFF"/>
          <w:lang w:val="en-GB"/>
        </w:rPr>
        <w:t>1999</w:t>
      </w:r>
      <w:r w:rsidRPr="009E1C9D">
        <w:rPr>
          <w:color w:val="333333"/>
          <w:sz w:val="24"/>
          <w:szCs w:val="24"/>
          <w:shd w:val="clear" w:color="auto" w:fill="FFFFFF"/>
          <w:lang w:val="en-GB"/>
        </w:rPr>
        <w:t>年《加拿大环境保护法》，最后管制行动（</w:t>
      </w:r>
      <w:r w:rsidRPr="009E1C9D">
        <w:rPr>
          <w:color w:val="333333"/>
          <w:sz w:val="24"/>
          <w:szCs w:val="24"/>
          <w:shd w:val="clear" w:color="auto" w:fill="FFFFFF"/>
          <w:lang w:val="en-GB"/>
        </w:rPr>
        <w:t>2012</w:t>
      </w:r>
      <w:r w:rsidRPr="009E1C9D">
        <w:rPr>
          <w:color w:val="333333"/>
          <w:sz w:val="24"/>
          <w:szCs w:val="24"/>
          <w:shd w:val="clear" w:color="auto" w:fill="FFFFFF"/>
          <w:lang w:val="en-GB"/>
        </w:rPr>
        <w:t>年《禁止特定有毒物质法规》</w:t>
      </w:r>
      <w:r w:rsidRPr="009E1C9D">
        <w:rPr>
          <w:color w:val="333333"/>
          <w:sz w:val="24"/>
          <w:szCs w:val="24"/>
          <w:shd w:val="clear" w:color="auto" w:fill="FFFFFF"/>
          <w:lang w:val="en-GB"/>
        </w:rPr>
        <w:t xml:space="preserve">(SOR/2012-285) </w:t>
      </w:r>
      <w:r w:rsidRPr="009E1C9D">
        <w:rPr>
          <w:color w:val="333333"/>
          <w:sz w:val="24"/>
          <w:szCs w:val="24"/>
          <w:shd w:val="clear" w:color="auto" w:fill="FFFFFF"/>
          <w:lang w:val="en-GB"/>
        </w:rPr>
        <w:t>；</w:t>
      </w:r>
      <w:r w:rsidRPr="009E1C9D">
        <w:rPr>
          <w:color w:val="333333"/>
          <w:sz w:val="24"/>
          <w:szCs w:val="24"/>
          <w:shd w:val="clear" w:color="auto" w:fill="FFFFFF"/>
          <w:lang w:val="en-GB"/>
        </w:rPr>
        <w:t>2016</w:t>
      </w:r>
      <w:r w:rsidRPr="009E1C9D">
        <w:rPr>
          <w:color w:val="333333"/>
          <w:sz w:val="24"/>
          <w:szCs w:val="24"/>
          <w:shd w:val="clear" w:color="auto" w:fill="FFFFFF"/>
          <w:lang w:val="en-GB"/>
        </w:rPr>
        <w:t>年修订</w:t>
      </w:r>
      <w:r w:rsidRPr="009E1C9D">
        <w:rPr>
          <w:color w:val="333333"/>
          <w:sz w:val="24"/>
          <w:szCs w:val="24"/>
          <w:shd w:val="clear" w:color="auto" w:fill="FFFFFF"/>
          <w:lang w:val="en-GB"/>
        </w:rPr>
        <w:t xml:space="preserve"> (SOR/2016-252)</w:t>
      </w:r>
      <w:r w:rsidRPr="009E1C9D">
        <w:rPr>
          <w:color w:val="333333"/>
          <w:sz w:val="24"/>
          <w:szCs w:val="24"/>
          <w:shd w:val="clear" w:color="auto" w:fill="FFFFFF"/>
          <w:lang w:val="en-GB"/>
        </w:rPr>
        <w:t>）禁止进口、制造、使用、销售和供销</w:t>
      </w:r>
      <w:proofErr w:type="gramStart"/>
      <w:r w:rsidRPr="009E1C9D">
        <w:rPr>
          <w:color w:val="333333"/>
          <w:sz w:val="24"/>
          <w:szCs w:val="24"/>
          <w:shd w:val="clear" w:color="auto" w:fill="FFFFFF"/>
          <w:lang w:val="en-GB"/>
        </w:rPr>
        <w:t>含有全氟辛酸</w:t>
      </w:r>
      <w:proofErr w:type="gramEnd"/>
      <w:r w:rsidRPr="009E1C9D">
        <w:rPr>
          <w:color w:val="333333"/>
          <w:sz w:val="24"/>
          <w:szCs w:val="24"/>
          <w:shd w:val="clear" w:color="auto" w:fill="FFFFFF"/>
          <w:lang w:val="en-GB"/>
        </w:rPr>
        <w:t>的产品，但有为数不多的豁免（截至</w:t>
      </w:r>
      <w:r w:rsidRPr="009E1C9D">
        <w:rPr>
          <w:color w:val="333333"/>
          <w:sz w:val="24"/>
          <w:szCs w:val="24"/>
          <w:shd w:val="clear" w:color="auto" w:fill="FFFFFF"/>
          <w:lang w:val="en-GB"/>
        </w:rPr>
        <w:t>2016</w:t>
      </w:r>
      <w:r w:rsidRPr="009E1C9D">
        <w:rPr>
          <w:color w:val="333333"/>
          <w:sz w:val="24"/>
          <w:szCs w:val="24"/>
          <w:shd w:val="clear" w:color="auto" w:fill="FFFFFF"/>
          <w:lang w:val="en-GB"/>
        </w:rPr>
        <w:t>年</w:t>
      </w:r>
      <w:r w:rsidRPr="009E1C9D">
        <w:rPr>
          <w:color w:val="333333"/>
          <w:sz w:val="24"/>
          <w:szCs w:val="24"/>
          <w:shd w:val="clear" w:color="auto" w:fill="FFFFFF"/>
          <w:lang w:val="en-GB"/>
        </w:rPr>
        <w:t>12</w:t>
      </w:r>
      <w:r w:rsidRPr="009E1C9D">
        <w:rPr>
          <w:color w:val="333333"/>
          <w:sz w:val="24"/>
          <w:szCs w:val="24"/>
          <w:shd w:val="clear" w:color="auto" w:fill="FFFFFF"/>
          <w:lang w:val="en-GB"/>
        </w:rPr>
        <w:t>月</w:t>
      </w:r>
      <w:r w:rsidRPr="009E1C9D">
        <w:rPr>
          <w:color w:val="333333"/>
          <w:sz w:val="24"/>
          <w:szCs w:val="24"/>
          <w:shd w:val="clear" w:color="auto" w:fill="FFFFFF"/>
          <w:lang w:val="en-GB"/>
        </w:rPr>
        <w:t>23</w:t>
      </w:r>
      <w:r w:rsidRPr="009E1C9D">
        <w:rPr>
          <w:color w:val="333333"/>
          <w:sz w:val="24"/>
          <w:szCs w:val="24"/>
          <w:shd w:val="clear" w:color="auto" w:fill="FFFFFF"/>
          <w:lang w:val="en-GB"/>
        </w:rPr>
        <w:t>日：</w:t>
      </w:r>
      <w:r w:rsidRPr="009E1C9D">
        <w:rPr>
          <w:color w:val="333333"/>
          <w:sz w:val="24"/>
          <w:szCs w:val="24"/>
          <w:shd w:val="clear" w:color="auto" w:fill="FFFFFF"/>
          <w:lang w:val="en-GB"/>
        </w:rPr>
        <w:t>http://gazette.gc.ca/rp-pr/p2/2016/2016-10-05/html/sor-dors252-eng.html</w:t>
      </w:r>
      <w:r w:rsidRPr="009E1C9D">
        <w:rPr>
          <w:color w:val="333333"/>
          <w:sz w:val="24"/>
          <w:szCs w:val="24"/>
          <w:shd w:val="clear" w:color="auto" w:fill="FFFFFF"/>
          <w:lang w:val="en-GB"/>
        </w:rPr>
        <w:t>）。</w:t>
      </w:r>
    </w:p>
    <w:p w:rsidR="001F52B3" w:rsidRPr="009E1C9D" w:rsidRDefault="001F52B3" w:rsidP="001F52B3">
      <w:pPr>
        <w:keepNext/>
        <w:keepLines/>
        <w:tabs>
          <w:tab w:val="right" w:pos="851"/>
          <w:tab w:val="left" w:pos="4082"/>
        </w:tabs>
        <w:suppressAutoHyphens/>
        <w:spacing w:line="240" w:lineRule="auto"/>
        <w:ind w:left="1247" w:right="284" w:hanging="1247"/>
        <w:jc w:val="left"/>
        <w:rPr>
          <w:rFonts w:eastAsia="SimHei"/>
          <w:b/>
          <w:snapToGrid w:val="0"/>
          <w:sz w:val="20"/>
          <w:szCs w:val="20"/>
          <w:lang w:val="en-GB" w:eastAsia="en-US"/>
        </w:rPr>
      </w:pPr>
      <w:r w:rsidRPr="00237745">
        <w:rPr>
          <w:b/>
          <w:snapToGrid w:val="0"/>
          <w:sz w:val="20"/>
          <w:szCs w:val="20"/>
          <w:lang w:val="en-GB"/>
        </w:rPr>
        <w:tab/>
      </w:r>
      <w:r w:rsidRPr="009E1C9D">
        <w:rPr>
          <w:rFonts w:eastAsia="SimHei"/>
          <w:b/>
          <w:snapToGrid w:val="0"/>
          <w:sz w:val="24"/>
          <w:szCs w:val="24"/>
          <w:lang w:val="en-GB" w:eastAsia="en-US"/>
        </w:rPr>
        <w:t>(b)</w:t>
      </w:r>
      <w:r w:rsidRPr="009E1C9D">
        <w:rPr>
          <w:rFonts w:eastAsia="SimHei"/>
          <w:b/>
          <w:snapToGrid w:val="0"/>
          <w:sz w:val="20"/>
          <w:szCs w:val="20"/>
          <w:lang w:val="en-GB" w:eastAsia="en-US"/>
        </w:rPr>
        <w:tab/>
      </w:r>
      <w:r w:rsidRPr="009E1C9D">
        <w:rPr>
          <w:rFonts w:eastAsia="SimHei"/>
          <w:b/>
          <w:snapToGrid w:val="0"/>
          <w:sz w:val="24"/>
          <w:szCs w:val="24"/>
          <w:lang w:val="en-GB"/>
        </w:rPr>
        <w:t>附件二</w:t>
      </w:r>
      <w:r w:rsidRPr="009E1C9D">
        <w:rPr>
          <w:rFonts w:eastAsia="SimHei"/>
          <w:b/>
          <w:snapToGrid w:val="0"/>
          <w:sz w:val="24"/>
          <w:szCs w:val="24"/>
          <w:lang w:val="en-GB"/>
        </w:rPr>
        <w:t>(a)</w:t>
      </w:r>
      <w:r w:rsidRPr="009E1C9D">
        <w:rPr>
          <w:rFonts w:eastAsia="SimHei"/>
          <w:b/>
          <w:snapToGrid w:val="0"/>
          <w:sz w:val="24"/>
          <w:szCs w:val="24"/>
          <w:lang w:val="en-GB"/>
        </w:rPr>
        <w:t>段的标准</w:t>
      </w:r>
    </w:p>
    <w:p w:rsidR="001F52B3" w:rsidRPr="009E1C9D" w:rsidRDefault="001F52B3" w:rsidP="001F52B3">
      <w:pPr>
        <w:keepNext/>
        <w:keepLines/>
        <w:tabs>
          <w:tab w:val="clear" w:pos="1247"/>
          <w:tab w:val="clear" w:pos="1814"/>
          <w:tab w:val="clear" w:pos="2381"/>
          <w:tab w:val="clear" w:pos="2948"/>
          <w:tab w:val="clear" w:pos="3515"/>
          <w:tab w:val="left" w:pos="624"/>
        </w:tabs>
        <w:spacing w:line="240" w:lineRule="auto"/>
        <w:ind w:left="1247" w:firstLine="624"/>
        <w:jc w:val="left"/>
        <w:rPr>
          <w:rFonts w:eastAsia="KaiTi"/>
          <w:i/>
          <w:sz w:val="20"/>
          <w:szCs w:val="20"/>
          <w:lang w:val="en-GB" w:eastAsia="ja-JP"/>
        </w:rPr>
      </w:pPr>
      <w:r w:rsidRPr="009E1C9D">
        <w:rPr>
          <w:rFonts w:eastAsia="KaiTi"/>
          <w:sz w:val="24"/>
          <w:szCs w:val="24"/>
          <w:lang w:val="en-GB"/>
        </w:rPr>
        <w:t>(a)</w:t>
      </w:r>
      <w:r w:rsidRPr="009E1C9D">
        <w:rPr>
          <w:rFonts w:eastAsia="KaiTi"/>
          <w:sz w:val="24"/>
          <w:szCs w:val="24"/>
          <w:lang w:val="en-GB"/>
        </w:rPr>
        <w:tab/>
      </w:r>
      <w:r w:rsidRPr="009E1C9D">
        <w:rPr>
          <w:rFonts w:eastAsia="KaiTi"/>
          <w:sz w:val="24"/>
          <w:szCs w:val="24"/>
          <w:lang w:val="en-GB"/>
        </w:rPr>
        <w:t>确认为保护人类健康或环境已采取了最后管制行动；</w:t>
      </w:r>
    </w:p>
    <w:p w:rsidR="001F52B3" w:rsidRPr="00237745"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rFonts w:asciiTheme="minorEastAsia" w:eastAsiaTheme="minorEastAsia" w:hAnsiTheme="minorEastAsia"/>
          <w:color w:val="333333"/>
          <w:sz w:val="24"/>
          <w:szCs w:val="24"/>
          <w:shd w:val="clear" w:color="auto" w:fill="FFFFFF"/>
          <w:lang w:val="en-GB"/>
        </w:rPr>
      </w:pPr>
      <w:r w:rsidRPr="00237745">
        <w:rPr>
          <w:rFonts w:asciiTheme="minorEastAsia" w:eastAsiaTheme="minorEastAsia" w:hAnsiTheme="minorEastAsia" w:hint="eastAsia"/>
          <w:color w:val="333333"/>
          <w:sz w:val="24"/>
          <w:szCs w:val="24"/>
          <w:shd w:val="clear" w:color="auto" w:fill="FFFFFF"/>
          <w:lang w:val="en-GB"/>
        </w:rPr>
        <w:t>委员会确认采取管制行动是为了保护环境。通知书认为，正在进入或可能正在进入环境</w:t>
      </w:r>
      <w:proofErr w:type="gramStart"/>
      <w:r w:rsidRPr="00237745">
        <w:rPr>
          <w:rFonts w:asciiTheme="minorEastAsia" w:eastAsiaTheme="minorEastAsia" w:hAnsiTheme="minorEastAsia" w:hint="eastAsia"/>
          <w:color w:val="333333"/>
          <w:sz w:val="24"/>
          <w:szCs w:val="24"/>
          <w:shd w:val="clear" w:color="auto" w:fill="FFFFFF"/>
          <w:lang w:val="en-GB"/>
        </w:rPr>
        <w:t>的全氟辛酸</w:t>
      </w:r>
      <w:proofErr w:type="gramEnd"/>
      <w:r w:rsidRPr="00237745">
        <w:rPr>
          <w:rFonts w:asciiTheme="minorEastAsia" w:eastAsiaTheme="minorEastAsia" w:hAnsiTheme="minorEastAsia" w:hint="eastAsia"/>
          <w:color w:val="333333"/>
          <w:sz w:val="24"/>
          <w:szCs w:val="24"/>
          <w:shd w:val="clear" w:color="auto" w:fill="FFFFFF"/>
          <w:lang w:val="en-GB"/>
        </w:rPr>
        <w:t>、其盐类和前体的数量和方式对或可能对环境或其生物多样性产生即刻或长期的有害影响。</w:t>
      </w:r>
      <w:r w:rsidRPr="00237745">
        <w:rPr>
          <w:rFonts w:asciiTheme="minorEastAsia" w:eastAsiaTheme="minorEastAsia" w:hAnsiTheme="minorEastAsia"/>
          <w:color w:val="333333"/>
          <w:sz w:val="24"/>
          <w:szCs w:val="24"/>
          <w:shd w:val="clear" w:color="auto" w:fill="FFFFFF"/>
          <w:lang w:val="en-GB"/>
        </w:rPr>
        <w:t xml:space="preserve"> </w:t>
      </w:r>
    </w:p>
    <w:p w:rsidR="001F52B3" w:rsidRPr="00237745"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rFonts w:asciiTheme="minorEastAsia" w:eastAsiaTheme="minorEastAsia" w:hAnsiTheme="minorEastAsia"/>
          <w:color w:val="333333"/>
          <w:sz w:val="24"/>
          <w:szCs w:val="24"/>
          <w:shd w:val="clear" w:color="auto" w:fill="FFFFFF"/>
          <w:lang w:val="en-GB"/>
        </w:rPr>
      </w:pPr>
      <w:proofErr w:type="gramStart"/>
      <w:r w:rsidRPr="00237745">
        <w:rPr>
          <w:rFonts w:asciiTheme="minorEastAsia" w:eastAsiaTheme="minorEastAsia" w:hAnsiTheme="minorEastAsia" w:hint="eastAsia"/>
          <w:color w:val="333333"/>
          <w:sz w:val="24"/>
          <w:szCs w:val="24"/>
          <w:shd w:val="clear" w:color="auto" w:fill="FFFFFF"/>
          <w:lang w:val="en-GB"/>
        </w:rPr>
        <w:t>全氟辛酸</w:t>
      </w:r>
      <w:proofErr w:type="gramEnd"/>
      <w:r w:rsidRPr="00237745">
        <w:rPr>
          <w:rFonts w:asciiTheme="minorEastAsia" w:eastAsiaTheme="minorEastAsia" w:hAnsiTheme="minorEastAsia" w:hint="eastAsia"/>
          <w:color w:val="333333"/>
          <w:sz w:val="24"/>
          <w:szCs w:val="24"/>
          <w:shd w:val="clear" w:color="auto" w:fill="FFFFFF"/>
          <w:lang w:val="en-GB"/>
        </w:rPr>
        <w:t>和</w:t>
      </w:r>
      <w:proofErr w:type="gramStart"/>
      <w:r w:rsidRPr="00237745">
        <w:rPr>
          <w:rFonts w:asciiTheme="minorEastAsia" w:eastAsiaTheme="minorEastAsia" w:hAnsiTheme="minorEastAsia" w:hint="eastAsia"/>
          <w:color w:val="333333"/>
          <w:sz w:val="24"/>
          <w:szCs w:val="24"/>
          <w:shd w:val="clear" w:color="auto" w:fill="FFFFFF"/>
          <w:lang w:val="en-GB"/>
        </w:rPr>
        <w:t>长链全氟羧酸</w:t>
      </w:r>
      <w:proofErr w:type="gramEnd"/>
      <w:r w:rsidRPr="00237745">
        <w:rPr>
          <w:rFonts w:asciiTheme="minorEastAsia" w:eastAsiaTheme="minorEastAsia" w:hAnsiTheme="minorEastAsia" w:hint="eastAsia"/>
          <w:color w:val="333333"/>
          <w:sz w:val="24"/>
          <w:szCs w:val="24"/>
          <w:shd w:val="clear" w:color="auto" w:fill="FFFFFF"/>
          <w:lang w:val="en-GB"/>
        </w:rPr>
        <w:t>（</w:t>
      </w:r>
      <w:r w:rsidRPr="00237745">
        <w:rPr>
          <w:rFonts w:eastAsiaTheme="minorEastAsia"/>
          <w:color w:val="333333"/>
          <w:sz w:val="24"/>
          <w:szCs w:val="24"/>
          <w:shd w:val="clear" w:color="auto" w:fill="FFFFFF"/>
          <w:lang w:val="en-GB"/>
        </w:rPr>
        <w:t>LC-PFCA</w:t>
      </w:r>
      <w:r w:rsidRPr="00237745">
        <w:rPr>
          <w:rFonts w:asciiTheme="minorEastAsia" w:eastAsiaTheme="minorEastAsia" w:hAnsiTheme="minorEastAsia" w:hint="eastAsia"/>
          <w:color w:val="333333"/>
          <w:sz w:val="24"/>
          <w:szCs w:val="24"/>
          <w:shd w:val="clear" w:color="auto" w:fill="FFFFFF"/>
          <w:lang w:val="en-GB"/>
        </w:rPr>
        <w:t>）在加拿大主要用作防水剂、防油剂和防油脂剂；表面活性剂；以及涂抹剂和润湿剂。虽然加拿大不</w:t>
      </w:r>
      <w:proofErr w:type="gramStart"/>
      <w:r w:rsidRPr="00237745">
        <w:rPr>
          <w:rFonts w:asciiTheme="minorEastAsia" w:eastAsiaTheme="minorEastAsia" w:hAnsiTheme="minorEastAsia" w:hint="eastAsia"/>
          <w:color w:val="333333"/>
          <w:sz w:val="24"/>
          <w:szCs w:val="24"/>
          <w:shd w:val="clear" w:color="auto" w:fill="FFFFFF"/>
          <w:lang w:val="en-GB"/>
        </w:rPr>
        <w:t>生产全氟辛酸</w:t>
      </w:r>
      <w:proofErr w:type="gramEnd"/>
      <w:r w:rsidRPr="00237745">
        <w:rPr>
          <w:rFonts w:asciiTheme="minorEastAsia" w:eastAsiaTheme="minorEastAsia" w:hAnsiTheme="minorEastAsia" w:hint="eastAsia"/>
          <w:color w:val="333333"/>
          <w:sz w:val="24"/>
          <w:szCs w:val="24"/>
          <w:shd w:val="clear" w:color="auto" w:fill="FFFFFF"/>
          <w:lang w:val="en-GB"/>
        </w:rPr>
        <w:t>和</w:t>
      </w:r>
      <w:proofErr w:type="gramStart"/>
      <w:r w:rsidRPr="00237745">
        <w:rPr>
          <w:rFonts w:asciiTheme="minorEastAsia" w:eastAsiaTheme="minorEastAsia" w:hAnsiTheme="minorEastAsia" w:hint="eastAsia"/>
          <w:color w:val="333333"/>
          <w:sz w:val="24"/>
          <w:szCs w:val="24"/>
          <w:shd w:val="clear" w:color="auto" w:fill="FFFFFF"/>
          <w:lang w:val="en-GB"/>
        </w:rPr>
        <w:t>长链全氟羧酸</w:t>
      </w:r>
      <w:proofErr w:type="gramEnd"/>
      <w:r w:rsidRPr="00237745">
        <w:rPr>
          <w:rFonts w:asciiTheme="minorEastAsia" w:eastAsiaTheme="minorEastAsia" w:hAnsiTheme="minorEastAsia" w:hint="eastAsia"/>
          <w:color w:val="333333"/>
          <w:sz w:val="24"/>
          <w:szCs w:val="24"/>
          <w:shd w:val="clear" w:color="auto" w:fill="FFFFFF"/>
          <w:lang w:val="en-GB"/>
        </w:rPr>
        <w:t>，但进口或可能进口了这些物质以用于以下制造行业：纺织厂、纸张和包装、油漆和涂料、油墨和照相介质、化学品制造、电气和电子、清洁产品、塑料和橡胶制品。</w:t>
      </w:r>
    </w:p>
    <w:p w:rsidR="001F52B3" w:rsidRPr="00237745"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rFonts w:asciiTheme="minorEastAsia" w:eastAsiaTheme="minorEastAsia" w:hAnsiTheme="minorEastAsia"/>
          <w:color w:val="333333"/>
          <w:sz w:val="24"/>
          <w:szCs w:val="24"/>
          <w:shd w:val="clear" w:color="auto" w:fill="FFFFFF"/>
          <w:lang w:val="en-GB"/>
        </w:rPr>
      </w:pPr>
      <w:r w:rsidRPr="00237745">
        <w:rPr>
          <w:rFonts w:asciiTheme="minorEastAsia" w:eastAsiaTheme="minorEastAsia" w:hAnsiTheme="minorEastAsia" w:hint="eastAsia"/>
          <w:color w:val="333333"/>
          <w:sz w:val="24"/>
          <w:szCs w:val="24"/>
          <w:shd w:val="clear" w:color="auto" w:fill="FFFFFF"/>
          <w:lang w:val="en-GB"/>
        </w:rPr>
        <w:t>因此，委员会确认</w:t>
      </w:r>
      <w:r w:rsidRPr="00237745">
        <w:rPr>
          <w:rFonts w:eastAsiaTheme="minorEastAsia" w:hint="eastAsia"/>
          <w:color w:val="333333"/>
          <w:sz w:val="24"/>
          <w:szCs w:val="24"/>
          <w:shd w:val="clear" w:color="auto" w:fill="FFFFFF"/>
          <w:lang w:val="en-GB"/>
        </w:rPr>
        <w:t>附件二</w:t>
      </w:r>
      <w:r w:rsidRPr="00237745">
        <w:rPr>
          <w:rFonts w:eastAsiaTheme="minorEastAsia"/>
          <w:color w:val="333333"/>
          <w:sz w:val="24"/>
          <w:szCs w:val="24"/>
          <w:shd w:val="clear" w:color="auto" w:fill="FFFFFF"/>
          <w:lang w:val="en-GB"/>
        </w:rPr>
        <w:t xml:space="preserve">(a) </w:t>
      </w:r>
      <w:r w:rsidRPr="00237745">
        <w:rPr>
          <w:rFonts w:eastAsiaTheme="minorEastAsia" w:hint="eastAsia"/>
          <w:color w:val="333333"/>
          <w:sz w:val="24"/>
          <w:szCs w:val="24"/>
          <w:shd w:val="clear" w:color="auto" w:fill="FFFFFF"/>
          <w:lang w:val="en-GB"/>
        </w:rPr>
        <w:t>段的</w:t>
      </w:r>
      <w:r w:rsidRPr="00237745">
        <w:rPr>
          <w:rFonts w:asciiTheme="minorEastAsia" w:eastAsiaTheme="minorEastAsia" w:hAnsiTheme="minorEastAsia" w:hint="eastAsia"/>
          <w:color w:val="333333"/>
          <w:sz w:val="24"/>
          <w:szCs w:val="24"/>
          <w:shd w:val="clear" w:color="auto" w:fill="FFFFFF"/>
          <w:lang w:val="en-GB"/>
        </w:rPr>
        <w:t>标准已经达到。</w:t>
      </w:r>
    </w:p>
    <w:p w:rsidR="001F52B3" w:rsidRPr="00237745" w:rsidRDefault="001F52B3" w:rsidP="001F52B3">
      <w:pPr>
        <w:keepNext/>
        <w:keepLines/>
        <w:tabs>
          <w:tab w:val="right" w:pos="851"/>
          <w:tab w:val="left" w:pos="4082"/>
        </w:tabs>
        <w:suppressAutoHyphens/>
        <w:spacing w:line="240" w:lineRule="auto"/>
        <w:ind w:left="1247" w:right="284" w:hanging="1247"/>
        <w:jc w:val="left"/>
        <w:rPr>
          <w:b/>
          <w:snapToGrid w:val="0"/>
          <w:sz w:val="20"/>
          <w:szCs w:val="20"/>
          <w:lang w:val="fr-CH"/>
        </w:rPr>
      </w:pPr>
      <w:r w:rsidRPr="00237745">
        <w:rPr>
          <w:b/>
          <w:snapToGrid w:val="0"/>
          <w:sz w:val="20"/>
          <w:szCs w:val="20"/>
          <w:lang w:val="en-GB"/>
        </w:rPr>
        <w:tab/>
      </w:r>
      <w:r w:rsidRPr="00237745">
        <w:rPr>
          <w:b/>
          <w:snapToGrid w:val="0"/>
          <w:sz w:val="24"/>
          <w:szCs w:val="24"/>
          <w:lang w:val="en-GB"/>
        </w:rPr>
        <w:t>(c)</w:t>
      </w:r>
      <w:r w:rsidRPr="00237745">
        <w:rPr>
          <w:b/>
          <w:snapToGrid w:val="0"/>
          <w:sz w:val="20"/>
          <w:szCs w:val="20"/>
          <w:lang w:val="fr-CH"/>
        </w:rPr>
        <w:tab/>
      </w:r>
      <w:r w:rsidRPr="009E1C9D">
        <w:rPr>
          <w:rFonts w:eastAsia="SimHei"/>
          <w:b/>
          <w:snapToGrid w:val="0"/>
          <w:sz w:val="24"/>
          <w:szCs w:val="24"/>
          <w:lang w:val="en-GB"/>
        </w:rPr>
        <w:t>附件二</w:t>
      </w:r>
      <w:r w:rsidRPr="009E1C9D">
        <w:rPr>
          <w:rFonts w:eastAsia="SimHei"/>
          <w:b/>
          <w:snapToGrid w:val="0"/>
          <w:sz w:val="24"/>
          <w:szCs w:val="24"/>
          <w:lang w:val="en-GB"/>
        </w:rPr>
        <w:t>(b)</w:t>
      </w:r>
      <w:r w:rsidRPr="009E1C9D">
        <w:rPr>
          <w:rFonts w:eastAsia="SimHei"/>
          <w:b/>
          <w:snapToGrid w:val="0"/>
          <w:sz w:val="24"/>
          <w:szCs w:val="24"/>
          <w:lang w:val="en-GB"/>
        </w:rPr>
        <w:t>段的标准</w:t>
      </w:r>
      <w:r w:rsidRPr="00237745">
        <w:rPr>
          <w:b/>
          <w:snapToGrid w:val="0"/>
          <w:sz w:val="20"/>
          <w:szCs w:val="20"/>
          <w:lang w:val="fr-CH"/>
        </w:rPr>
        <w:t xml:space="preserve"> </w:t>
      </w:r>
    </w:p>
    <w:p w:rsidR="001F52B3" w:rsidRPr="009E1C9D" w:rsidRDefault="001F52B3" w:rsidP="001F52B3">
      <w:pPr>
        <w:keepNext/>
        <w:keepLines/>
        <w:tabs>
          <w:tab w:val="clear" w:pos="1247"/>
          <w:tab w:val="clear" w:pos="1814"/>
          <w:tab w:val="clear" w:pos="2381"/>
          <w:tab w:val="clear" w:pos="2948"/>
          <w:tab w:val="clear" w:pos="3515"/>
          <w:tab w:val="left" w:pos="624"/>
        </w:tabs>
        <w:spacing w:line="240" w:lineRule="auto"/>
        <w:ind w:left="1247" w:firstLine="624"/>
        <w:jc w:val="left"/>
        <w:rPr>
          <w:rFonts w:eastAsia="KaiTi"/>
          <w:sz w:val="24"/>
          <w:szCs w:val="24"/>
          <w:lang w:val="en-GB"/>
        </w:rPr>
      </w:pPr>
      <w:r w:rsidRPr="009E1C9D">
        <w:rPr>
          <w:rFonts w:eastAsia="KaiTi"/>
          <w:sz w:val="24"/>
          <w:szCs w:val="24"/>
          <w:lang w:val="en-GB"/>
        </w:rPr>
        <w:t>(b)</w:t>
      </w:r>
      <w:r w:rsidRPr="009E1C9D">
        <w:rPr>
          <w:rFonts w:eastAsia="KaiTi"/>
          <w:sz w:val="24"/>
          <w:szCs w:val="24"/>
          <w:lang w:val="en-GB"/>
        </w:rPr>
        <w:tab/>
      </w:r>
      <w:r w:rsidRPr="009E1C9D">
        <w:rPr>
          <w:rFonts w:eastAsia="KaiTi"/>
          <w:sz w:val="24"/>
          <w:szCs w:val="24"/>
          <w:lang w:val="en-GB"/>
        </w:rPr>
        <w:t>确定已根据风险评估结果采取了最后管制行动。该评估应在根据有关缔约方的现有条件对科学数据进行审查的基础上进行。为此，所提供的文件应表明：</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i/>
          <w:sz w:val="20"/>
          <w:szCs w:val="20"/>
          <w:lang w:val="en-GB"/>
        </w:rPr>
      </w:pPr>
      <w:r w:rsidRPr="009E1C9D">
        <w:rPr>
          <w:rFonts w:eastAsia="KaiTi"/>
          <w:sz w:val="24"/>
          <w:szCs w:val="24"/>
          <w:lang w:val="en-GB"/>
        </w:rPr>
        <w:t>(</w:t>
      </w:r>
      <w:r w:rsidRPr="009E1C9D">
        <w:rPr>
          <w:rFonts w:eastAsia="KaiTi"/>
          <w:sz w:val="24"/>
          <w:szCs w:val="24"/>
          <w:lang w:val="en-GB"/>
        </w:rPr>
        <w:t>一</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数据是根据公认的科学方法得出的；</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i/>
          <w:sz w:val="20"/>
          <w:szCs w:val="20"/>
          <w:lang w:val="en-GB"/>
        </w:rPr>
      </w:pPr>
      <w:r w:rsidRPr="009E1C9D">
        <w:rPr>
          <w:rFonts w:eastAsia="KaiTi"/>
          <w:sz w:val="24"/>
          <w:szCs w:val="24"/>
          <w:lang w:val="en-GB"/>
        </w:rPr>
        <w:t>(</w:t>
      </w:r>
      <w:r w:rsidRPr="009E1C9D">
        <w:rPr>
          <w:rFonts w:eastAsia="KaiTi"/>
          <w:sz w:val="24"/>
          <w:szCs w:val="24"/>
          <w:lang w:val="en-GB"/>
        </w:rPr>
        <w:t>二</w:t>
      </w:r>
      <w:r w:rsidRPr="009E1C9D">
        <w:rPr>
          <w:rFonts w:eastAsia="KaiTi"/>
          <w:sz w:val="24"/>
          <w:szCs w:val="24"/>
          <w:lang w:val="en-GB"/>
        </w:rPr>
        <w:t>)</w:t>
      </w:r>
      <w:r w:rsidRPr="009E1C9D">
        <w:rPr>
          <w:rFonts w:eastAsia="KaiTi"/>
          <w:sz w:val="24"/>
          <w:szCs w:val="24"/>
          <w:lang w:val="en-GB"/>
        </w:rPr>
        <w:tab/>
        <w:t xml:space="preserve"> </w:t>
      </w:r>
      <w:r w:rsidRPr="009E1C9D">
        <w:rPr>
          <w:rFonts w:eastAsia="KaiTi"/>
          <w:sz w:val="24"/>
          <w:szCs w:val="24"/>
          <w:lang w:val="en-GB"/>
        </w:rPr>
        <w:t>数据的审查和记录是根据公认的科学原则和程序进行的</w:t>
      </w:r>
      <w:r w:rsidRPr="009E1C9D">
        <w:rPr>
          <w:rFonts w:eastAsia="KaiTi"/>
          <w:i/>
          <w:sz w:val="20"/>
          <w:szCs w:val="20"/>
          <w:lang w:val="en-GB"/>
        </w:rPr>
        <w:t>；</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政府和机构提交的审查报告是科学的，是根据公认科学方法编写和按照公认的科学原则和流程提交的。</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iCs/>
          <w:sz w:val="20"/>
          <w:szCs w:val="20"/>
          <w:lang w:val="en-GB" w:bidi="en-US"/>
        </w:rPr>
      </w:pPr>
      <w:r w:rsidRPr="009E1C9D">
        <w:rPr>
          <w:color w:val="333333"/>
          <w:sz w:val="24"/>
          <w:szCs w:val="24"/>
          <w:shd w:val="clear" w:color="auto" w:fill="FFFFFF"/>
          <w:lang w:val="en-GB"/>
        </w:rPr>
        <w:lastRenderedPageBreak/>
        <w:t>因此，委员会确认附件二</w:t>
      </w:r>
      <w:r w:rsidRPr="009E1C9D">
        <w:rPr>
          <w:color w:val="333333"/>
          <w:sz w:val="24"/>
          <w:szCs w:val="24"/>
          <w:shd w:val="clear" w:color="auto" w:fill="FFFFFF"/>
          <w:lang w:val="en-GB"/>
        </w:rPr>
        <w:t>(b) (</w:t>
      </w:r>
      <w:proofErr w:type="gramStart"/>
      <w:r w:rsidRPr="009E1C9D">
        <w:rPr>
          <w:color w:val="333333"/>
          <w:sz w:val="24"/>
          <w:szCs w:val="24"/>
          <w:shd w:val="clear" w:color="auto" w:fill="FFFFFF"/>
          <w:lang w:val="en-GB"/>
        </w:rPr>
        <w:t>一</w:t>
      </w:r>
      <w:proofErr w:type="gramEnd"/>
      <w:r w:rsidRPr="009E1C9D">
        <w:rPr>
          <w:color w:val="333333"/>
          <w:sz w:val="24"/>
          <w:szCs w:val="24"/>
          <w:shd w:val="clear" w:color="auto" w:fill="FFFFFF"/>
          <w:lang w:val="en-GB"/>
        </w:rPr>
        <w:t xml:space="preserve">) </w:t>
      </w:r>
      <w:r w:rsidRPr="009E1C9D">
        <w:rPr>
          <w:color w:val="333333"/>
          <w:sz w:val="24"/>
          <w:szCs w:val="24"/>
          <w:shd w:val="clear" w:color="auto" w:fill="FFFFFF"/>
          <w:lang w:val="en-GB"/>
        </w:rPr>
        <w:t>和</w:t>
      </w:r>
      <w:r w:rsidRPr="009E1C9D">
        <w:rPr>
          <w:color w:val="333333"/>
          <w:sz w:val="24"/>
          <w:szCs w:val="24"/>
          <w:shd w:val="clear" w:color="auto" w:fill="FFFFFF"/>
          <w:lang w:val="en-GB"/>
        </w:rPr>
        <w:t xml:space="preserve">  (</w:t>
      </w:r>
      <w:r w:rsidRPr="009E1C9D">
        <w:rPr>
          <w:color w:val="333333"/>
          <w:sz w:val="24"/>
          <w:szCs w:val="24"/>
          <w:shd w:val="clear" w:color="auto" w:fill="FFFFFF"/>
          <w:lang w:val="en-GB"/>
        </w:rPr>
        <w:t>二</w:t>
      </w:r>
      <w:r w:rsidRPr="009E1C9D">
        <w:rPr>
          <w:color w:val="333333"/>
          <w:sz w:val="24"/>
          <w:szCs w:val="24"/>
          <w:shd w:val="clear" w:color="auto" w:fill="FFFFFF"/>
          <w:lang w:val="en-GB"/>
        </w:rPr>
        <w:t xml:space="preserve">) </w:t>
      </w:r>
      <w:r w:rsidRPr="009E1C9D">
        <w:rPr>
          <w:color w:val="333333"/>
          <w:sz w:val="24"/>
          <w:szCs w:val="24"/>
          <w:shd w:val="clear" w:color="auto" w:fill="FFFFFF"/>
          <w:lang w:val="en-GB"/>
        </w:rPr>
        <w:t>段的标准已经达到。</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i/>
          <w:sz w:val="20"/>
          <w:szCs w:val="20"/>
          <w:lang w:val="en-GB"/>
        </w:rPr>
      </w:pPr>
      <w:r w:rsidRPr="009E1C9D">
        <w:rPr>
          <w:rFonts w:eastAsia="KaiTi"/>
          <w:sz w:val="24"/>
          <w:szCs w:val="24"/>
          <w:lang w:val="en-GB"/>
        </w:rPr>
        <w:t>(</w:t>
      </w:r>
      <w:r w:rsidRPr="009E1C9D">
        <w:rPr>
          <w:rFonts w:eastAsia="KaiTi"/>
          <w:sz w:val="24"/>
          <w:szCs w:val="24"/>
          <w:lang w:val="en-GB"/>
        </w:rPr>
        <w:t>三</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最后管制行动是根据采取此种行动的缔约方的现有条件的风险评估确定的；</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加拿大通知书称，最后管制行动是根据风险或危害评估结果采取的，与环境有关。通知书论述了有关生态评估，该项评估采用证据权重方法，</w:t>
      </w:r>
      <w:proofErr w:type="gramStart"/>
      <w:r w:rsidRPr="009E1C9D">
        <w:rPr>
          <w:color w:val="333333"/>
          <w:sz w:val="24"/>
          <w:szCs w:val="24"/>
          <w:shd w:val="clear" w:color="auto" w:fill="FFFFFF"/>
          <w:lang w:val="en-GB"/>
        </w:rPr>
        <w:t>对全氟辛酸</w:t>
      </w:r>
      <w:proofErr w:type="gramEnd"/>
      <w:r w:rsidRPr="009E1C9D">
        <w:rPr>
          <w:color w:val="333333"/>
          <w:sz w:val="24"/>
          <w:szCs w:val="24"/>
          <w:shd w:val="clear" w:color="auto" w:fill="FFFFFF"/>
          <w:lang w:val="en-GB"/>
        </w:rPr>
        <w:t>在环境和生物群中</w:t>
      </w:r>
      <w:r w:rsidRPr="009E1C9D">
        <w:rPr>
          <w:color w:val="333333"/>
          <w:sz w:val="24"/>
          <w:szCs w:val="24"/>
          <w:shd w:val="clear" w:color="auto" w:fill="FFFFFF"/>
          <w:lang w:val="en-GB"/>
        </w:rPr>
        <w:t>(</w:t>
      </w:r>
      <w:r w:rsidRPr="009E1C9D">
        <w:rPr>
          <w:color w:val="333333"/>
          <w:sz w:val="24"/>
          <w:szCs w:val="24"/>
          <w:shd w:val="clear" w:color="auto" w:fill="FFFFFF"/>
          <w:lang w:val="en-GB"/>
        </w:rPr>
        <w:t>包括加拿大边远地区</w:t>
      </w:r>
      <w:r w:rsidRPr="009E1C9D">
        <w:rPr>
          <w:color w:val="333333"/>
          <w:sz w:val="24"/>
          <w:szCs w:val="24"/>
          <w:shd w:val="clear" w:color="auto" w:fill="FFFFFF"/>
          <w:lang w:val="en-GB"/>
        </w:rPr>
        <w:t>)</w:t>
      </w:r>
      <w:r w:rsidRPr="009E1C9D">
        <w:rPr>
          <w:color w:val="333333"/>
          <w:sz w:val="24"/>
          <w:szCs w:val="24"/>
          <w:shd w:val="clear" w:color="auto" w:fill="FFFFFF"/>
          <w:lang w:val="en-GB"/>
        </w:rPr>
        <w:t>的持久性、生物累积性、某些物种（例如北极熊）的时间趋势、远距离转移以及广泛存在程度和浓度，进行了评估。</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通知书表示，根据现有的信息，现</w:t>
      </w:r>
      <w:proofErr w:type="gramStart"/>
      <w:r w:rsidRPr="009E1C9D">
        <w:rPr>
          <w:color w:val="333333"/>
          <w:sz w:val="24"/>
          <w:szCs w:val="24"/>
          <w:shd w:val="clear" w:color="auto" w:fill="FFFFFF"/>
          <w:lang w:val="en-GB"/>
        </w:rPr>
        <w:t>认为全氟辛酸</w:t>
      </w:r>
      <w:proofErr w:type="gramEnd"/>
      <w:r w:rsidRPr="009E1C9D">
        <w:rPr>
          <w:color w:val="333333"/>
          <w:sz w:val="24"/>
          <w:szCs w:val="24"/>
          <w:shd w:val="clear" w:color="auto" w:fill="FFFFFF"/>
          <w:lang w:val="en-GB"/>
        </w:rPr>
        <w:t>、其盐类和前体对环境构成威胁。加拿大野生哺乳动物（即北极熊）的风险</w:t>
      </w:r>
      <w:proofErr w:type="gramStart"/>
      <w:r w:rsidRPr="009E1C9D">
        <w:rPr>
          <w:color w:val="333333"/>
          <w:sz w:val="24"/>
          <w:szCs w:val="24"/>
          <w:shd w:val="clear" w:color="auto" w:fill="FFFFFF"/>
          <w:lang w:val="en-GB"/>
        </w:rPr>
        <w:t>熵</w:t>
      </w:r>
      <w:proofErr w:type="gramEnd"/>
      <w:r w:rsidRPr="009E1C9D">
        <w:rPr>
          <w:color w:val="333333"/>
          <w:sz w:val="24"/>
          <w:szCs w:val="24"/>
          <w:shd w:val="clear" w:color="auto" w:fill="FFFFFF"/>
          <w:lang w:val="en-GB"/>
        </w:rPr>
        <w:t>小于</w:t>
      </w:r>
      <w:r w:rsidRPr="009E1C9D">
        <w:rPr>
          <w:color w:val="333333"/>
          <w:sz w:val="24"/>
          <w:szCs w:val="24"/>
          <w:shd w:val="clear" w:color="auto" w:fill="FFFFFF"/>
          <w:lang w:val="en-GB"/>
        </w:rPr>
        <w:t>1</w:t>
      </w:r>
      <w:r w:rsidRPr="009E1C9D">
        <w:rPr>
          <w:color w:val="333333"/>
          <w:sz w:val="24"/>
          <w:szCs w:val="24"/>
          <w:shd w:val="clear" w:color="auto" w:fill="FFFFFF"/>
          <w:lang w:val="en-GB"/>
        </w:rPr>
        <w:t>；但是，这些物质具有持久性，趋于在各种陆地和海洋哺乳动物体内积累和生物放大，对肝脏有毒和在北极熊和其他一些物种中的浓度随着时间增加，</w:t>
      </w:r>
      <w:proofErr w:type="gramStart"/>
      <w:r w:rsidRPr="009E1C9D">
        <w:rPr>
          <w:color w:val="333333"/>
          <w:sz w:val="24"/>
          <w:szCs w:val="24"/>
          <w:shd w:val="clear" w:color="auto" w:fill="FFFFFF"/>
          <w:lang w:val="en-GB"/>
        </w:rPr>
        <w:t>全氟辛酸</w:t>
      </w:r>
      <w:proofErr w:type="gramEnd"/>
      <w:r w:rsidRPr="009E1C9D">
        <w:rPr>
          <w:color w:val="333333"/>
          <w:sz w:val="24"/>
          <w:szCs w:val="24"/>
          <w:shd w:val="clear" w:color="auto" w:fill="FFFFFF"/>
          <w:lang w:val="en-GB"/>
        </w:rPr>
        <w:t>在北极熊体内的浓度可能达到接触即会产生伤害的程度。</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加拿大进行的筛查评估</w:t>
      </w:r>
      <w:r w:rsidRPr="009E1C9D">
        <w:rPr>
          <w:color w:val="333333"/>
          <w:sz w:val="24"/>
          <w:szCs w:val="24"/>
          <w:shd w:val="clear" w:color="auto" w:fill="FFFFFF"/>
          <w:lang w:val="en-GB"/>
        </w:rPr>
        <w:t xml:space="preserve"> (</w:t>
      </w:r>
      <w:hyperlink r:id="rId7" w:history="1">
        <w:r w:rsidRPr="009E1C9D">
          <w:rPr>
            <w:rStyle w:val="Hyperlink"/>
            <w:sz w:val="24"/>
            <w:szCs w:val="24"/>
            <w:shd w:val="clear" w:color="auto" w:fill="FFFFFF"/>
            <w:lang w:val="en-GB"/>
          </w:rPr>
          <w:t>http://www.ec.gc.ca/ese-ees/default.asp?lanq</w:t>
        </w:r>
      </w:hyperlink>
      <w:r w:rsidRPr="00992937">
        <w:rPr>
          <w:color w:val="333333"/>
          <w:sz w:val="24"/>
          <w:szCs w:val="24"/>
          <w:shd w:val="clear" w:color="auto" w:fill="FFFFFF"/>
          <w:lang w:val="en-GB"/>
        </w:rPr>
        <w:t>=</w:t>
      </w:r>
      <w:r>
        <w:rPr>
          <w:color w:val="333333"/>
          <w:sz w:val="24"/>
          <w:szCs w:val="24"/>
          <w:shd w:val="clear" w:color="auto" w:fill="FFFFFF"/>
          <w:lang w:val="en-GB"/>
        </w:rPr>
        <w:br/>
      </w:r>
      <w:proofErr w:type="spellStart"/>
      <w:r w:rsidRPr="009E1C9D">
        <w:rPr>
          <w:color w:val="333333"/>
          <w:sz w:val="24"/>
          <w:szCs w:val="24"/>
          <w:shd w:val="clear" w:color="auto" w:fill="FFFFFF"/>
          <w:lang w:val="en-GB"/>
        </w:rPr>
        <w:t>En&amp;n</w:t>
      </w:r>
      <w:proofErr w:type="spellEnd"/>
      <w:r w:rsidRPr="009E1C9D">
        <w:rPr>
          <w:color w:val="333333"/>
          <w:sz w:val="24"/>
          <w:szCs w:val="24"/>
          <w:shd w:val="clear" w:color="auto" w:fill="FFFFFF"/>
          <w:lang w:val="en-GB"/>
        </w:rPr>
        <w:t xml:space="preserve">=370AB133-1) </w:t>
      </w:r>
      <w:r w:rsidRPr="009E1C9D">
        <w:rPr>
          <w:color w:val="333333"/>
          <w:sz w:val="24"/>
          <w:szCs w:val="24"/>
          <w:shd w:val="clear" w:color="auto" w:fill="FFFFFF"/>
          <w:lang w:val="en-GB"/>
        </w:rPr>
        <w:t>使用了大量关于加拿大（包括加拿大北极）</w:t>
      </w:r>
      <w:proofErr w:type="gramStart"/>
      <w:r w:rsidRPr="009E1C9D">
        <w:rPr>
          <w:color w:val="333333"/>
          <w:sz w:val="24"/>
          <w:szCs w:val="24"/>
          <w:shd w:val="clear" w:color="auto" w:fill="FFFFFF"/>
          <w:lang w:val="en-GB"/>
        </w:rPr>
        <w:t>全氟辛酸</w:t>
      </w:r>
      <w:proofErr w:type="gramEnd"/>
      <w:r w:rsidRPr="009E1C9D">
        <w:rPr>
          <w:color w:val="333333"/>
          <w:sz w:val="24"/>
          <w:szCs w:val="24"/>
          <w:shd w:val="clear" w:color="auto" w:fill="FFFFFF"/>
          <w:lang w:val="en-GB"/>
        </w:rPr>
        <w:t>的使用情况、释放和环境浓度的信息。</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因此，委员会确认附件二</w:t>
      </w:r>
      <w:r w:rsidRPr="009E1C9D">
        <w:rPr>
          <w:color w:val="333333"/>
          <w:sz w:val="24"/>
          <w:szCs w:val="24"/>
          <w:shd w:val="clear" w:color="auto" w:fill="FFFFFF"/>
          <w:lang w:val="en-GB"/>
        </w:rPr>
        <w:t>(b) (</w:t>
      </w:r>
      <w:r w:rsidRPr="009E1C9D">
        <w:rPr>
          <w:color w:val="333333"/>
          <w:sz w:val="24"/>
          <w:szCs w:val="24"/>
          <w:shd w:val="clear" w:color="auto" w:fill="FFFFFF"/>
          <w:lang w:val="en-GB"/>
        </w:rPr>
        <w:t>三</w:t>
      </w:r>
      <w:r w:rsidRPr="009E1C9D">
        <w:rPr>
          <w:color w:val="333333"/>
          <w:sz w:val="24"/>
          <w:szCs w:val="24"/>
          <w:shd w:val="clear" w:color="auto" w:fill="FFFFFF"/>
          <w:lang w:val="en-GB"/>
        </w:rPr>
        <w:t xml:space="preserve">) </w:t>
      </w:r>
      <w:r w:rsidRPr="009E1C9D">
        <w:rPr>
          <w:color w:val="333333"/>
          <w:sz w:val="24"/>
          <w:szCs w:val="24"/>
          <w:shd w:val="clear" w:color="auto" w:fill="FFFFFF"/>
          <w:lang w:val="en-GB"/>
        </w:rPr>
        <w:t>段的标准已经达到。</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委员会确认附件二</w:t>
      </w:r>
      <w:r w:rsidRPr="009E1C9D">
        <w:rPr>
          <w:color w:val="333333"/>
          <w:sz w:val="24"/>
          <w:szCs w:val="24"/>
          <w:shd w:val="clear" w:color="auto" w:fill="FFFFFF"/>
          <w:lang w:val="en-GB"/>
        </w:rPr>
        <w:t xml:space="preserve">(b) </w:t>
      </w:r>
      <w:r w:rsidRPr="009E1C9D">
        <w:rPr>
          <w:color w:val="333333"/>
          <w:sz w:val="24"/>
          <w:szCs w:val="24"/>
          <w:shd w:val="clear" w:color="auto" w:fill="FFFFFF"/>
          <w:lang w:val="en-GB"/>
        </w:rPr>
        <w:t>段的标准已经达到。</w:t>
      </w:r>
    </w:p>
    <w:p w:rsidR="001F52B3" w:rsidRPr="00237745" w:rsidRDefault="001F52B3" w:rsidP="001F52B3">
      <w:pPr>
        <w:keepNext/>
        <w:keepLines/>
        <w:tabs>
          <w:tab w:val="right" w:pos="851"/>
          <w:tab w:val="left" w:pos="4082"/>
        </w:tabs>
        <w:suppressAutoHyphens/>
        <w:spacing w:line="240" w:lineRule="auto"/>
        <w:ind w:left="1247" w:right="284" w:hanging="1247"/>
        <w:jc w:val="left"/>
        <w:rPr>
          <w:b/>
          <w:snapToGrid w:val="0"/>
          <w:sz w:val="20"/>
          <w:szCs w:val="20"/>
          <w:lang w:val="en-GB"/>
        </w:rPr>
      </w:pPr>
      <w:r w:rsidRPr="00237745">
        <w:rPr>
          <w:b/>
          <w:snapToGrid w:val="0"/>
          <w:sz w:val="20"/>
          <w:szCs w:val="20"/>
          <w:lang w:val="en-GB"/>
        </w:rPr>
        <w:tab/>
      </w:r>
      <w:r w:rsidRPr="00237745">
        <w:rPr>
          <w:b/>
          <w:snapToGrid w:val="0"/>
          <w:sz w:val="24"/>
          <w:szCs w:val="24"/>
          <w:lang w:val="en-GB"/>
        </w:rPr>
        <w:t>(d)</w:t>
      </w:r>
      <w:r w:rsidRPr="00237745">
        <w:rPr>
          <w:b/>
          <w:snapToGrid w:val="0"/>
          <w:sz w:val="20"/>
          <w:szCs w:val="20"/>
          <w:lang w:val="en-GB"/>
        </w:rPr>
        <w:tab/>
      </w:r>
      <w:r w:rsidRPr="009E1C9D">
        <w:rPr>
          <w:rFonts w:eastAsia="SimHei"/>
          <w:b/>
          <w:snapToGrid w:val="0"/>
          <w:sz w:val="24"/>
          <w:szCs w:val="24"/>
          <w:lang w:val="en-GB"/>
        </w:rPr>
        <w:t>附件二</w:t>
      </w:r>
      <w:r w:rsidRPr="009E1C9D">
        <w:rPr>
          <w:rFonts w:eastAsia="SimHei"/>
          <w:b/>
          <w:snapToGrid w:val="0"/>
          <w:sz w:val="24"/>
          <w:szCs w:val="24"/>
          <w:lang w:val="en-GB"/>
        </w:rPr>
        <w:t>(c)</w:t>
      </w:r>
      <w:r w:rsidRPr="009E1C9D">
        <w:rPr>
          <w:rFonts w:eastAsia="SimHei"/>
          <w:b/>
          <w:snapToGrid w:val="0"/>
          <w:sz w:val="24"/>
          <w:szCs w:val="24"/>
          <w:lang w:val="en-GB"/>
        </w:rPr>
        <w:t>段的标准</w:t>
      </w:r>
    </w:p>
    <w:p w:rsidR="001F52B3" w:rsidRPr="009E1C9D" w:rsidRDefault="001F52B3" w:rsidP="001F52B3">
      <w:pPr>
        <w:keepNext/>
        <w:keepLines/>
        <w:tabs>
          <w:tab w:val="clear" w:pos="1247"/>
          <w:tab w:val="clear" w:pos="1814"/>
          <w:tab w:val="clear" w:pos="2381"/>
          <w:tab w:val="clear" w:pos="2948"/>
          <w:tab w:val="clear" w:pos="3515"/>
          <w:tab w:val="left" w:pos="624"/>
        </w:tabs>
        <w:snapToGrid w:val="0"/>
        <w:spacing w:line="240" w:lineRule="auto"/>
        <w:ind w:left="1247" w:firstLine="624"/>
        <w:jc w:val="left"/>
        <w:rPr>
          <w:rFonts w:eastAsia="KaiTi"/>
          <w:sz w:val="24"/>
          <w:szCs w:val="24"/>
          <w:lang w:val="en-GB"/>
        </w:rPr>
      </w:pPr>
      <w:r w:rsidRPr="009E1C9D">
        <w:rPr>
          <w:rFonts w:eastAsia="KaiTi"/>
          <w:sz w:val="24"/>
          <w:szCs w:val="24"/>
          <w:lang w:val="en-GB"/>
        </w:rPr>
        <w:t>(c)</w:t>
      </w:r>
      <w:r w:rsidRPr="009E1C9D">
        <w:rPr>
          <w:rFonts w:eastAsia="KaiTi"/>
          <w:sz w:val="24"/>
          <w:szCs w:val="24"/>
          <w:lang w:val="en-GB"/>
        </w:rPr>
        <w:tab/>
      </w:r>
      <w:r w:rsidRPr="009E1C9D">
        <w:rPr>
          <w:rFonts w:eastAsia="KaiTi"/>
          <w:sz w:val="24"/>
          <w:szCs w:val="24"/>
          <w:lang w:val="en-GB"/>
        </w:rPr>
        <w:t>通过考虑下列因素审议有关的最后管制行动是否提供了充分的依据、因而值得将有关化学品列入附件三：</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sz w:val="24"/>
          <w:szCs w:val="24"/>
          <w:lang w:val="en-GB"/>
        </w:rPr>
      </w:pPr>
      <w:r w:rsidRPr="009E1C9D">
        <w:rPr>
          <w:rFonts w:eastAsia="KaiTi"/>
          <w:sz w:val="24"/>
          <w:szCs w:val="24"/>
          <w:lang w:val="en-GB"/>
        </w:rPr>
        <w:t>(</w:t>
      </w:r>
      <w:r w:rsidRPr="009E1C9D">
        <w:rPr>
          <w:rFonts w:eastAsia="KaiTi"/>
          <w:sz w:val="24"/>
          <w:szCs w:val="24"/>
          <w:lang w:val="en-GB"/>
        </w:rPr>
        <w:t>一</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有关的最后管制行动是否导致了或预期将导致所有化学品数量或使用次数大幅度下降；</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加拿大通知书指出，</w:t>
      </w:r>
      <w:proofErr w:type="gramStart"/>
      <w:r w:rsidRPr="009E1C9D">
        <w:rPr>
          <w:color w:val="333333"/>
          <w:sz w:val="24"/>
          <w:szCs w:val="24"/>
          <w:shd w:val="clear" w:color="auto" w:fill="FFFFFF"/>
          <w:lang w:val="en-GB"/>
        </w:rPr>
        <w:t>全氟辛酸</w:t>
      </w:r>
      <w:proofErr w:type="gramEnd"/>
      <w:r w:rsidRPr="009E1C9D">
        <w:rPr>
          <w:color w:val="333333"/>
          <w:sz w:val="24"/>
          <w:szCs w:val="24"/>
          <w:shd w:val="clear" w:color="auto" w:fill="FFFFFF"/>
          <w:lang w:val="en-GB"/>
        </w:rPr>
        <w:t>和</w:t>
      </w:r>
      <w:proofErr w:type="gramStart"/>
      <w:r w:rsidRPr="009E1C9D">
        <w:rPr>
          <w:color w:val="333333"/>
          <w:sz w:val="24"/>
          <w:szCs w:val="24"/>
          <w:shd w:val="clear" w:color="auto" w:fill="FFFFFF"/>
          <w:lang w:val="en-GB"/>
        </w:rPr>
        <w:t>长链全氟羧酸</w:t>
      </w:r>
      <w:proofErr w:type="gramEnd"/>
      <w:r w:rsidRPr="009E1C9D">
        <w:rPr>
          <w:color w:val="333333"/>
          <w:sz w:val="24"/>
          <w:szCs w:val="24"/>
          <w:shd w:val="clear" w:color="auto" w:fill="FFFFFF"/>
          <w:lang w:val="en-GB"/>
        </w:rPr>
        <w:t>主要用作防水剂、防油剂和防油脂剂；表面活性剂；以及涂抹剂和润湿剂。</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虽然加拿大不</w:t>
      </w:r>
      <w:proofErr w:type="gramStart"/>
      <w:r w:rsidRPr="009E1C9D">
        <w:rPr>
          <w:color w:val="333333"/>
          <w:sz w:val="24"/>
          <w:szCs w:val="24"/>
          <w:shd w:val="clear" w:color="auto" w:fill="FFFFFF"/>
          <w:lang w:val="en-GB"/>
        </w:rPr>
        <w:t>生产全氟辛酸</w:t>
      </w:r>
      <w:proofErr w:type="gramEnd"/>
      <w:r w:rsidRPr="009E1C9D">
        <w:rPr>
          <w:color w:val="333333"/>
          <w:sz w:val="24"/>
          <w:szCs w:val="24"/>
          <w:shd w:val="clear" w:color="auto" w:fill="FFFFFF"/>
          <w:lang w:val="en-GB"/>
        </w:rPr>
        <w:t>和</w:t>
      </w:r>
      <w:proofErr w:type="gramStart"/>
      <w:r w:rsidRPr="009E1C9D">
        <w:rPr>
          <w:color w:val="333333"/>
          <w:sz w:val="24"/>
          <w:szCs w:val="24"/>
          <w:shd w:val="clear" w:color="auto" w:fill="FFFFFF"/>
          <w:lang w:val="en-GB"/>
        </w:rPr>
        <w:t>长链全氟羧酸</w:t>
      </w:r>
      <w:proofErr w:type="gramEnd"/>
      <w:r w:rsidRPr="009E1C9D">
        <w:rPr>
          <w:color w:val="333333"/>
          <w:sz w:val="24"/>
          <w:szCs w:val="24"/>
          <w:shd w:val="clear" w:color="auto" w:fill="FFFFFF"/>
          <w:lang w:val="en-GB"/>
        </w:rPr>
        <w:t>，但进口或可能进口了这些物质以用于以下制造行业：纺织厂、纸张和包装、油漆和涂料、油墨和照相介质、化学品制造、电气和电子、清洁产品、塑料和橡胶制品。加拿大环境部的一项研究估计加拿大</w:t>
      </w:r>
      <w:r w:rsidRPr="009E1C9D">
        <w:rPr>
          <w:color w:val="333333"/>
          <w:sz w:val="24"/>
          <w:szCs w:val="24"/>
          <w:shd w:val="clear" w:color="auto" w:fill="FFFFFF"/>
          <w:lang w:val="en-GB"/>
        </w:rPr>
        <w:t>2010</w:t>
      </w:r>
      <w:r w:rsidRPr="009E1C9D">
        <w:rPr>
          <w:color w:val="333333"/>
          <w:sz w:val="24"/>
          <w:szCs w:val="24"/>
          <w:shd w:val="clear" w:color="auto" w:fill="FFFFFF"/>
          <w:lang w:val="en-GB"/>
        </w:rPr>
        <w:t>年进口了大约</w:t>
      </w:r>
      <w:proofErr w:type="gramStart"/>
      <w:r w:rsidRPr="009E1C9D">
        <w:rPr>
          <w:color w:val="333333"/>
          <w:sz w:val="24"/>
          <w:szCs w:val="24"/>
          <w:shd w:val="clear" w:color="auto" w:fill="FFFFFF"/>
          <w:lang w:val="en-GB"/>
        </w:rPr>
        <w:t>308</w:t>
      </w:r>
      <w:r w:rsidRPr="009E1C9D">
        <w:rPr>
          <w:color w:val="333333"/>
          <w:sz w:val="24"/>
          <w:szCs w:val="24"/>
          <w:shd w:val="clear" w:color="auto" w:fill="FFFFFF"/>
          <w:lang w:val="en-GB"/>
        </w:rPr>
        <w:t>吨全氟辛酸</w:t>
      </w:r>
      <w:proofErr w:type="gramEnd"/>
      <w:r w:rsidRPr="009E1C9D">
        <w:rPr>
          <w:color w:val="333333"/>
          <w:sz w:val="24"/>
          <w:szCs w:val="24"/>
          <w:shd w:val="clear" w:color="auto" w:fill="FFFFFF"/>
          <w:lang w:val="en-GB"/>
        </w:rPr>
        <w:t>和</w:t>
      </w:r>
      <w:proofErr w:type="gramStart"/>
      <w:r w:rsidRPr="009E1C9D">
        <w:rPr>
          <w:color w:val="333333"/>
          <w:sz w:val="24"/>
          <w:szCs w:val="24"/>
          <w:shd w:val="clear" w:color="auto" w:fill="FFFFFF"/>
          <w:lang w:val="en-GB"/>
        </w:rPr>
        <w:t>长链全氟羧酸</w:t>
      </w:r>
      <w:proofErr w:type="gramEnd"/>
      <w:r w:rsidRPr="009E1C9D">
        <w:rPr>
          <w:color w:val="333333"/>
          <w:sz w:val="24"/>
          <w:szCs w:val="24"/>
          <w:shd w:val="clear" w:color="auto" w:fill="FFFFFF"/>
          <w:lang w:val="en-GB"/>
        </w:rPr>
        <w:t>。</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有关法规禁止制造、使用、销售和供销或进口</w:t>
      </w:r>
      <w:proofErr w:type="gramStart"/>
      <w:r w:rsidRPr="009E1C9D">
        <w:rPr>
          <w:color w:val="333333"/>
          <w:sz w:val="24"/>
          <w:szCs w:val="24"/>
          <w:shd w:val="clear" w:color="auto" w:fill="FFFFFF"/>
          <w:lang w:val="en-GB"/>
        </w:rPr>
        <w:t>含全氟辛酸</w:t>
      </w:r>
      <w:proofErr w:type="gramEnd"/>
      <w:r w:rsidRPr="009E1C9D">
        <w:rPr>
          <w:color w:val="333333"/>
          <w:sz w:val="24"/>
          <w:szCs w:val="24"/>
          <w:shd w:val="clear" w:color="auto" w:fill="FFFFFF"/>
          <w:lang w:val="en-GB"/>
        </w:rPr>
        <w:t>的产品（</w:t>
      </w:r>
      <w:proofErr w:type="gramStart"/>
      <w:r w:rsidRPr="009E1C9D">
        <w:rPr>
          <w:color w:val="333333"/>
          <w:sz w:val="24"/>
          <w:szCs w:val="24"/>
          <w:shd w:val="clear" w:color="auto" w:fill="FFFFFF"/>
          <w:lang w:val="en-GB"/>
        </w:rPr>
        <w:t>除非全氟辛酸</w:t>
      </w:r>
      <w:proofErr w:type="gramEnd"/>
      <w:r w:rsidRPr="009E1C9D">
        <w:rPr>
          <w:color w:val="333333"/>
          <w:sz w:val="24"/>
          <w:szCs w:val="24"/>
          <w:shd w:val="clear" w:color="auto" w:fill="FFFFFF"/>
          <w:lang w:val="en-GB"/>
        </w:rPr>
        <w:t>是偶然存在的），但有为数不多的豁免</w:t>
      </w:r>
      <w:r w:rsidRPr="009E1C9D">
        <w:rPr>
          <w:color w:val="333333"/>
          <w:sz w:val="24"/>
          <w:szCs w:val="24"/>
          <w:shd w:val="clear" w:color="auto" w:fill="FFFFFF"/>
          <w:lang w:val="en-GB"/>
        </w:rPr>
        <w:t xml:space="preserve"> (UNEP/FAO/RC/CRC.14/8)</w:t>
      </w:r>
      <w:r w:rsidRPr="009E1C9D">
        <w:rPr>
          <w:color w:val="333333"/>
          <w:sz w:val="24"/>
          <w:szCs w:val="24"/>
          <w:shd w:val="clear" w:color="auto" w:fill="FFFFFF"/>
          <w:lang w:val="en-GB"/>
        </w:rPr>
        <w:t>。</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因此，委员会确认附件二</w:t>
      </w:r>
      <w:r w:rsidRPr="009E1C9D">
        <w:rPr>
          <w:color w:val="333333"/>
          <w:sz w:val="24"/>
          <w:szCs w:val="24"/>
          <w:shd w:val="clear" w:color="auto" w:fill="FFFFFF"/>
          <w:lang w:val="en-GB"/>
        </w:rPr>
        <w:t>(c) (</w:t>
      </w:r>
      <w:proofErr w:type="gramStart"/>
      <w:r w:rsidRPr="009E1C9D">
        <w:rPr>
          <w:color w:val="333333"/>
          <w:sz w:val="24"/>
          <w:szCs w:val="24"/>
          <w:shd w:val="clear" w:color="auto" w:fill="FFFFFF"/>
          <w:lang w:val="en-GB"/>
        </w:rPr>
        <w:t>一</w:t>
      </w:r>
      <w:proofErr w:type="gramEnd"/>
      <w:r w:rsidRPr="009E1C9D">
        <w:rPr>
          <w:color w:val="333333"/>
          <w:sz w:val="24"/>
          <w:szCs w:val="24"/>
          <w:shd w:val="clear" w:color="auto" w:fill="FFFFFF"/>
          <w:lang w:val="en-GB"/>
        </w:rPr>
        <w:t xml:space="preserve">) </w:t>
      </w:r>
      <w:r w:rsidRPr="009E1C9D">
        <w:rPr>
          <w:color w:val="333333"/>
          <w:sz w:val="24"/>
          <w:szCs w:val="24"/>
          <w:shd w:val="clear" w:color="auto" w:fill="FFFFFF"/>
          <w:lang w:val="en-GB"/>
        </w:rPr>
        <w:t>段的标准已经达到。</w:t>
      </w:r>
      <w:r w:rsidRPr="009E1C9D">
        <w:rPr>
          <w:color w:val="333333"/>
          <w:sz w:val="24"/>
          <w:szCs w:val="24"/>
          <w:shd w:val="clear" w:color="auto" w:fill="FFFFFF"/>
          <w:lang w:val="en-GB"/>
        </w:rPr>
        <w:t xml:space="preserve"> </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sz w:val="24"/>
          <w:szCs w:val="24"/>
          <w:lang w:val="en-GB"/>
        </w:rPr>
      </w:pPr>
      <w:r w:rsidRPr="009E1C9D">
        <w:rPr>
          <w:rFonts w:eastAsia="KaiTi"/>
          <w:sz w:val="24"/>
          <w:szCs w:val="24"/>
          <w:lang w:val="en-GB"/>
        </w:rPr>
        <w:t>(</w:t>
      </w:r>
      <w:r w:rsidRPr="009E1C9D">
        <w:rPr>
          <w:rFonts w:eastAsia="KaiTi"/>
          <w:sz w:val="24"/>
          <w:szCs w:val="24"/>
          <w:lang w:val="en-GB"/>
        </w:rPr>
        <w:t>二</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有关的最后管制行动是否导致了对发出通知缔约方的人民健康或环境的风险的实际减少或预期将使这类风险大幅度减少；</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lastRenderedPageBreak/>
        <w:t>通知书称，</w:t>
      </w:r>
      <w:proofErr w:type="gramStart"/>
      <w:r w:rsidRPr="009E1C9D">
        <w:rPr>
          <w:color w:val="333333"/>
          <w:sz w:val="24"/>
          <w:szCs w:val="24"/>
          <w:shd w:val="clear" w:color="auto" w:fill="FFFFFF"/>
          <w:lang w:val="en-GB"/>
        </w:rPr>
        <w:t>全氟辛酸</w:t>
      </w:r>
      <w:proofErr w:type="gramEnd"/>
      <w:r w:rsidRPr="009E1C9D">
        <w:rPr>
          <w:color w:val="333333"/>
          <w:sz w:val="24"/>
          <w:szCs w:val="24"/>
          <w:shd w:val="clear" w:color="auto" w:fill="FFFFFF"/>
          <w:lang w:val="en-GB"/>
        </w:rPr>
        <w:t>、其盐类以及</w:t>
      </w:r>
      <w:proofErr w:type="gramStart"/>
      <w:r w:rsidRPr="009E1C9D">
        <w:rPr>
          <w:color w:val="333333"/>
          <w:sz w:val="24"/>
          <w:szCs w:val="24"/>
          <w:shd w:val="clear" w:color="auto" w:fill="FFFFFF"/>
          <w:lang w:val="en-GB"/>
        </w:rPr>
        <w:t>长链全氟羧酸</w:t>
      </w:r>
      <w:proofErr w:type="gramEnd"/>
      <w:r w:rsidRPr="009E1C9D">
        <w:rPr>
          <w:color w:val="333333"/>
          <w:sz w:val="24"/>
          <w:szCs w:val="24"/>
          <w:shd w:val="clear" w:color="auto" w:fill="FFFFFF"/>
          <w:lang w:val="en-GB"/>
        </w:rPr>
        <w:t>及其盐类具有持久性，在陆地和海洋哺乳动物体内积累和生物放大。</w:t>
      </w:r>
      <w:proofErr w:type="gramStart"/>
      <w:r w:rsidRPr="009E1C9D">
        <w:rPr>
          <w:color w:val="333333"/>
          <w:sz w:val="24"/>
          <w:szCs w:val="24"/>
          <w:shd w:val="clear" w:color="auto" w:fill="FFFFFF"/>
          <w:lang w:val="en-GB"/>
        </w:rPr>
        <w:t>全氟辛酸</w:t>
      </w:r>
      <w:proofErr w:type="gramEnd"/>
      <w:r w:rsidRPr="009E1C9D">
        <w:rPr>
          <w:color w:val="333333"/>
          <w:sz w:val="24"/>
          <w:szCs w:val="24"/>
          <w:shd w:val="clear" w:color="auto" w:fill="FFFFFF"/>
          <w:lang w:val="en-GB"/>
        </w:rPr>
        <w:t>和</w:t>
      </w:r>
      <w:proofErr w:type="gramStart"/>
      <w:r w:rsidRPr="009E1C9D">
        <w:rPr>
          <w:color w:val="333333"/>
          <w:sz w:val="24"/>
          <w:szCs w:val="24"/>
          <w:shd w:val="clear" w:color="auto" w:fill="FFFFFF"/>
          <w:lang w:val="en-GB"/>
        </w:rPr>
        <w:t>长链全氟羧酸</w:t>
      </w:r>
      <w:proofErr w:type="gramEnd"/>
      <w:r w:rsidRPr="009E1C9D">
        <w:rPr>
          <w:color w:val="333333"/>
          <w:sz w:val="24"/>
          <w:szCs w:val="24"/>
          <w:shd w:val="clear" w:color="auto" w:fill="FFFFFF"/>
          <w:lang w:val="en-GB"/>
        </w:rPr>
        <w:t>的持续释放可能危害加拿大的环境。管制行动的风险管理目标是采用最具有技术或经济可行性的方式把释放到加拿大环境中</w:t>
      </w:r>
      <w:proofErr w:type="gramStart"/>
      <w:r w:rsidRPr="009E1C9D">
        <w:rPr>
          <w:color w:val="333333"/>
          <w:sz w:val="24"/>
          <w:szCs w:val="24"/>
          <w:shd w:val="clear" w:color="auto" w:fill="FFFFFF"/>
          <w:lang w:val="en-GB"/>
        </w:rPr>
        <w:t>的全氟辛酸</w:t>
      </w:r>
      <w:proofErr w:type="gramEnd"/>
      <w:r w:rsidRPr="009E1C9D">
        <w:rPr>
          <w:color w:val="333333"/>
          <w:sz w:val="24"/>
          <w:szCs w:val="24"/>
          <w:shd w:val="clear" w:color="auto" w:fill="FFFFFF"/>
          <w:lang w:val="en-GB"/>
        </w:rPr>
        <w:t>数量降至最低。禁止在制造过程的使用会进一步减少对环境的释放量，预期将大幅度降低环境风险。</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因此，委员会确认附件二</w:t>
      </w:r>
      <w:r w:rsidRPr="009E1C9D">
        <w:rPr>
          <w:color w:val="333333"/>
          <w:sz w:val="24"/>
          <w:szCs w:val="24"/>
          <w:shd w:val="clear" w:color="auto" w:fill="FFFFFF"/>
          <w:lang w:val="en-GB"/>
        </w:rPr>
        <w:t>(c) (</w:t>
      </w:r>
      <w:r w:rsidRPr="009E1C9D">
        <w:rPr>
          <w:color w:val="333333"/>
          <w:sz w:val="24"/>
          <w:szCs w:val="24"/>
          <w:shd w:val="clear" w:color="auto" w:fill="FFFFFF"/>
          <w:lang w:val="en-GB"/>
        </w:rPr>
        <w:t>二</w:t>
      </w:r>
      <w:r w:rsidRPr="009E1C9D">
        <w:rPr>
          <w:color w:val="333333"/>
          <w:sz w:val="24"/>
          <w:szCs w:val="24"/>
          <w:shd w:val="clear" w:color="auto" w:fill="FFFFFF"/>
          <w:lang w:val="en-GB"/>
        </w:rPr>
        <w:t xml:space="preserve">) </w:t>
      </w:r>
      <w:r w:rsidRPr="009E1C9D">
        <w:rPr>
          <w:color w:val="333333"/>
          <w:sz w:val="24"/>
          <w:szCs w:val="24"/>
          <w:shd w:val="clear" w:color="auto" w:fill="FFFFFF"/>
          <w:lang w:val="en-GB"/>
        </w:rPr>
        <w:t>段的标准已经达到。</w:t>
      </w:r>
      <w:r w:rsidRPr="009E1C9D">
        <w:rPr>
          <w:color w:val="333333"/>
          <w:sz w:val="24"/>
          <w:szCs w:val="24"/>
          <w:shd w:val="clear" w:color="auto" w:fill="FFFFFF"/>
          <w:lang w:val="en-GB"/>
        </w:rPr>
        <w:t xml:space="preserve"> </w:t>
      </w:r>
    </w:p>
    <w:p w:rsidR="001F52B3" w:rsidRPr="009E1C9D" w:rsidRDefault="001F52B3" w:rsidP="001F52B3">
      <w:pPr>
        <w:tabs>
          <w:tab w:val="clear" w:pos="1247"/>
          <w:tab w:val="clear" w:pos="1814"/>
          <w:tab w:val="clear" w:pos="2381"/>
          <w:tab w:val="clear" w:pos="2948"/>
          <w:tab w:val="clear" w:pos="3515"/>
          <w:tab w:val="left" w:pos="624"/>
        </w:tabs>
        <w:snapToGrid w:val="0"/>
        <w:spacing w:line="240" w:lineRule="auto"/>
        <w:ind w:left="2495" w:hanging="624"/>
        <w:jc w:val="left"/>
        <w:rPr>
          <w:rFonts w:eastAsia="KaiTi"/>
          <w:sz w:val="24"/>
          <w:szCs w:val="24"/>
          <w:lang w:val="en-GB"/>
        </w:rPr>
      </w:pPr>
      <w:r w:rsidRPr="009E1C9D">
        <w:rPr>
          <w:rFonts w:eastAsia="KaiTi"/>
          <w:sz w:val="24"/>
          <w:szCs w:val="24"/>
          <w:lang w:val="en-GB"/>
        </w:rPr>
        <w:t>(</w:t>
      </w:r>
      <w:r w:rsidRPr="009E1C9D">
        <w:rPr>
          <w:rFonts w:eastAsia="KaiTi"/>
          <w:sz w:val="24"/>
          <w:szCs w:val="24"/>
          <w:lang w:val="en-GB"/>
        </w:rPr>
        <w:t>三</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导致采取最后管制行动的考虑因素是否仅适用于一个有限的地理区域或其它有限情况；</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通知书称，一旦进入环境，</w:t>
      </w:r>
      <w:proofErr w:type="gramStart"/>
      <w:r w:rsidRPr="009E1C9D">
        <w:rPr>
          <w:color w:val="333333"/>
          <w:sz w:val="24"/>
          <w:szCs w:val="24"/>
          <w:shd w:val="clear" w:color="auto" w:fill="FFFFFF"/>
          <w:lang w:val="en-GB"/>
        </w:rPr>
        <w:t>全氟辛酸</w:t>
      </w:r>
      <w:proofErr w:type="gramEnd"/>
      <w:r w:rsidRPr="009E1C9D">
        <w:rPr>
          <w:color w:val="333333"/>
          <w:sz w:val="24"/>
          <w:szCs w:val="24"/>
          <w:shd w:val="clear" w:color="auto" w:fill="FFFFFF"/>
          <w:lang w:val="en-GB"/>
        </w:rPr>
        <w:t>有很强的持久性，在有关环境条件下不会发生非生物或生物降解。</w:t>
      </w:r>
      <w:proofErr w:type="gramStart"/>
      <w:r w:rsidRPr="009E1C9D">
        <w:rPr>
          <w:color w:val="333333"/>
          <w:sz w:val="24"/>
          <w:szCs w:val="24"/>
          <w:shd w:val="clear" w:color="auto" w:fill="FFFFFF"/>
          <w:lang w:val="en-GB"/>
        </w:rPr>
        <w:t>全氟辛酸</w:t>
      </w:r>
      <w:proofErr w:type="gramEnd"/>
      <w:r w:rsidRPr="009E1C9D">
        <w:rPr>
          <w:color w:val="333333"/>
          <w:sz w:val="24"/>
          <w:szCs w:val="24"/>
          <w:shd w:val="clear" w:color="auto" w:fill="FFFFFF"/>
          <w:lang w:val="en-GB"/>
        </w:rPr>
        <w:t>的水溶性很强，在溶液中通常以阴离子的形式（共轭碱）存在。它的蒸汽压力很低；因此水生环境大概是它的主要积存地，另</w:t>
      </w:r>
      <w:proofErr w:type="gramStart"/>
      <w:r w:rsidRPr="009E1C9D">
        <w:rPr>
          <w:color w:val="333333"/>
          <w:sz w:val="24"/>
          <w:szCs w:val="24"/>
          <w:shd w:val="clear" w:color="auto" w:fill="FFFFFF"/>
          <w:lang w:val="en-GB"/>
        </w:rPr>
        <w:t>有一些全氟辛酸</w:t>
      </w:r>
      <w:proofErr w:type="gramEnd"/>
      <w:r w:rsidRPr="009E1C9D">
        <w:rPr>
          <w:color w:val="333333"/>
          <w:sz w:val="24"/>
          <w:szCs w:val="24"/>
          <w:shd w:val="clear" w:color="auto" w:fill="FFFFFF"/>
          <w:lang w:val="en-GB"/>
        </w:rPr>
        <w:t>积存在沉积物中。加拿大北极</w:t>
      </w:r>
      <w:proofErr w:type="gramStart"/>
      <w:r w:rsidRPr="009E1C9D">
        <w:rPr>
          <w:color w:val="333333"/>
          <w:sz w:val="24"/>
          <w:szCs w:val="24"/>
          <w:shd w:val="clear" w:color="auto" w:fill="FFFFFF"/>
          <w:lang w:val="en-GB"/>
        </w:rPr>
        <w:t>有全氟辛酸</w:t>
      </w:r>
      <w:proofErr w:type="gramEnd"/>
      <w:r w:rsidRPr="009E1C9D">
        <w:rPr>
          <w:color w:val="333333"/>
          <w:sz w:val="24"/>
          <w:szCs w:val="24"/>
          <w:shd w:val="clear" w:color="auto" w:fill="FFFFFF"/>
          <w:lang w:val="en-GB"/>
        </w:rPr>
        <w:t>，这可能</w:t>
      </w:r>
      <w:proofErr w:type="gramStart"/>
      <w:r w:rsidRPr="009E1C9D">
        <w:rPr>
          <w:color w:val="333333"/>
          <w:sz w:val="24"/>
          <w:szCs w:val="24"/>
          <w:shd w:val="clear" w:color="auto" w:fill="FFFFFF"/>
          <w:lang w:val="en-GB"/>
        </w:rPr>
        <w:t>是全氟辛酸</w:t>
      </w:r>
      <w:proofErr w:type="gramEnd"/>
      <w:r w:rsidRPr="009E1C9D">
        <w:rPr>
          <w:color w:val="333333"/>
          <w:sz w:val="24"/>
          <w:szCs w:val="24"/>
          <w:shd w:val="clear" w:color="auto" w:fill="FFFFFF"/>
          <w:lang w:val="en-GB"/>
        </w:rPr>
        <w:t>（例如通过洋流）和</w:t>
      </w:r>
      <w:r w:rsidRPr="009E1C9D">
        <w:rPr>
          <w:color w:val="333333"/>
          <w:sz w:val="24"/>
          <w:szCs w:val="24"/>
          <w:shd w:val="clear" w:color="auto" w:fill="FFFFFF"/>
          <w:lang w:val="en-GB"/>
        </w:rPr>
        <w:t>/</w:t>
      </w:r>
      <w:proofErr w:type="gramStart"/>
      <w:r w:rsidRPr="009E1C9D">
        <w:rPr>
          <w:color w:val="333333"/>
          <w:sz w:val="24"/>
          <w:szCs w:val="24"/>
          <w:shd w:val="clear" w:color="auto" w:fill="FFFFFF"/>
          <w:lang w:val="en-GB"/>
        </w:rPr>
        <w:t>或全氟辛酸</w:t>
      </w:r>
      <w:proofErr w:type="gramEnd"/>
      <w:r w:rsidRPr="009E1C9D">
        <w:rPr>
          <w:color w:val="333333"/>
          <w:sz w:val="24"/>
          <w:szCs w:val="24"/>
          <w:shd w:val="clear" w:color="auto" w:fill="FFFFFF"/>
          <w:lang w:val="en-GB"/>
        </w:rPr>
        <w:t>的挥发性前体</w:t>
      </w:r>
      <w:r w:rsidRPr="009E1C9D">
        <w:rPr>
          <w:color w:val="333333"/>
          <w:sz w:val="24"/>
          <w:szCs w:val="24"/>
          <w:shd w:val="clear" w:color="auto" w:fill="FFFFFF"/>
          <w:lang w:val="en-GB"/>
        </w:rPr>
        <w:t>(</w:t>
      </w:r>
      <w:r w:rsidRPr="009E1C9D">
        <w:rPr>
          <w:color w:val="333333"/>
          <w:sz w:val="24"/>
          <w:szCs w:val="24"/>
          <w:shd w:val="clear" w:color="auto" w:fill="FFFFFF"/>
          <w:lang w:val="en-GB"/>
        </w:rPr>
        <w:t>例如通过大气</w:t>
      </w:r>
      <w:r w:rsidRPr="009E1C9D">
        <w:rPr>
          <w:color w:val="333333"/>
          <w:sz w:val="24"/>
          <w:szCs w:val="24"/>
          <w:shd w:val="clear" w:color="auto" w:fill="FFFFFF"/>
          <w:lang w:val="en-GB"/>
        </w:rPr>
        <w:t>)</w:t>
      </w:r>
      <w:r w:rsidRPr="009E1C9D">
        <w:rPr>
          <w:color w:val="333333"/>
          <w:sz w:val="24"/>
          <w:szCs w:val="24"/>
          <w:shd w:val="clear" w:color="auto" w:fill="FFFFFF"/>
          <w:lang w:val="en-GB"/>
        </w:rPr>
        <w:t>的远距离转移造成的。</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已在北半球发现了</w:t>
      </w:r>
      <w:proofErr w:type="gramStart"/>
      <w:r w:rsidRPr="009E1C9D">
        <w:rPr>
          <w:color w:val="333333"/>
          <w:sz w:val="24"/>
          <w:szCs w:val="24"/>
          <w:shd w:val="clear" w:color="auto" w:fill="FFFFFF"/>
          <w:lang w:val="en-GB"/>
        </w:rPr>
        <w:t>痕量全氟辛酸</w:t>
      </w:r>
      <w:proofErr w:type="gramEnd"/>
      <w:r w:rsidRPr="009E1C9D">
        <w:rPr>
          <w:color w:val="333333"/>
          <w:sz w:val="24"/>
          <w:szCs w:val="24"/>
          <w:shd w:val="clear" w:color="auto" w:fill="FFFFFF"/>
          <w:lang w:val="en-GB"/>
        </w:rPr>
        <w:t>。通知书称，一些国家和组织（包括欧洲联盟、挪威、美利坚合众国、《关于持久性有机污染物的斯德哥尔摩公约》和</w:t>
      </w:r>
      <w:r w:rsidRPr="009E1C9D">
        <w:rPr>
          <w:color w:val="333333"/>
          <w:szCs w:val="21"/>
          <w:shd w:val="clear" w:color="auto" w:fill="FFFFFF"/>
          <w:lang w:val="en-GB"/>
        </w:rPr>
        <w:t> </w:t>
      </w:r>
      <w:r w:rsidRPr="009E1C9D">
        <w:rPr>
          <w:color w:val="333333"/>
          <w:sz w:val="24"/>
          <w:szCs w:val="24"/>
          <w:shd w:val="clear" w:color="auto" w:fill="FFFFFF"/>
          <w:lang w:val="en-GB"/>
        </w:rPr>
        <w:t>联合国欧洲经济委员会</w:t>
      </w:r>
      <w:r w:rsidRPr="009E1C9D">
        <w:rPr>
          <w:sz w:val="24"/>
          <w:szCs w:val="24"/>
          <w:lang w:val="en-GB"/>
        </w:rPr>
        <w:t>《〈</w:t>
      </w:r>
      <w:r w:rsidRPr="009E1C9D">
        <w:rPr>
          <w:sz w:val="24"/>
          <w:szCs w:val="24"/>
          <w:lang w:val="en-GB"/>
        </w:rPr>
        <w:t>1979</w:t>
      </w:r>
      <w:r w:rsidRPr="009E1C9D">
        <w:rPr>
          <w:sz w:val="24"/>
          <w:szCs w:val="24"/>
          <w:lang w:val="en-GB"/>
        </w:rPr>
        <w:t>年远距离越境空气污染公约〉的议定书》</w:t>
      </w:r>
      <w:r w:rsidRPr="009E1C9D">
        <w:rPr>
          <w:color w:val="333333"/>
          <w:sz w:val="24"/>
          <w:szCs w:val="24"/>
          <w:shd w:val="clear" w:color="auto" w:fill="FFFFFF"/>
          <w:lang w:val="en-GB"/>
        </w:rPr>
        <w:t>）已经或建议采取措施，控制全氟烷</w:t>
      </w:r>
      <w:proofErr w:type="gramStart"/>
      <w:r w:rsidRPr="009E1C9D">
        <w:rPr>
          <w:color w:val="333333"/>
          <w:sz w:val="24"/>
          <w:szCs w:val="24"/>
          <w:shd w:val="clear" w:color="auto" w:fill="FFFFFF"/>
          <w:lang w:val="en-GB"/>
        </w:rPr>
        <w:t>基物质</w:t>
      </w:r>
      <w:proofErr w:type="gramEnd"/>
      <w:r w:rsidRPr="009E1C9D">
        <w:rPr>
          <w:color w:val="333333"/>
          <w:sz w:val="24"/>
          <w:szCs w:val="24"/>
          <w:shd w:val="clear" w:color="auto" w:fill="FFFFFF"/>
          <w:lang w:val="en-GB"/>
        </w:rPr>
        <w:t>和含该物质的制成品的制造、进口和使用以及释放。</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鉴于作为管制行动依据的筛查评估报告论述了这一物质的危害和长距离转移，该管制行动可能对那些可能发生接触或释放的国家或地区有用。</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因此，委员会确认附件二</w:t>
      </w:r>
      <w:r w:rsidRPr="009E1C9D">
        <w:rPr>
          <w:color w:val="333333"/>
          <w:sz w:val="24"/>
          <w:szCs w:val="24"/>
          <w:shd w:val="clear" w:color="auto" w:fill="FFFFFF"/>
          <w:lang w:val="en-GB"/>
        </w:rPr>
        <w:t>(c) (</w:t>
      </w:r>
      <w:r w:rsidRPr="009E1C9D">
        <w:rPr>
          <w:color w:val="333333"/>
          <w:sz w:val="24"/>
          <w:szCs w:val="24"/>
          <w:shd w:val="clear" w:color="auto" w:fill="FFFFFF"/>
          <w:lang w:val="en-GB"/>
        </w:rPr>
        <w:t>三</w:t>
      </w:r>
      <w:r w:rsidRPr="009E1C9D">
        <w:rPr>
          <w:color w:val="333333"/>
          <w:sz w:val="24"/>
          <w:szCs w:val="24"/>
          <w:shd w:val="clear" w:color="auto" w:fill="FFFFFF"/>
          <w:lang w:val="en-GB"/>
        </w:rPr>
        <w:t>)</w:t>
      </w:r>
      <w:r w:rsidRPr="009E1C9D">
        <w:rPr>
          <w:color w:val="333333"/>
          <w:sz w:val="24"/>
          <w:szCs w:val="24"/>
          <w:shd w:val="clear" w:color="auto" w:fill="FFFFFF"/>
          <w:lang w:val="en-GB"/>
        </w:rPr>
        <w:t>段的标准已经达到。</w:t>
      </w:r>
      <w:r w:rsidRPr="009E1C9D">
        <w:rPr>
          <w:color w:val="333333"/>
          <w:sz w:val="24"/>
          <w:szCs w:val="24"/>
          <w:shd w:val="clear" w:color="auto" w:fill="FFFFFF"/>
          <w:lang w:val="en-GB"/>
        </w:rPr>
        <w:t xml:space="preserve"> </w:t>
      </w:r>
    </w:p>
    <w:p w:rsidR="001F52B3" w:rsidRPr="009E1C9D" w:rsidRDefault="001F52B3" w:rsidP="001F52B3">
      <w:pPr>
        <w:tabs>
          <w:tab w:val="left" w:pos="624"/>
        </w:tabs>
        <w:snapToGrid w:val="0"/>
        <w:spacing w:line="240" w:lineRule="auto"/>
        <w:ind w:left="2495" w:hanging="624"/>
        <w:jc w:val="left"/>
        <w:rPr>
          <w:rFonts w:eastAsia="KaiTi"/>
          <w:sz w:val="24"/>
          <w:szCs w:val="24"/>
          <w:lang w:val="en-GB"/>
        </w:rPr>
      </w:pPr>
      <w:r w:rsidRPr="009E1C9D">
        <w:rPr>
          <w:rFonts w:eastAsia="KaiTi"/>
          <w:sz w:val="24"/>
          <w:szCs w:val="24"/>
          <w:lang w:val="en-GB"/>
        </w:rPr>
        <w:t>(</w:t>
      </w:r>
      <w:r w:rsidRPr="009E1C9D">
        <w:rPr>
          <w:rFonts w:eastAsia="KaiTi"/>
          <w:sz w:val="24"/>
          <w:szCs w:val="24"/>
          <w:lang w:val="en-GB"/>
        </w:rPr>
        <w:t>四</w:t>
      </w:r>
      <w:r w:rsidRPr="009E1C9D">
        <w:rPr>
          <w:rFonts w:eastAsia="KaiTi"/>
          <w:sz w:val="24"/>
          <w:szCs w:val="24"/>
          <w:lang w:val="en-GB"/>
        </w:rPr>
        <w:t>)</w:t>
      </w:r>
      <w:r w:rsidRPr="009E1C9D">
        <w:rPr>
          <w:rFonts w:eastAsia="KaiTi"/>
          <w:sz w:val="24"/>
          <w:szCs w:val="24"/>
          <w:lang w:val="en-GB"/>
        </w:rPr>
        <w:tab/>
      </w:r>
      <w:r w:rsidRPr="009E1C9D">
        <w:rPr>
          <w:rFonts w:eastAsia="KaiTi"/>
          <w:sz w:val="24"/>
          <w:szCs w:val="24"/>
          <w:lang w:val="en-GB"/>
        </w:rPr>
        <w:t>是否有证据表明仍在进行该化学品的国际贸易；</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通知书称，加拿大不</w:t>
      </w:r>
      <w:proofErr w:type="gramStart"/>
      <w:r w:rsidRPr="009E1C9D">
        <w:rPr>
          <w:color w:val="333333"/>
          <w:sz w:val="24"/>
          <w:szCs w:val="24"/>
          <w:shd w:val="clear" w:color="auto" w:fill="FFFFFF"/>
          <w:lang w:val="en-GB"/>
        </w:rPr>
        <w:t>生产全氟辛酸</w:t>
      </w:r>
      <w:proofErr w:type="gramEnd"/>
      <w:r w:rsidRPr="009E1C9D">
        <w:rPr>
          <w:color w:val="333333"/>
          <w:sz w:val="24"/>
          <w:szCs w:val="24"/>
          <w:shd w:val="clear" w:color="auto" w:fill="FFFFFF"/>
          <w:lang w:val="en-GB"/>
        </w:rPr>
        <w:t>，但进口用于制造用途（现已禁止）。允许进口某些</w:t>
      </w:r>
      <w:proofErr w:type="gramStart"/>
      <w:r w:rsidRPr="009E1C9D">
        <w:rPr>
          <w:color w:val="333333"/>
          <w:sz w:val="24"/>
          <w:szCs w:val="24"/>
          <w:shd w:val="clear" w:color="auto" w:fill="FFFFFF"/>
          <w:lang w:val="en-GB"/>
        </w:rPr>
        <w:t>含有全氟辛酸</w:t>
      </w:r>
      <w:proofErr w:type="gramEnd"/>
      <w:r w:rsidRPr="009E1C9D">
        <w:rPr>
          <w:color w:val="333333"/>
          <w:sz w:val="24"/>
          <w:szCs w:val="24"/>
          <w:shd w:val="clear" w:color="auto" w:fill="FFFFFF"/>
          <w:lang w:val="en-GB"/>
        </w:rPr>
        <w:t>的产品和物品</w:t>
      </w:r>
      <w:r w:rsidRPr="009E1C9D">
        <w:rPr>
          <w:color w:val="333333"/>
          <w:sz w:val="24"/>
          <w:szCs w:val="24"/>
          <w:shd w:val="clear" w:color="auto" w:fill="FFFFFF"/>
          <w:lang w:val="en-GB"/>
        </w:rPr>
        <w:t>(</w:t>
      </w:r>
      <w:r w:rsidRPr="009E1C9D">
        <w:rPr>
          <w:color w:val="333333"/>
          <w:sz w:val="24"/>
          <w:szCs w:val="24"/>
          <w:shd w:val="clear" w:color="auto" w:fill="FFFFFF"/>
          <w:lang w:val="en-GB"/>
        </w:rPr>
        <w:t>例如水性成膜泡沫</w:t>
      </w:r>
      <w:r w:rsidRPr="009E1C9D">
        <w:rPr>
          <w:color w:val="333333"/>
          <w:sz w:val="24"/>
          <w:szCs w:val="24"/>
          <w:shd w:val="clear" w:color="auto" w:fill="FFFFFF"/>
          <w:lang w:val="en-GB"/>
        </w:rPr>
        <w:t>)</w:t>
      </w:r>
      <w:r w:rsidRPr="009E1C9D">
        <w:rPr>
          <w:color w:val="333333"/>
          <w:sz w:val="24"/>
          <w:szCs w:val="24"/>
          <w:shd w:val="clear" w:color="auto" w:fill="FFFFFF"/>
          <w:lang w:val="en-GB"/>
        </w:rPr>
        <w:t>。</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jc w:val="left"/>
        <w:rPr>
          <w:color w:val="333333"/>
          <w:sz w:val="24"/>
          <w:szCs w:val="24"/>
          <w:shd w:val="clear" w:color="auto" w:fill="FFFFFF"/>
          <w:lang w:val="en-GB"/>
        </w:rPr>
      </w:pPr>
      <w:r w:rsidRPr="009E1C9D">
        <w:rPr>
          <w:color w:val="333333"/>
          <w:sz w:val="24"/>
          <w:szCs w:val="24"/>
          <w:shd w:val="clear" w:color="auto" w:fill="FFFFFF"/>
          <w:lang w:val="en-GB"/>
        </w:rPr>
        <w:t>斯德哥尔摩公约持久性有机污染物审查委员会目前讨论情况的信息表明，有该物质的国际贸易</w:t>
      </w:r>
      <w:r w:rsidRPr="009E1C9D">
        <w:rPr>
          <w:color w:val="333333"/>
          <w:sz w:val="24"/>
          <w:szCs w:val="24"/>
          <w:shd w:val="clear" w:color="auto" w:fill="FFFFFF"/>
          <w:lang w:val="en-GB"/>
        </w:rPr>
        <w:t>(UNEP/POPS/POPRC.12/11/Add.2</w:t>
      </w:r>
      <w:r w:rsidRPr="009E1C9D">
        <w:rPr>
          <w:color w:val="333333"/>
          <w:sz w:val="24"/>
          <w:szCs w:val="24"/>
          <w:shd w:val="clear" w:color="auto" w:fill="FFFFFF"/>
          <w:lang w:val="en-GB"/>
        </w:rPr>
        <w:t>和</w:t>
      </w:r>
      <w:r w:rsidRPr="009E1C9D">
        <w:rPr>
          <w:color w:val="333333"/>
          <w:sz w:val="24"/>
          <w:szCs w:val="24"/>
          <w:shd w:val="clear" w:color="auto" w:fill="FFFFFF"/>
          <w:lang w:val="en-GB"/>
        </w:rPr>
        <w:t>UNEP/POPS/POPRC.13/7/Add.2)</w:t>
      </w:r>
      <w:r w:rsidRPr="009E1C9D">
        <w:rPr>
          <w:color w:val="333333"/>
          <w:sz w:val="24"/>
          <w:szCs w:val="24"/>
          <w:shd w:val="clear" w:color="auto" w:fill="FFFFFF"/>
          <w:lang w:val="en-GB"/>
        </w:rPr>
        <w:t>。</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因此，委员会确认第</w:t>
      </w:r>
      <w:r w:rsidRPr="009E1C9D">
        <w:rPr>
          <w:color w:val="333333"/>
          <w:sz w:val="24"/>
          <w:szCs w:val="24"/>
          <w:shd w:val="clear" w:color="auto" w:fill="FFFFFF"/>
          <w:lang w:val="en-GB"/>
        </w:rPr>
        <w:t>(c) (</w:t>
      </w:r>
      <w:r w:rsidRPr="009E1C9D">
        <w:rPr>
          <w:color w:val="333333"/>
          <w:sz w:val="24"/>
          <w:szCs w:val="24"/>
          <w:shd w:val="clear" w:color="auto" w:fill="FFFFFF"/>
          <w:lang w:val="en-GB"/>
        </w:rPr>
        <w:t>四</w:t>
      </w:r>
      <w:r w:rsidRPr="009E1C9D">
        <w:rPr>
          <w:color w:val="333333"/>
          <w:sz w:val="24"/>
          <w:szCs w:val="24"/>
          <w:shd w:val="clear" w:color="auto" w:fill="FFFFFF"/>
          <w:lang w:val="en-GB"/>
        </w:rPr>
        <w:t>)</w:t>
      </w:r>
      <w:r w:rsidRPr="009E1C9D">
        <w:rPr>
          <w:color w:val="333333"/>
          <w:sz w:val="24"/>
          <w:szCs w:val="24"/>
          <w:shd w:val="clear" w:color="auto" w:fill="FFFFFF"/>
          <w:lang w:val="en-GB"/>
        </w:rPr>
        <w:t>段的标准已经达到。</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委员会确认附件二</w:t>
      </w:r>
      <w:r w:rsidRPr="009E1C9D">
        <w:rPr>
          <w:color w:val="333333"/>
          <w:sz w:val="24"/>
          <w:szCs w:val="24"/>
          <w:shd w:val="clear" w:color="auto" w:fill="FFFFFF"/>
          <w:lang w:val="en-GB"/>
        </w:rPr>
        <w:t xml:space="preserve"> (c)</w:t>
      </w:r>
      <w:r w:rsidRPr="009E1C9D">
        <w:rPr>
          <w:color w:val="333333"/>
          <w:sz w:val="24"/>
          <w:szCs w:val="24"/>
          <w:shd w:val="clear" w:color="auto" w:fill="FFFFFF"/>
          <w:lang w:val="en-GB"/>
        </w:rPr>
        <w:t>段的标准已经达到。</w:t>
      </w:r>
    </w:p>
    <w:p w:rsidR="001F52B3" w:rsidRPr="00237745" w:rsidRDefault="001F52B3" w:rsidP="001F52B3">
      <w:pPr>
        <w:keepNext/>
        <w:keepLines/>
        <w:tabs>
          <w:tab w:val="right" w:pos="851"/>
          <w:tab w:val="left" w:pos="4082"/>
        </w:tabs>
        <w:suppressAutoHyphens/>
        <w:spacing w:line="240" w:lineRule="auto"/>
        <w:ind w:left="1247" w:right="284" w:hanging="1247"/>
        <w:jc w:val="left"/>
        <w:rPr>
          <w:b/>
          <w:snapToGrid w:val="0"/>
          <w:sz w:val="20"/>
          <w:szCs w:val="20"/>
          <w:lang w:val="en-GB"/>
        </w:rPr>
      </w:pPr>
      <w:r w:rsidRPr="00237745">
        <w:rPr>
          <w:b/>
          <w:snapToGrid w:val="0"/>
          <w:sz w:val="20"/>
          <w:szCs w:val="20"/>
          <w:lang w:val="en-GB"/>
        </w:rPr>
        <w:tab/>
      </w:r>
      <w:r w:rsidRPr="00237745">
        <w:rPr>
          <w:b/>
          <w:snapToGrid w:val="0"/>
          <w:sz w:val="24"/>
          <w:szCs w:val="24"/>
          <w:lang w:val="en-GB"/>
        </w:rPr>
        <w:t>(e)</w:t>
      </w:r>
      <w:r w:rsidRPr="00237745">
        <w:rPr>
          <w:b/>
          <w:snapToGrid w:val="0"/>
          <w:sz w:val="20"/>
          <w:szCs w:val="20"/>
          <w:lang w:val="en-GB"/>
        </w:rPr>
        <w:tab/>
      </w:r>
      <w:r w:rsidRPr="009E1C9D">
        <w:rPr>
          <w:rFonts w:eastAsia="SimHei"/>
          <w:b/>
          <w:snapToGrid w:val="0"/>
          <w:sz w:val="24"/>
          <w:szCs w:val="24"/>
          <w:lang w:val="en-GB"/>
        </w:rPr>
        <w:t>附件二</w:t>
      </w:r>
      <w:r w:rsidRPr="009E1C9D">
        <w:rPr>
          <w:rFonts w:eastAsia="SimHei"/>
          <w:b/>
          <w:snapToGrid w:val="0"/>
          <w:sz w:val="24"/>
          <w:szCs w:val="24"/>
          <w:lang w:val="en-GB"/>
        </w:rPr>
        <w:t>(d)</w:t>
      </w:r>
      <w:r w:rsidRPr="009E1C9D">
        <w:rPr>
          <w:rFonts w:eastAsia="SimHei"/>
          <w:b/>
          <w:snapToGrid w:val="0"/>
          <w:sz w:val="24"/>
          <w:szCs w:val="24"/>
          <w:lang w:val="en-GB"/>
        </w:rPr>
        <w:t>段的标准</w:t>
      </w:r>
    </w:p>
    <w:p w:rsidR="001F52B3" w:rsidRPr="009E1C9D" w:rsidRDefault="001F52B3" w:rsidP="001F52B3">
      <w:pPr>
        <w:keepNext/>
        <w:keepLines/>
        <w:tabs>
          <w:tab w:val="clear" w:pos="1247"/>
          <w:tab w:val="clear" w:pos="1814"/>
          <w:tab w:val="clear" w:pos="2381"/>
          <w:tab w:val="clear" w:pos="2948"/>
          <w:tab w:val="clear" w:pos="3515"/>
          <w:tab w:val="left" w:pos="624"/>
        </w:tabs>
        <w:snapToGrid w:val="0"/>
        <w:spacing w:line="240" w:lineRule="auto"/>
        <w:ind w:left="1247" w:firstLine="624"/>
        <w:jc w:val="left"/>
        <w:rPr>
          <w:rFonts w:eastAsia="KaiTi"/>
          <w:sz w:val="24"/>
          <w:szCs w:val="24"/>
          <w:lang w:val="en-GB"/>
        </w:rPr>
      </w:pPr>
      <w:r w:rsidRPr="009E1C9D">
        <w:rPr>
          <w:rFonts w:eastAsia="KaiTi"/>
          <w:sz w:val="24"/>
          <w:szCs w:val="24"/>
          <w:lang w:val="en-GB"/>
        </w:rPr>
        <w:t>(d)</w:t>
      </w:r>
      <w:r w:rsidRPr="009E1C9D">
        <w:rPr>
          <w:rFonts w:eastAsia="KaiTi"/>
          <w:sz w:val="24"/>
          <w:szCs w:val="24"/>
          <w:lang w:val="en-GB"/>
        </w:rPr>
        <w:tab/>
      </w:r>
      <w:r w:rsidRPr="009E1C9D">
        <w:rPr>
          <w:rFonts w:eastAsia="KaiTi"/>
          <w:sz w:val="24"/>
          <w:szCs w:val="24"/>
          <w:lang w:val="en-GB"/>
        </w:rPr>
        <w:t>考虑到有意滥用行为本身并不构成将某一化学品列入附件三的充分理由。</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pacing w:val="-10"/>
          <w:sz w:val="24"/>
          <w:szCs w:val="24"/>
          <w:shd w:val="clear" w:color="auto" w:fill="FFFFFF"/>
          <w:lang w:val="en-GB"/>
        </w:rPr>
      </w:pPr>
      <w:r w:rsidRPr="009E1C9D">
        <w:rPr>
          <w:color w:val="333333"/>
          <w:spacing w:val="-10"/>
          <w:sz w:val="24"/>
          <w:szCs w:val="24"/>
          <w:shd w:val="clear" w:color="auto" w:fill="FFFFFF"/>
          <w:lang w:val="en-GB"/>
        </w:rPr>
        <w:t>通知书和辅助文件均未表示，最后管制行动是出于对有意滥用行为的关切。</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lastRenderedPageBreak/>
        <w:t>有鉴于此，委员会确认附件二</w:t>
      </w:r>
      <w:r w:rsidRPr="009E1C9D">
        <w:rPr>
          <w:color w:val="333333"/>
          <w:sz w:val="24"/>
          <w:szCs w:val="24"/>
          <w:shd w:val="clear" w:color="auto" w:fill="FFFFFF"/>
          <w:lang w:val="en-GB"/>
        </w:rPr>
        <w:t xml:space="preserve"> (d)</w:t>
      </w:r>
      <w:r w:rsidRPr="009E1C9D">
        <w:rPr>
          <w:color w:val="333333"/>
          <w:sz w:val="24"/>
          <w:szCs w:val="24"/>
          <w:shd w:val="clear" w:color="auto" w:fill="FFFFFF"/>
          <w:lang w:val="en-GB"/>
        </w:rPr>
        <w:t>段的标准已经达到。</w:t>
      </w:r>
      <w:r w:rsidRPr="009E1C9D">
        <w:rPr>
          <w:color w:val="333333"/>
          <w:sz w:val="24"/>
          <w:szCs w:val="24"/>
          <w:shd w:val="clear" w:color="auto" w:fill="FFFFFF"/>
          <w:lang w:val="en-GB"/>
        </w:rPr>
        <w:t xml:space="preserve"> </w:t>
      </w:r>
    </w:p>
    <w:p w:rsidR="001F52B3" w:rsidRPr="00237745" w:rsidRDefault="001F52B3" w:rsidP="001F52B3">
      <w:pPr>
        <w:keepNext/>
        <w:keepLines/>
        <w:tabs>
          <w:tab w:val="right" w:pos="851"/>
          <w:tab w:val="left" w:pos="4082"/>
        </w:tabs>
        <w:suppressAutoHyphens/>
        <w:spacing w:line="240" w:lineRule="auto"/>
        <w:ind w:left="1247" w:right="284" w:hanging="1247"/>
        <w:jc w:val="left"/>
        <w:rPr>
          <w:rFonts w:ascii="SimHei" w:eastAsia="SimHei" w:hAnsi="SimHei"/>
          <w:b/>
          <w:snapToGrid w:val="0"/>
          <w:sz w:val="24"/>
          <w:szCs w:val="24"/>
          <w:lang w:val="en-GB"/>
        </w:rPr>
      </w:pPr>
      <w:r w:rsidRPr="00237745">
        <w:rPr>
          <w:b/>
          <w:snapToGrid w:val="0"/>
          <w:sz w:val="20"/>
          <w:szCs w:val="20"/>
          <w:lang w:val="en-GB"/>
        </w:rPr>
        <w:tab/>
      </w:r>
      <w:r w:rsidRPr="00237745">
        <w:rPr>
          <w:b/>
          <w:snapToGrid w:val="0"/>
          <w:sz w:val="24"/>
          <w:szCs w:val="24"/>
          <w:lang w:val="en-GB" w:eastAsia="en-US"/>
        </w:rPr>
        <w:t>(f)</w:t>
      </w:r>
      <w:r w:rsidRPr="00237745">
        <w:rPr>
          <w:b/>
          <w:snapToGrid w:val="0"/>
          <w:sz w:val="20"/>
          <w:szCs w:val="20"/>
          <w:lang w:val="en-GB" w:eastAsia="en-US"/>
        </w:rPr>
        <w:tab/>
      </w:r>
      <w:r w:rsidRPr="00237745">
        <w:rPr>
          <w:rFonts w:ascii="SimHei" w:eastAsia="SimHei" w:hAnsi="SimHei" w:hint="eastAsia"/>
          <w:b/>
          <w:snapToGrid w:val="0"/>
          <w:sz w:val="24"/>
          <w:szCs w:val="24"/>
          <w:lang w:val="en-GB"/>
        </w:rPr>
        <w:t>结论</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iCs/>
          <w:sz w:val="20"/>
          <w:szCs w:val="20"/>
          <w:lang w:val="en-GB" w:bidi="en-US"/>
        </w:rPr>
      </w:pPr>
      <w:r w:rsidRPr="009E1C9D">
        <w:rPr>
          <w:color w:val="333333"/>
          <w:sz w:val="24"/>
          <w:szCs w:val="24"/>
          <w:shd w:val="clear" w:color="auto" w:fill="FFFFFF"/>
          <w:lang w:val="en-GB"/>
        </w:rPr>
        <w:t>委员会得出结论认为，加拿大的最后管制行动通知书达到《公约》附件二规定的标准。</w:t>
      </w:r>
      <w:r w:rsidRPr="009E1C9D">
        <w:rPr>
          <w:iCs/>
          <w:sz w:val="20"/>
          <w:szCs w:val="20"/>
          <w:lang w:val="en-GB" w:bidi="en-US"/>
        </w:rPr>
        <w:t xml:space="preserve"> </w:t>
      </w:r>
    </w:p>
    <w:p w:rsidR="001F52B3" w:rsidRPr="00237745" w:rsidRDefault="001F52B3" w:rsidP="001F52B3">
      <w:pPr>
        <w:keepNext/>
        <w:keepLines/>
        <w:tabs>
          <w:tab w:val="right" w:pos="851"/>
          <w:tab w:val="left" w:pos="4082"/>
        </w:tabs>
        <w:suppressAutoHyphens/>
        <w:spacing w:before="240" w:line="240" w:lineRule="auto"/>
        <w:ind w:left="1247" w:right="284" w:hanging="1247"/>
        <w:jc w:val="left"/>
        <w:rPr>
          <w:b/>
          <w:sz w:val="28"/>
          <w:szCs w:val="28"/>
          <w:lang w:val="en-GB" w:eastAsia="en-US"/>
        </w:rPr>
      </w:pPr>
      <w:r w:rsidRPr="00237745">
        <w:rPr>
          <w:b/>
          <w:sz w:val="28"/>
          <w:szCs w:val="28"/>
          <w:lang w:val="en-GB"/>
        </w:rPr>
        <w:tab/>
      </w:r>
      <w:r w:rsidRPr="00237745">
        <w:rPr>
          <w:rFonts w:ascii="SimHei" w:eastAsia="SimHei" w:hAnsi="SimHei" w:hint="eastAsia"/>
          <w:b/>
          <w:bCs/>
          <w:sz w:val="28"/>
          <w:szCs w:val="26"/>
          <w:lang w:val="en-GB"/>
        </w:rPr>
        <w:t>三、</w:t>
      </w:r>
      <w:r w:rsidRPr="00237745">
        <w:rPr>
          <w:rFonts w:ascii="SimHei" w:eastAsia="SimHei" w:hAnsi="SimHei"/>
          <w:b/>
          <w:bCs/>
          <w:sz w:val="28"/>
          <w:szCs w:val="26"/>
          <w:lang w:val="en-GB"/>
        </w:rPr>
        <w:tab/>
      </w:r>
      <w:r w:rsidRPr="00237745">
        <w:rPr>
          <w:rFonts w:ascii="SimHei" w:eastAsia="SimHei" w:hAnsi="SimHei" w:hint="eastAsia"/>
          <w:b/>
          <w:bCs/>
          <w:sz w:val="28"/>
          <w:szCs w:val="26"/>
          <w:lang w:val="en-GB"/>
        </w:rPr>
        <w:t>结论</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委员会得出结论认为，挪威和加拿大提交的最后管制行动通知书符合《公约》附件一提交信息的要求并达到附件二规定的所有标准。</w:t>
      </w:r>
      <w:r w:rsidRPr="009E1C9D">
        <w:rPr>
          <w:color w:val="333333"/>
          <w:sz w:val="24"/>
          <w:szCs w:val="24"/>
          <w:shd w:val="clear" w:color="auto" w:fill="FFFFFF"/>
          <w:lang w:val="en-GB"/>
        </w:rPr>
        <w:t xml:space="preserve"> </w:t>
      </w:r>
    </w:p>
    <w:p w:rsidR="001F52B3" w:rsidRPr="009E1C9D" w:rsidRDefault="001F52B3" w:rsidP="001F52B3">
      <w:pPr>
        <w:numPr>
          <w:ilvl w:val="0"/>
          <w:numId w:val="1"/>
        </w:numPr>
        <w:tabs>
          <w:tab w:val="clear" w:pos="1247"/>
          <w:tab w:val="clear" w:pos="1814"/>
          <w:tab w:val="clear" w:pos="2381"/>
          <w:tab w:val="clear" w:pos="2948"/>
          <w:tab w:val="clear" w:pos="3515"/>
          <w:tab w:val="left" w:pos="624"/>
        </w:tabs>
        <w:spacing w:line="240" w:lineRule="auto"/>
        <w:ind w:left="1247" w:firstLine="0"/>
        <w:rPr>
          <w:color w:val="333333"/>
          <w:sz w:val="24"/>
          <w:szCs w:val="24"/>
          <w:shd w:val="clear" w:color="auto" w:fill="FFFFFF"/>
          <w:lang w:val="en-GB"/>
        </w:rPr>
      </w:pPr>
      <w:r w:rsidRPr="009E1C9D">
        <w:rPr>
          <w:color w:val="333333"/>
          <w:sz w:val="24"/>
          <w:szCs w:val="24"/>
          <w:shd w:val="clear" w:color="auto" w:fill="FFFFFF"/>
          <w:lang w:val="en-GB"/>
        </w:rPr>
        <w:t>委员会还得出结论认为，挪威和加拿大采取的最后行动</w:t>
      </w:r>
      <w:proofErr w:type="gramStart"/>
      <w:r w:rsidRPr="009E1C9D">
        <w:rPr>
          <w:color w:val="333333"/>
          <w:sz w:val="24"/>
          <w:szCs w:val="24"/>
          <w:shd w:val="clear" w:color="auto" w:fill="FFFFFF"/>
          <w:lang w:val="en-GB"/>
        </w:rPr>
        <w:t>为把全氟辛酸</w:t>
      </w:r>
      <w:proofErr w:type="gramEnd"/>
      <w:r w:rsidRPr="009E1C9D">
        <w:rPr>
          <w:color w:val="333333"/>
          <w:sz w:val="24"/>
          <w:szCs w:val="24"/>
          <w:shd w:val="clear" w:color="auto" w:fill="FFFFFF"/>
          <w:lang w:val="en-GB"/>
        </w:rPr>
        <w:t>、其盐类及其相关化合物列入《公约》附件三的工业类别提供了有力的依据，应根据有关通知书起草一份决定指导文件。</w:t>
      </w:r>
    </w:p>
    <w:p w:rsidR="00CF7497" w:rsidRPr="001F52B3" w:rsidRDefault="00CF7497" w:rsidP="001F52B3">
      <w:pPr>
        <w:spacing w:after="0" w:line="240" w:lineRule="auto"/>
        <w:jc w:val="left"/>
        <w:rPr>
          <w:sz w:val="20"/>
          <w:szCs w:val="20"/>
        </w:rPr>
      </w:pPr>
    </w:p>
    <w:sectPr w:rsidR="00CF7497" w:rsidRPr="001F5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25F" w:rsidRDefault="001D325F" w:rsidP="001F52B3">
      <w:pPr>
        <w:spacing w:after="0" w:line="240" w:lineRule="auto"/>
      </w:pPr>
      <w:r>
        <w:separator/>
      </w:r>
    </w:p>
  </w:endnote>
  <w:endnote w:type="continuationSeparator" w:id="0">
    <w:p w:rsidR="001D325F" w:rsidRDefault="001D325F" w:rsidP="001F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GMaruGothicMPRO">
    <w:charset w:val="80"/>
    <w:family w:val="swiss"/>
    <w:pitch w:val="variable"/>
    <w:sig w:usb0="E00002FF" w:usb1="6AC7FDFB" w:usb2="00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25F" w:rsidRDefault="001D325F" w:rsidP="001F52B3">
      <w:pPr>
        <w:spacing w:after="0" w:line="240" w:lineRule="auto"/>
      </w:pPr>
      <w:r>
        <w:separator/>
      </w:r>
    </w:p>
  </w:footnote>
  <w:footnote w:type="continuationSeparator" w:id="0">
    <w:p w:rsidR="001D325F" w:rsidRDefault="001D325F" w:rsidP="001F52B3">
      <w:pPr>
        <w:spacing w:after="0" w:line="240" w:lineRule="auto"/>
      </w:pPr>
      <w:r>
        <w:continuationSeparator/>
      </w:r>
    </w:p>
  </w:footnote>
  <w:footnote w:id="1">
    <w:p w:rsidR="001F52B3" w:rsidRPr="009E1C9D" w:rsidRDefault="001F52B3" w:rsidP="001F52B3">
      <w:pPr>
        <w:pStyle w:val="NormalNonumber"/>
        <w:tabs>
          <w:tab w:val="clear" w:pos="1247"/>
          <w:tab w:val="clear" w:pos="1814"/>
          <w:tab w:val="clear" w:pos="2381"/>
          <w:tab w:val="clear" w:pos="2948"/>
          <w:tab w:val="clear" w:pos="3515"/>
          <w:tab w:val="clear" w:pos="4082"/>
          <w:tab w:val="left" w:pos="624"/>
        </w:tabs>
        <w:spacing w:before="20" w:after="40"/>
        <w:rPr>
          <w:lang w:val="en-US"/>
        </w:rPr>
      </w:pPr>
      <w:r w:rsidRPr="009E1C9D">
        <w:rPr>
          <w:rStyle w:val="FootnoteReference"/>
        </w:rPr>
        <w:footnoteRef/>
      </w:r>
      <w:r w:rsidRPr="009E1C9D">
        <w:rPr>
          <w:lang w:val="en-US"/>
        </w:rPr>
        <w:t xml:space="preserve"> </w:t>
      </w:r>
      <w:r w:rsidRPr="009E1C9D">
        <w:rPr>
          <w:rFonts w:hint="eastAsia"/>
          <w:lang w:val="en-US" w:eastAsia="zh-CN"/>
        </w:rPr>
        <w:t>见</w:t>
      </w:r>
      <w:r w:rsidRPr="009E1C9D">
        <w:rPr>
          <w:lang w:val="en-US"/>
        </w:rPr>
        <w:t xml:space="preserve"> UNEP/FAO/RC/CRC.14/8</w:t>
      </w:r>
      <w:r w:rsidRPr="009E1C9D">
        <w:rPr>
          <w:rFonts w:hint="eastAsia"/>
          <w:lang w:val="en-US" w:eastAsia="zh-C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AB"/>
    <w:multiLevelType w:val="hybridMultilevel"/>
    <w:tmpl w:val="E33AD8D4"/>
    <w:lvl w:ilvl="0" w:tplc="CE0AFA4C">
      <w:start w:val="1"/>
      <w:numFmt w:val="decimal"/>
      <w:lvlText w:val="%1."/>
      <w:lvlJc w:val="left"/>
      <w:pPr>
        <w:ind w:left="1967" w:hanging="360"/>
      </w:pPr>
      <w:rPr>
        <w:rFonts w:ascii="Times New Roman" w:hAnsi="Times New Roman" w:cs="Times New Roman" w:hint="default"/>
        <w:sz w:val="24"/>
        <w:szCs w:val="24"/>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1" w15:restartNumberingAfterBreak="0">
    <w:nsid w:val="3EA212ED"/>
    <w:multiLevelType w:val="hybridMultilevel"/>
    <w:tmpl w:val="E3328FC2"/>
    <w:lvl w:ilvl="0" w:tplc="A21228A6">
      <w:start w:val="1"/>
      <w:numFmt w:val="decimal"/>
      <w:lvlText w:val="%1."/>
      <w:lvlJc w:val="left"/>
      <w:pPr>
        <w:ind w:left="2591" w:hanging="360"/>
      </w:pPr>
      <w:rPr>
        <w:rFonts w:ascii="Times New Roman" w:hAnsi="Times New Roman" w:cs="Times New Roman" w:hint="default"/>
        <w:sz w:val="24"/>
        <w:szCs w:val="24"/>
      </w:rPr>
    </w:lvl>
    <w:lvl w:ilvl="1" w:tplc="08090019" w:tentative="1">
      <w:start w:val="1"/>
      <w:numFmt w:val="lowerLetter"/>
      <w:lvlText w:val="%2."/>
      <w:lvlJc w:val="left"/>
      <w:pPr>
        <w:ind w:left="3311" w:hanging="360"/>
      </w:pPr>
    </w:lvl>
    <w:lvl w:ilvl="2" w:tplc="0809001B" w:tentative="1">
      <w:start w:val="1"/>
      <w:numFmt w:val="lowerRoman"/>
      <w:lvlText w:val="%3."/>
      <w:lvlJc w:val="right"/>
      <w:pPr>
        <w:ind w:left="4031" w:hanging="180"/>
      </w:pPr>
    </w:lvl>
    <w:lvl w:ilvl="3" w:tplc="0809000F" w:tentative="1">
      <w:start w:val="1"/>
      <w:numFmt w:val="decimal"/>
      <w:lvlText w:val="%4."/>
      <w:lvlJc w:val="left"/>
      <w:pPr>
        <w:ind w:left="4751" w:hanging="360"/>
      </w:pPr>
    </w:lvl>
    <w:lvl w:ilvl="4" w:tplc="08090019" w:tentative="1">
      <w:start w:val="1"/>
      <w:numFmt w:val="lowerLetter"/>
      <w:lvlText w:val="%5."/>
      <w:lvlJc w:val="left"/>
      <w:pPr>
        <w:ind w:left="5471" w:hanging="360"/>
      </w:pPr>
    </w:lvl>
    <w:lvl w:ilvl="5" w:tplc="0809001B" w:tentative="1">
      <w:start w:val="1"/>
      <w:numFmt w:val="lowerRoman"/>
      <w:lvlText w:val="%6."/>
      <w:lvlJc w:val="right"/>
      <w:pPr>
        <w:ind w:left="6191" w:hanging="180"/>
      </w:pPr>
    </w:lvl>
    <w:lvl w:ilvl="6" w:tplc="0809000F" w:tentative="1">
      <w:start w:val="1"/>
      <w:numFmt w:val="decimal"/>
      <w:lvlText w:val="%7."/>
      <w:lvlJc w:val="left"/>
      <w:pPr>
        <w:ind w:left="6911" w:hanging="360"/>
      </w:pPr>
    </w:lvl>
    <w:lvl w:ilvl="7" w:tplc="08090019" w:tentative="1">
      <w:start w:val="1"/>
      <w:numFmt w:val="lowerLetter"/>
      <w:lvlText w:val="%8."/>
      <w:lvlJc w:val="left"/>
      <w:pPr>
        <w:ind w:left="7631" w:hanging="360"/>
      </w:pPr>
    </w:lvl>
    <w:lvl w:ilvl="8" w:tplc="0809001B" w:tentative="1">
      <w:start w:val="1"/>
      <w:numFmt w:val="lowerRoman"/>
      <w:lvlText w:val="%9."/>
      <w:lvlJc w:val="right"/>
      <w:pPr>
        <w:ind w:left="835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B3"/>
    <w:rsid w:val="001D325F"/>
    <w:rsid w:val="001F52B3"/>
    <w:rsid w:val="00304CF0"/>
    <w:rsid w:val="00987DB3"/>
    <w:rsid w:val="009D258D"/>
    <w:rsid w:val="00C873CC"/>
    <w:rsid w:val="00C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D5CA"/>
  <w15:chartTrackingRefBased/>
  <w15:docId w15:val="{44C7CC93-1BB3-4E36-96F5-8D03B540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2B3"/>
    <w:pPr>
      <w:tabs>
        <w:tab w:val="left" w:pos="1247"/>
        <w:tab w:val="left" w:pos="1814"/>
        <w:tab w:val="left" w:pos="2381"/>
        <w:tab w:val="left" w:pos="2948"/>
        <w:tab w:val="left" w:pos="3515"/>
      </w:tabs>
      <w:spacing w:after="120" w:line="280" w:lineRule="exact"/>
      <w:jc w:val="both"/>
    </w:pPr>
    <w:rPr>
      <w:rFonts w:ascii="Times New Roman" w:eastAsia="SimSun" w:hAnsi="Times New Roman" w:cs="Times New Roman"/>
      <w:sz w:val="21"/>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
    <w:basedOn w:val="DefaultParagraphFont"/>
    <w:rsid w:val="001F52B3"/>
    <w:rPr>
      <w:rFonts w:ascii="Times New Roman" w:eastAsia="SimSun" w:hAnsi="Times New Roman"/>
      <w:color w:val="000000"/>
      <w:spacing w:val="-5"/>
      <w:w w:val="130"/>
      <w:position w:val="-4"/>
      <w:sz w:val="20"/>
      <w:szCs w:val="18"/>
      <w:vertAlign w:val="superscript"/>
    </w:rPr>
  </w:style>
  <w:style w:type="character" w:styleId="Hyperlink">
    <w:name w:val="Hyperlink"/>
    <w:basedOn w:val="DefaultParagraphFont"/>
    <w:uiPriority w:val="99"/>
    <w:rsid w:val="001F52B3"/>
    <w:rPr>
      <w:rFonts w:ascii="Times New Roman" w:hAnsi="Times New Roman"/>
      <w:color w:val="auto"/>
      <w:sz w:val="20"/>
      <w:szCs w:val="20"/>
      <w:u w:val="none"/>
      <w:lang w:val="fr-FR"/>
    </w:rPr>
  </w:style>
  <w:style w:type="paragraph" w:customStyle="1" w:styleId="NormalNonumber">
    <w:name w:val="Normal_No_number"/>
    <w:basedOn w:val="Normal"/>
    <w:rsid w:val="001F52B3"/>
    <w:pPr>
      <w:tabs>
        <w:tab w:val="left" w:pos="4082"/>
      </w:tabs>
      <w:spacing w:line="240" w:lineRule="auto"/>
      <w:ind w:left="1247"/>
      <w:jc w:val="left"/>
    </w:pPr>
    <w:rPr>
      <w:sz w:val="20"/>
      <w:szCs w:val="20"/>
      <w:lang w:val="en-GB" w:eastAsia="en-GB"/>
    </w:rPr>
  </w:style>
  <w:style w:type="paragraph" w:styleId="ListParagraph">
    <w:name w:val="List Paragraph"/>
    <w:basedOn w:val="Normal"/>
    <w:uiPriority w:val="34"/>
    <w:qFormat/>
    <w:rsid w:val="001F5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c.gc.ca/ese-ees/default.asp?lan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2019-01-03T14:11:00Z</dcterms:created>
  <dcterms:modified xsi:type="dcterms:W3CDTF">2019-01-03T14:12:00Z</dcterms:modified>
</cp:coreProperties>
</file>